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9D913" w14:textId="608DA941" w:rsidR="009A0EB3" w:rsidRDefault="009A0EB3" w:rsidP="00816E4C">
      <w:pPr>
        <w:pStyle w:val="Heading4"/>
      </w:pPr>
      <w:bookmarkStart w:id="0" w:name="_GoBack"/>
      <w:bookmarkEnd w:id="0"/>
    </w:p>
    <w:p w14:paraId="35A31BA0" w14:textId="64182EB3" w:rsidR="003E1929" w:rsidRDefault="003E1929" w:rsidP="003E1929">
      <w:pPr>
        <w:rPr>
          <w:lang w:val="en-IN" w:eastAsia="en-IN"/>
        </w:rPr>
      </w:pPr>
    </w:p>
    <w:p w14:paraId="0EC48629" w14:textId="06CF9D77" w:rsidR="003E1929" w:rsidRDefault="003E1929" w:rsidP="003E1929">
      <w:pPr>
        <w:rPr>
          <w:lang w:val="en-IN" w:eastAsia="en-IN"/>
        </w:rPr>
      </w:pPr>
    </w:p>
    <w:p w14:paraId="65D898BF" w14:textId="02885BFF" w:rsidR="003E1929" w:rsidRDefault="003E1929" w:rsidP="003E1929">
      <w:pPr>
        <w:rPr>
          <w:lang w:val="en-IN" w:eastAsia="en-IN"/>
        </w:rPr>
      </w:pPr>
    </w:p>
    <w:p w14:paraId="443E010E" w14:textId="77777777" w:rsidR="003E1929" w:rsidRPr="003E1929" w:rsidRDefault="003E1929" w:rsidP="003E1929">
      <w:pPr>
        <w:rPr>
          <w:lang w:val="en-IN" w:eastAsia="en-IN"/>
        </w:rPr>
      </w:pPr>
    </w:p>
    <w:p w14:paraId="1889A857" w14:textId="77777777" w:rsidR="009A0EB3" w:rsidRPr="002726A8" w:rsidRDefault="009A0EB3" w:rsidP="009A0EB3">
      <w:pPr>
        <w:spacing w:line="20" w:lineRule="atLeast"/>
        <w:jc w:val="center"/>
        <w:outlineLvl w:val="0"/>
        <w:rPr>
          <w:rFonts w:ascii="Garamond" w:hAnsi="Garamond"/>
          <w:b/>
          <w:color w:val="000080"/>
          <w:sz w:val="144"/>
          <w:szCs w:val="144"/>
        </w:rPr>
      </w:pPr>
      <w:r w:rsidRPr="002726A8">
        <w:rPr>
          <w:rFonts w:ascii="Garamond" w:hAnsi="Garamond"/>
          <w:b/>
          <w:color w:val="000080"/>
          <w:sz w:val="144"/>
          <w:szCs w:val="144"/>
        </w:rPr>
        <w:t>SEBI</w:t>
      </w:r>
    </w:p>
    <w:p w14:paraId="740BBD96" w14:textId="77777777" w:rsidR="009A0EB3" w:rsidRPr="002726A8" w:rsidRDefault="009A0EB3" w:rsidP="009A0EB3">
      <w:pPr>
        <w:spacing w:line="20" w:lineRule="atLeast"/>
        <w:jc w:val="center"/>
        <w:outlineLvl w:val="0"/>
        <w:rPr>
          <w:rFonts w:ascii="Garamond" w:hAnsi="Garamond"/>
          <w:b/>
          <w:color w:val="000080"/>
          <w:sz w:val="56"/>
          <w:szCs w:val="56"/>
        </w:rPr>
      </w:pPr>
      <w:r w:rsidRPr="002726A8">
        <w:rPr>
          <w:rFonts w:ascii="Garamond" w:hAnsi="Garamond"/>
          <w:b/>
          <w:color w:val="000080"/>
          <w:sz w:val="56"/>
          <w:szCs w:val="56"/>
        </w:rPr>
        <w:t>BULLETIN</w:t>
      </w:r>
    </w:p>
    <w:p w14:paraId="0175153D" w14:textId="77777777" w:rsidR="002C3645" w:rsidRPr="009A0EB3" w:rsidRDefault="002C3645" w:rsidP="002C3645">
      <w:pPr>
        <w:spacing w:line="20" w:lineRule="atLeast"/>
        <w:jc w:val="center"/>
        <w:rPr>
          <w:rFonts w:ascii="Palatino Linotype" w:hAnsi="Palatino Linotype"/>
          <w:b/>
          <w:color w:val="000080"/>
          <w:sz w:val="22"/>
          <w:szCs w:val="22"/>
        </w:rPr>
      </w:pPr>
    </w:p>
    <w:p w14:paraId="03BC6E73" w14:textId="77777777" w:rsidR="002C3645" w:rsidRPr="009A0EB3" w:rsidRDefault="002C3645" w:rsidP="002C3645">
      <w:pPr>
        <w:spacing w:line="20" w:lineRule="atLeast"/>
        <w:jc w:val="center"/>
        <w:rPr>
          <w:rFonts w:ascii="Palatino Linotype" w:hAnsi="Palatino Linotype"/>
          <w:b/>
          <w:color w:val="000080"/>
          <w:sz w:val="22"/>
          <w:szCs w:val="22"/>
        </w:rPr>
      </w:pPr>
    </w:p>
    <w:p w14:paraId="6EE5E879" w14:textId="77777777" w:rsidR="002C3645" w:rsidRPr="009A0EB3" w:rsidRDefault="00550AAC" w:rsidP="002C3645">
      <w:pPr>
        <w:spacing w:line="20" w:lineRule="atLeast"/>
        <w:jc w:val="center"/>
        <w:rPr>
          <w:rFonts w:ascii="Palatino Linotype" w:hAnsi="Palatino Linotype"/>
          <w:b/>
          <w:color w:val="FF0000"/>
          <w:sz w:val="22"/>
          <w:szCs w:val="22"/>
        </w:rPr>
      </w:pPr>
      <w:r>
        <w:rPr>
          <w:rFonts w:ascii="Palatino Linotype" w:hAnsi="Palatino Linotype"/>
          <w:b/>
          <w:color w:val="000080"/>
          <w:sz w:val="22"/>
          <w:szCs w:val="22"/>
        </w:rPr>
        <w:t xml:space="preserve">SEPTEMBER </w:t>
      </w:r>
      <w:r w:rsidR="00074803">
        <w:rPr>
          <w:rFonts w:ascii="Palatino Linotype" w:hAnsi="Palatino Linotype"/>
          <w:b/>
          <w:color w:val="000080"/>
          <w:sz w:val="22"/>
          <w:szCs w:val="22"/>
        </w:rPr>
        <w:t>2</w:t>
      </w:r>
      <w:r w:rsidR="009B7E61">
        <w:rPr>
          <w:rFonts w:ascii="Palatino Linotype" w:hAnsi="Palatino Linotype"/>
          <w:b/>
          <w:color w:val="000080"/>
          <w:sz w:val="22"/>
          <w:szCs w:val="22"/>
        </w:rPr>
        <w:t>020</w:t>
      </w:r>
      <w:r w:rsidR="008E4467">
        <w:rPr>
          <w:rFonts w:ascii="Palatino Linotype" w:hAnsi="Palatino Linotype"/>
          <w:b/>
          <w:color w:val="000080"/>
          <w:sz w:val="22"/>
          <w:szCs w:val="22"/>
        </w:rPr>
        <w:t xml:space="preserve">   VOL. 1</w:t>
      </w:r>
      <w:r w:rsidR="00FE7EFC">
        <w:rPr>
          <w:rFonts w:ascii="Palatino Linotype" w:hAnsi="Palatino Linotype"/>
          <w:b/>
          <w:color w:val="000080"/>
          <w:sz w:val="22"/>
          <w:szCs w:val="22"/>
        </w:rPr>
        <w:t>8</w:t>
      </w:r>
      <w:r w:rsidR="008E4467">
        <w:rPr>
          <w:rFonts w:ascii="Palatino Linotype" w:hAnsi="Palatino Linotype"/>
          <w:b/>
          <w:color w:val="000080"/>
          <w:sz w:val="22"/>
          <w:szCs w:val="22"/>
        </w:rPr>
        <w:t xml:space="preserve">              </w:t>
      </w:r>
      <w:r w:rsidR="002C3645" w:rsidRPr="009A0EB3">
        <w:rPr>
          <w:rFonts w:ascii="Palatino Linotype" w:hAnsi="Palatino Linotype"/>
          <w:b/>
          <w:color w:val="000080"/>
          <w:sz w:val="22"/>
          <w:szCs w:val="22"/>
        </w:rPr>
        <w:t xml:space="preserve"> </w:t>
      </w:r>
      <w:r w:rsidR="00B20597">
        <w:rPr>
          <w:rFonts w:ascii="Palatino Linotype" w:hAnsi="Palatino Linotype"/>
          <w:b/>
          <w:color w:val="FF0000"/>
          <w:sz w:val="22"/>
          <w:szCs w:val="22"/>
        </w:rPr>
        <w:t xml:space="preserve">NUMBER </w:t>
      </w:r>
      <w:r>
        <w:rPr>
          <w:rFonts w:ascii="Palatino Linotype" w:hAnsi="Palatino Linotype"/>
          <w:b/>
          <w:color w:val="FF0000"/>
          <w:sz w:val="22"/>
          <w:szCs w:val="22"/>
        </w:rPr>
        <w:t>9</w:t>
      </w:r>
    </w:p>
    <w:p w14:paraId="0514663A" w14:textId="77777777" w:rsidR="002C3645" w:rsidRPr="009A0EB3" w:rsidRDefault="002C3645" w:rsidP="002C3645">
      <w:pPr>
        <w:spacing w:line="20" w:lineRule="atLeast"/>
        <w:jc w:val="center"/>
        <w:rPr>
          <w:rFonts w:ascii="Palatino Linotype" w:hAnsi="Palatino Linotype"/>
          <w:b/>
          <w:color w:val="000080"/>
          <w:sz w:val="22"/>
          <w:szCs w:val="22"/>
        </w:rPr>
      </w:pPr>
    </w:p>
    <w:p w14:paraId="7AA26176" w14:textId="77777777" w:rsidR="002C3645" w:rsidRPr="009A0EB3" w:rsidRDefault="002C3645" w:rsidP="002C3645">
      <w:pPr>
        <w:spacing w:line="20" w:lineRule="atLeast"/>
        <w:jc w:val="center"/>
        <w:rPr>
          <w:rFonts w:ascii="Palatino Linotype" w:hAnsi="Palatino Linotype"/>
          <w:b/>
          <w:color w:val="000080"/>
          <w:sz w:val="22"/>
          <w:szCs w:val="22"/>
        </w:rPr>
      </w:pPr>
    </w:p>
    <w:p w14:paraId="4281D405" w14:textId="77777777" w:rsidR="002C3645" w:rsidRPr="009A0EB3" w:rsidRDefault="002C3645" w:rsidP="002C3645">
      <w:pPr>
        <w:spacing w:line="20" w:lineRule="atLeast"/>
        <w:jc w:val="center"/>
        <w:rPr>
          <w:rFonts w:ascii="Palatino Linotype" w:hAnsi="Palatino Linotype"/>
          <w:b/>
          <w:color w:val="000080"/>
          <w:sz w:val="22"/>
          <w:szCs w:val="22"/>
        </w:rPr>
      </w:pPr>
    </w:p>
    <w:p w14:paraId="09AF89E1" w14:textId="77777777" w:rsidR="002C3645" w:rsidRPr="009A0EB3" w:rsidRDefault="002C3645" w:rsidP="002C3645">
      <w:pPr>
        <w:spacing w:line="20" w:lineRule="atLeast"/>
        <w:jc w:val="center"/>
        <w:rPr>
          <w:rFonts w:ascii="Palatino Linotype" w:hAnsi="Palatino Linotype"/>
          <w:b/>
          <w:color w:val="000080"/>
          <w:sz w:val="22"/>
          <w:szCs w:val="22"/>
        </w:rPr>
      </w:pPr>
    </w:p>
    <w:p w14:paraId="2E4929D9" w14:textId="77777777" w:rsidR="002C3645" w:rsidRPr="009A0EB3" w:rsidRDefault="002C3645" w:rsidP="002C3645">
      <w:pPr>
        <w:spacing w:line="20" w:lineRule="atLeast"/>
        <w:jc w:val="center"/>
        <w:rPr>
          <w:rFonts w:ascii="Palatino Linotype" w:hAnsi="Palatino Linotype"/>
          <w:b/>
          <w:color w:val="000080"/>
          <w:sz w:val="22"/>
          <w:szCs w:val="22"/>
        </w:rPr>
      </w:pPr>
    </w:p>
    <w:p w14:paraId="47D72AA5" w14:textId="77777777" w:rsidR="002C3645" w:rsidRPr="009A0EB3" w:rsidRDefault="002C3645" w:rsidP="002C3645">
      <w:pPr>
        <w:spacing w:line="20" w:lineRule="atLeast"/>
        <w:jc w:val="center"/>
        <w:rPr>
          <w:rFonts w:ascii="Palatino Linotype" w:hAnsi="Palatino Linotype"/>
          <w:b/>
          <w:color w:val="000080"/>
          <w:sz w:val="22"/>
          <w:szCs w:val="22"/>
        </w:rPr>
      </w:pPr>
    </w:p>
    <w:p w14:paraId="248BDA5A" w14:textId="77777777" w:rsidR="002C3645" w:rsidRPr="009A0EB3" w:rsidRDefault="002C3645" w:rsidP="002C3645">
      <w:pPr>
        <w:spacing w:line="20" w:lineRule="atLeast"/>
        <w:jc w:val="center"/>
        <w:rPr>
          <w:rFonts w:ascii="Palatino Linotype" w:hAnsi="Palatino Linotype"/>
          <w:b/>
          <w:color w:val="000080"/>
          <w:sz w:val="22"/>
          <w:szCs w:val="22"/>
        </w:rPr>
      </w:pPr>
    </w:p>
    <w:p w14:paraId="24448371" w14:textId="77777777"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(LOGO)</w:t>
      </w:r>
    </w:p>
    <w:p w14:paraId="73734A3C" w14:textId="77777777" w:rsidR="0018049A" w:rsidRPr="009A0EB3" w:rsidRDefault="0018049A" w:rsidP="00B25DA6">
      <w:pPr>
        <w:jc w:val="center"/>
        <w:outlineLvl w:val="0"/>
        <w:rPr>
          <w:rFonts w:ascii="Palatino Linotype" w:hAnsi="Palatino Linotype" w:cs="Helvetica"/>
          <w:b/>
          <w:color w:val="000099"/>
          <w:sz w:val="22"/>
          <w:szCs w:val="22"/>
        </w:rPr>
      </w:pPr>
    </w:p>
    <w:p w14:paraId="28F3C4E0" w14:textId="77777777" w:rsidR="002C3645" w:rsidRPr="009A0EB3" w:rsidRDefault="002C3645" w:rsidP="00B25DA6">
      <w:pPr>
        <w:jc w:val="center"/>
        <w:outlineLvl w:val="0"/>
        <w:rPr>
          <w:rFonts w:ascii="Palatino Linotype" w:hAnsi="Palatino Linotype" w:cs="Helvetica"/>
          <w:b/>
          <w:color w:val="000099"/>
          <w:sz w:val="22"/>
          <w:szCs w:val="22"/>
        </w:rPr>
      </w:pPr>
    </w:p>
    <w:p w14:paraId="2AD4A090" w14:textId="77777777" w:rsidR="002C3645" w:rsidRPr="009A0EB3" w:rsidRDefault="002C3645" w:rsidP="00B25DA6">
      <w:pPr>
        <w:jc w:val="center"/>
        <w:outlineLvl w:val="0"/>
        <w:rPr>
          <w:rFonts w:ascii="Palatino Linotype" w:hAnsi="Palatino Linotype" w:cs="Helvetica"/>
          <w:b/>
          <w:color w:val="000099"/>
          <w:sz w:val="22"/>
          <w:szCs w:val="22"/>
        </w:rPr>
      </w:pPr>
    </w:p>
    <w:p w14:paraId="3A209053" w14:textId="77777777" w:rsidR="002C3645" w:rsidRPr="009A0EB3" w:rsidRDefault="002C3645" w:rsidP="00B25DA6">
      <w:pPr>
        <w:jc w:val="center"/>
        <w:outlineLvl w:val="0"/>
        <w:rPr>
          <w:rFonts w:ascii="Palatino Linotype" w:hAnsi="Palatino Linotype" w:cs="Helvetica"/>
          <w:b/>
          <w:color w:val="000099"/>
          <w:sz w:val="22"/>
          <w:szCs w:val="22"/>
        </w:rPr>
      </w:pPr>
    </w:p>
    <w:p w14:paraId="0E4D9C18" w14:textId="77777777" w:rsidR="002C3645" w:rsidRPr="009A0EB3" w:rsidRDefault="002C3645" w:rsidP="00B25DA6">
      <w:pPr>
        <w:jc w:val="center"/>
        <w:outlineLvl w:val="0"/>
        <w:rPr>
          <w:rFonts w:ascii="Palatino Linotype" w:hAnsi="Palatino Linotype" w:cs="Helvetica"/>
          <w:b/>
          <w:color w:val="000099"/>
          <w:sz w:val="22"/>
          <w:szCs w:val="22"/>
        </w:rPr>
      </w:pPr>
    </w:p>
    <w:p w14:paraId="5269F353" w14:textId="77777777" w:rsidR="002C3645" w:rsidRPr="009A0EB3" w:rsidRDefault="002C3645" w:rsidP="00B25DA6">
      <w:pPr>
        <w:jc w:val="center"/>
        <w:outlineLvl w:val="0"/>
        <w:rPr>
          <w:rFonts w:ascii="Palatino Linotype" w:hAnsi="Palatino Linotype" w:cs="Helvetica"/>
          <w:b/>
          <w:color w:val="000099"/>
          <w:sz w:val="22"/>
          <w:szCs w:val="22"/>
        </w:rPr>
      </w:pPr>
    </w:p>
    <w:p w14:paraId="45A8903E" w14:textId="77777777" w:rsidR="002C3645" w:rsidRPr="009A0EB3" w:rsidRDefault="002C3645" w:rsidP="00B25DA6">
      <w:pPr>
        <w:jc w:val="center"/>
        <w:outlineLvl w:val="0"/>
        <w:rPr>
          <w:rFonts w:ascii="Palatino Linotype" w:hAnsi="Palatino Linotype" w:cs="Helvetica"/>
          <w:b/>
          <w:color w:val="000099"/>
          <w:sz w:val="22"/>
          <w:szCs w:val="22"/>
        </w:rPr>
      </w:pPr>
    </w:p>
    <w:p w14:paraId="6EB2733C" w14:textId="77777777" w:rsidR="002C3645" w:rsidRPr="009A0EB3" w:rsidRDefault="002C3645" w:rsidP="00B25DA6">
      <w:pPr>
        <w:jc w:val="center"/>
        <w:outlineLvl w:val="0"/>
        <w:rPr>
          <w:rFonts w:ascii="Palatino Linotype" w:hAnsi="Palatino Linotype" w:cs="Helvetica"/>
          <w:b/>
          <w:color w:val="000099"/>
          <w:sz w:val="22"/>
          <w:szCs w:val="22"/>
        </w:rPr>
      </w:pPr>
    </w:p>
    <w:p w14:paraId="4EFBC765" w14:textId="77777777" w:rsidR="002C3645" w:rsidRPr="009A0EB3" w:rsidRDefault="002C3645" w:rsidP="00B25DA6">
      <w:pPr>
        <w:jc w:val="center"/>
        <w:outlineLvl w:val="0"/>
        <w:rPr>
          <w:rFonts w:ascii="Palatino Linotype" w:hAnsi="Palatino Linotype" w:cs="Helvetica"/>
          <w:b/>
          <w:color w:val="000099"/>
          <w:sz w:val="22"/>
          <w:szCs w:val="22"/>
        </w:rPr>
      </w:pPr>
    </w:p>
    <w:p w14:paraId="2C1D5E9C" w14:textId="77777777" w:rsidR="002C3645" w:rsidRPr="009A0EB3" w:rsidRDefault="002C3645" w:rsidP="00B25DA6">
      <w:pPr>
        <w:jc w:val="center"/>
        <w:outlineLvl w:val="0"/>
        <w:rPr>
          <w:rFonts w:ascii="Palatino Linotype" w:hAnsi="Palatino Linotype" w:cs="Helvetica"/>
          <w:b/>
          <w:color w:val="000099"/>
          <w:sz w:val="22"/>
          <w:szCs w:val="22"/>
        </w:rPr>
      </w:pPr>
    </w:p>
    <w:p w14:paraId="7DC3563E" w14:textId="77777777" w:rsidR="002C3645" w:rsidRPr="009A0EB3" w:rsidRDefault="002C3645" w:rsidP="00B25DA6">
      <w:pPr>
        <w:jc w:val="center"/>
        <w:outlineLvl w:val="0"/>
        <w:rPr>
          <w:rFonts w:ascii="Palatino Linotype" w:hAnsi="Palatino Linotype" w:cs="Helvetica"/>
          <w:b/>
          <w:color w:val="000099"/>
          <w:sz w:val="22"/>
          <w:szCs w:val="22"/>
        </w:rPr>
      </w:pPr>
    </w:p>
    <w:p w14:paraId="49D084FB" w14:textId="77777777" w:rsidR="002C3645" w:rsidRPr="009A0EB3" w:rsidRDefault="002C3645" w:rsidP="00B25DA6">
      <w:pPr>
        <w:jc w:val="center"/>
        <w:outlineLvl w:val="0"/>
        <w:rPr>
          <w:rFonts w:ascii="Palatino Linotype" w:hAnsi="Palatino Linotype" w:cs="Helvetica"/>
          <w:b/>
          <w:color w:val="000099"/>
          <w:sz w:val="22"/>
          <w:szCs w:val="22"/>
        </w:rPr>
      </w:pPr>
    </w:p>
    <w:p w14:paraId="5F8A5FC8" w14:textId="77777777" w:rsidR="002C3645" w:rsidRPr="009A0EB3" w:rsidRDefault="002C3645" w:rsidP="00B25DA6">
      <w:pPr>
        <w:jc w:val="center"/>
        <w:outlineLvl w:val="0"/>
        <w:rPr>
          <w:rFonts w:ascii="Palatino Linotype" w:hAnsi="Palatino Linotype" w:cs="Helvetica"/>
          <w:b/>
          <w:color w:val="000099"/>
          <w:sz w:val="22"/>
          <w:szCs w:val="22"/>
        </w:rPr>
      </w:pPr>
    </w:p>
    <w:p w14:paraId="5A896A40" w14:textId="77777777" w:rsidR="002C3645" w:rsidRPr="009A0EB3" w:rsidRDefault="002C3645" w:rsidP="00B25DA6">
      <w:pPr>
        <w:jc w:val="center"/>
        <w:outlineLvl w:val="0"/>
        <w:rPr>
          <w:rFonts w:ascii="Palatino Linotype" w:hAnsi="Palatino Linotype" w:cs="Helvetica"/>
          <w:b/>
          <w:color w:val="000099"/>
          <w:sz w:val="22"/>
          <w:szCs w:val="22"/>
        </w:rPr>
      </w:pPr>
    </w:p>
    <w:p w14:paraId="64BDF6FC" w14:textId="77777777" w:rsidR="002C3645" w:rsidRPr="009A0EB3" w:rsidRDefault="002C3645" w:rsidP="00B25DA6">
      <w:pPr>
        <w:jc w:val="center"/>
        <w:outlineLvl w:val="0"/>
        <w:rPr>
          <w:rFonts w:ascii="Palatino Linotype" w:hAnsi="Palatino Linotype" w:cs="Helvetica"/>
          <w:b/>
          <w:color w:val="000099"/>
          <w:sz w:val="22"/>
          <w:szCs w:val="22"/>
        </w:rPr>
      </w:pPr>
    </w:p>
    <w:p w14:paraId="66B9044D" w14:textId="77777777" w:rsidR="002C3645" w:rsidRPr="009A0EB3" w:rsidRDefault="002C3645" w:rsidP="00B25DA6">
      <w:pPr>
        <w:jc w:val="center"/>
        <w:outlineLvl w:val="0"/>
        <w:rPr>
          <w:rFonts w:ascii="Palatino Linotype" w:hAnsi="Palatino Linotype" w:cs="Helvetica"/>
          <w:b/>
          <w:color w:val="000099"/>
          <w:sz w:val="22"/>
          <w:szCs w:val="22"/>
        </w:rPr>
      </w:pPr>
    </w:p>
    <w:p w14:paraId="62E6E73F" w14:textId="77777777" w:rsidR="002C3645" w:rsidRDefault="002C3645" w:rsidP="00B25DA6">
      <w:pPr>
        <w:jc w:val="center"/>
        <w:outlineLvl w:val="0"/>
        <w:rPr>
          <w:rFonts w:ascii="Palatino Linotype" w:hAnsi="Palatino Linotype" w:cs="Helvetica"/>
          <w:b/>
          <w:color w:val="000099"/>
          <w:sz w:val="22"/>
          <w:szCs w:val="22"/>
        </w:rPr>
      </w:pPr>
    </w:p>
    <w:p w14:paraId="4F423D98" w14:textId="77777777" w:rsidR="002E18B1" w:rsidRDefault="002E18B1" w:rsidP="00B25DA6">
      <w:pPr>
        <w:jc w:val="center"/>
        <w:outlineLvl w:val="0"/>
        <w:rPr>
          <w:rFonts w:ascii="Palatino Linotype" w:hAnsi="Palatino Linotype" w:cs="Helvetica"/>
          <w:b/>
          <w:color w:val="000099"/>
          <w:sz w:val="22"/>
          <w:szCs w:val="22"/>
        </w:rPr>
      </w:pPr>
    </w:p>
    <w:p w14:paraId="3B41C4AA" w14:textId="77777777" w:rsidR="002E18B1" w:rsidRDefault="002E18B1" w:rsidP="00B25DA6">
      <w:pPr>
        <w:jc w:val="center"/>
        <w:outlineLvl w:val="0"/>
        <w:rPr>
          <w:rFonts w:ascii="Palatino Linotype" w:hAnsi="Palatino Linotype" w:cs="Helvetica"/>
          <w:b/>
          <w:color w:val="000099"/>
          <w:sz w:val="22"/>
          <w:szCs w:val="22"/>
        </w:rPr>
      </w:pPr>
    </w:p>
    <w:p w14:paraId="65227C6E" w14:textId="77777777" w:rsidR="002E18B1" w:rsidRPr="009A0EB3" w:rsidRDefault="002E18B1" w:rsidP="00B25DA6">
      <w:pPr>
        <w:jc w:val="center"/>
        <w:outlineLvl w:val="0"/>
        <w:rPr>
          <w:rFonts w:ascii="Palatino Linotype" w:hAnsi="Palatino Linotype" w:cs="Helvetica"/>
          <w:b/>
          <w:color w:val="000099"/>
          <w:sz w:val="22"/>
          <w:szCs w:val="22"/>
        </w:rPr>
      </w:pPr>
    </w:p>
    <w:p w14:paraId="770C7D85" w14:textId="77777777" w:rsidR="002C3645" w:rsidRDefault="002C3645" w:rsidP="00B25DA6">
      <w:pPr>
        <w:jc w:val="center"/>
        <w:outlineLvl w:val="0"/>
        <w:rPr>
          <w:rFonts w:ascii="Palatino Linotype" w:hAnsi="Palatino Linotype" w:cs="Helvetica"/>
          <w:b/>
          <w:color w:val="000099"/>
          <w:sz w:val="22"/>
          <w:szCs w:val="22"/>
        </w:rPr>
      </w:pPr>
    </w:p>
    <w:p w14:paraId="3538574B" w14:textId="77777777" w:rsidR="00434487" w:rsidRPr="009A0EB3" w:rsidRDefault="00434487" w:rsidP="00B25DA6">
      <w:pPr>
        <w:jc w:val="center"/>
        <w:outlineLvl w:val="0"/>
        <w:rPr>
          <w:rFonts w:ascii="Palatino Linotype" w:hAnsi="Palatino Linotype" w:cs="Helvetica"/>
          <w:b/>
          <w:color w:val="000099"/>
          <w:sz w:val="22"/>
          <w:szCs w:val="22"/>
        </w:rPr>
      </w:pPr>
    </w:p>
    <w:p w14:paraId="4D79BB60" w14:textId="77777777" w:rsidR="002C3645" w:rsidRPr="009A0EB3" w:rsidRDefault="002C3645" w:rsidP="00B25DA6">
      <w:pPr>
        <w:jc w:val="center"/>
        <w:outlineLvl w:val="0"/>
        <w:rPr>
          <w:rFonts w:ascii="Palatino Linotype" w:hAnsi="Palatino Linotype" w:cs="Helvetica"/>
          <w:b/>
          <w:color w:val="000099"/>
          <w:sz w:val="22"/>
          <w:szCs w:val="22"/>
        </w:rPr>
      </w:pPr>
    </w:p>
    <w:p w14:paraId="521637A0" w14:textId="77777777" w:rsidR="002C3645" w:rsidRDefault="002C3645" w:rsidP="00B25DA6">
      <w:pPr>
        <w:jc w:val="center"/>
        <w:outlineLvl w:val="0"/>
        <w:rPr>
          <w:rFonts w:ascii="Palatino Linotype" w:hAnsi="Palatino Linotype" w:cs="Helvetica"/>
          <w:b/>
          <w:color w:val="000099"/>
          <w:sz w:val="22"/>
          <w:szCs w:val="22"/>
        </w:rPr>
      </w:pPr>
    </w:p>
    <w:p w14:paraId="3960E897" w14:textId="77777777" w:rsidR="008E4467" w:rsidRPr="009A0EB3" w:rsidRDefault="008E4467" w:rsidP="00B25DA6">
      <w:pPr>
        <w:jc w:val="center"/>
        <w:outlineLvl w:val="0"/>
        <w:rPr>
          <w:rFonts w:ascii="Palatino Linotype" w:hAnsi="Palatino Linotype" w:cs="Helvetica"/>
          <w:b/>
          <w:color w:val="000099"/>
          <w:sz w:val="22"/>
          <w:szCs w:val="22"/>
        </w:rPr>
      </w:pPr>
    </w:p>
    <w:p w14:paraId="55C7BF2C" w14:textId="77777777" w:rsidR="002C3645" w:rsidRPr="009A0EB3" w:rsidRDefault="002C3645" w:rsidP="00B25DA6">
      <w:pPr>
        <w:jc w:val="center"/>
        <w:outlineLvl w:val="0"/>
        <w:rPr>
          <w:rFonts w:ascii="Palatino Linotype" w:hAnsi="Palatino Linotype" w:cs="Helvetica"/>
          <w:b/>
          <w:color w:val="000099"/>
          <w:sz w:val="22"/>
          <w:szCs w:val="22"/>
        </w:rPr>
      </w:pPr>
    </w:p>
    <w:p w14:paraId="6AFDDE69" w14:textId="77777777" w:rsidR="002C3645" w:rsidRPr="009A0EB3" w:rsidRDefault="002C3645" w:rsidP="00B25DA6">
      <w:pPr>
        <w:jc w:val="center"/>
        <w:outlineLvl w:val="0"/>
        <w:rPr>
          <w:rFonts w:ascii="Palatino Linotype" w:hAnsi="Palatino Linotype" w:cs="Helvetica"/>
          <w:b/>
          <w:color w:val="000099"/>
          <w:sz w:val="22"/>
          <w:szCs w:val="22"/>
        </w:rPr>
      </w:pPr>
    </w:p>
    <w:p w14:paraId="284A63C6" w14:textId="77777777"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SECURITIES AND EXCHANGE BOARD OF INDIA</w:t>
      </w:r>
    </w:p>
    <w:p w14:paraId="48E25FB2" w14:textId="77777777" w:rsidR="002C3645" w:rsidRPr="009A0EB3" w:rsidRDefault="002C3645" w:rsidP="002C3645">
      <w:pPr>
        <w:spacing w:line="20" w:lineRule="atLeast"/>
        <w:jc w:val="both"/>
        <w:rPr>
          <w:rFonts w:ascii="Palatino Linotype" w:hAnsi="Palatino Linotype"/>
          <w:color w:val="FF0000"/>
          <w:sz w:val="22"/>
          <w:szCs w:val="22"/>
        </w:rPr>
      </w:pPr>
    </w:p>
    <w:p w14:paraId="2F7E156B" w14:textId="77777777" w:rsidR="009A0EB3" w:rsidRPr="009A0EB3" w:rsidRDefault="009A0EB3" w:rsidP="002C3645">
      <w:pPr>
        <w:spacing w:line="20" w:lineRule="atLeast"/>
        <w:rPr>
          <w:rFonts w:ascii="Palatino Linotype" w:hAnsi="Palatino Linotype"/>
          <w:b/>
          <w:sz w:val="22"/>
          <w:szCs w:val="22"/>
        </w:rPr>
      </w:pPr>
    </w:p>
    <w:p w14:paraId="130876FA" w14:textId="77777777" w:rsidR="002C3645" w:rsidRPr="009A0EB3" w:rsidRDefault="002C3645" w:rsidP="002C3645">
      <w:pPr>
        <w:spacing w:line="20" w:lineRule="atLeast"/>
        <w:rPr>
          <w:rFonts w:ascii="Palatino Linotype" w:hAnsi="Palatino Linotype"/>
          <w:b/>
          <w:sz w:val="22"/>
          <w:szCs w:val="22"/>
        </w:rPr>
      </w:pPr>
      <w:r w:rsidRPr="009A0EB3">
        <w:rPr>
          <w:rFonts w:ascii="Palatino Linotype" w:hAnsi="Palatino Linotype"/>
          <w:b/>
          <w:sz w:val="22"/>
          <w:szCs w:val="22"/>
        </w:rPr>
        <w:t xml:space="preserve">EDITORIAL COMMITTEE </w:t>
      </w:r>
      <w:r w:rsidR="009A0EB3" w:rsidRPr="009A0EB3">
        <w:rPr>
          <w:rFonts w:ascii="Palatino Linotype" w:hAnsi="Palatino Linotype"/>
          <w:b/>
          <w:sz w:val="22"/>
          <w:szCs w:val="22"/>
        </w:rPr>
        <w:br/>
      </w:r>
    </w:p>
    <w:p w14:paraId="46C904C6" w14:textId="77777777" w:rsidR="00E4439E" w:rsidRDefault="00E4439E" w:rsidP="002C3645">
      <w:pPr>
        <w:spacing w:line="20" w:lineRule="atLeast"/>
        <w:jc w:val="both"/>
        <w:outlineLvl w:val="0"/>
        <w:rPr>
          <w:rFonts w:ascii="Palatino Linotype" w:hAnsi="Palatino Linotype"/>
          <w:b/>
          <w:sz w:val="22"/>
          <w:szCs w:val="22"/>
        </w:rPr>
      </w:pPr>
      <w:r w:rsidRPr="009E322F">
        <w:rPr>
          <w:rFonts w:ascii="Palatino Linotype" w:eastAsia="Times New Roman" w:hAnsi="Palatino Linotype"/>
          <w:b/>
          <w:sz w:val="22"/>
          <w:szCs w:val="22"/>
        </w:rPr>
        <w:t xml:space="preserve">Shri </w:t>
      </w:r>
      <w:r w:rsidRPr="00FE77E0">
        <w:rPr>
          <w:rFonts w:ascii="Palatino Linotype" w:eastAsia="Times New Roman" w:hAnsi="Palatino Linotype"/>
          <w:b/>
          <w:sz w:val="22"/>
          <w:szCs w:val="22"/>
        </w:rPr>
        <w:t>Amarjeet Singh</w:t>
      </w:r>
      <w:r w:rsidRPr="009A0EB3">
        <w:rPr>
          <w:rFonts w:ascii="Palatino Linotype" w:hAnsi="Palatino Linotype"/>
          <w:b/>
          <w:sz w:val="22"/>
          <w:szCs w:val="22"/>
        </w:rPr>
        <w:t xml:space="preserve"> </w:t>
      </w:r>
    </w:p>
    <w:p w14:paraId="28C9035C" w14:textId="77777777" w:rsidR="002C3645" w:rsidRDefault="002C3645" w:rsidP="002C3645">
      <w:pPr>
        <w:spacing w:line="20" w:lineRule="atLeast"/>
        <w:jc w:val="both"/>
        <w:outlineLvl w:val="0"/>
        <w:rPr>
          <w:rFonts w:ascii="Palatino Linotype" w:hAnsi="Palatino Linotype"/>
          <w:b/>
          <w:sz w:val="22"/>
          <w:szCs w:val="22"/>
        </w:rPr>
      </w:pPr>
      <w:r w:rsidRPr="009A0EB3">
        <w:rPr>
          <w:rFonts w:ascii="Palatino Linotype" w:hAnsi="Palatino Linotype"/>
          <w:b/>
          <w:sz w:val="22"/>
          <w:szCs w:val="22"/>
        </w:rPr>
        <w:t xml:space="preserve">Dr. </w:t>
      </w:r>
      <w:r w:rsidR="004A4D62">
        <w:rPr>
          <w:rFonts w:ascii="Palatino Linotype" w:hAnsi="Palatino Linotype"/>
          <w:b/>
          <w:sz w:val="22"/>
          <w:szCs w:val="22"/>
        </w:rPr>
        <w:t xml:space="preserve"> </w:t>
      </w:r>
      <w:r w:rsidRPr="009A0EB3">
        <w:rPr>
          <w:rFonts w:ascii="Palatino Linotype" w:hAnsi="Palatino Linotype"/>
          <w:b/>
          <w:sz w:val="22"/>
          <w:szCs w:val="22"/>
        </w:rPr>
        <w:t>Prabhakar R. Patil</w:t>
      </w:r>
    </w:p>
    <w:p w14:paraId="4292BBAF" w14:textId="77777777" w:rsidR="00E71481" w:rsidRPr="009A0EB3"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 Prabhas Rath</w:t>
      </w:r>
    </w:p>
    <w:p w14:paraId="12370B8F" w14:textId="77777777"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Deepthi L.S.</w:t>
      </w:r>
    </w:p>
    <w:p w14:paraId="64C31E66" w14:textId="77777777"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Dr.</w:t>
      </w:r>
      <w:r w:rsidR="002C3645" w:rsidRPr="009A0EB3">
        <w:rPr>
          <w:rFonts w:ascii="Palatino Linotype" w:hAnsi="Palatino Linotype"/>
          <w:b/>
          <w:sz w:val="22"/>
          <w:szCs w:val="22"/>
        </w:rPr>
        <w:t xml:space="preserve"> </w:t>
      </w:r>
      <w:r>
        <w:rPr>
          <w:rFonts w:ascii="Palatino Linotype" w:hAnsi="Palatino Linotype"/>
          <w:b/>
          <w:sz w:val="22"/>
          <w:szCs w:val="22"/>
        </w:rPr>
        <w:t xml:space="preserve"> Deepali Dixit</w:t>
      </w:r>
    </w:p>
    <w:p w14:paraId="2C722AC3" w14:textId="77777777" w:rsidR="002C3645" w:rsidRPr="009A0EB3"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w:t>
      </w:r>
      <w:r w:rsidR="002C3645" w:rsidRPr="009A0EB3">
        <w:rPr>
          <w:rFonts w:ascii="Palatino Linotype" w:hAnsi="Palatino Linotype"/>
          <w:b/>
          <w:sz w:val="22"/>
          <w:szCs w:val="22"/>
        </w:rPr>
        <w:t xml:space="preserve"> </w:t>
      </w:r>
      <w:r w:rsidR="00FD1851">
        <w:rPr>
          <w:rFonts w:ascii="Palatino Linotype" w:hAnsi="Palatino Linotype"/>
          <w:b/>
          <w:sz w:val="22"/>
          <w:szCs w:val="22"/>
        </w:rPr>
        <w:t>Jitendra Kumar</w:t>
      </w:r>
    </w:p>
    <w:p w14:paraId="32DF5069" w14:textId="77777777" w:rsidR="002C3645" w:rsidRPr="009A0EB3" w:rsidRDefault="002C3645" w:rsidP="002C3645">
      <w:pPr>
        <w:spacing w:line="20" w:lineRule="atLeast"/>
        <w:jc w:val="both"/>
        <w:outlineLvl w:val="0"/>
        <w:rPr>
          <w:rFonts w:ascii="Palatino Linotype" w:hAnsi="Palatino Linotype"/>
          <w:b/>
          <w:sz w:val="22"/>
          <w:szCs w:val="22"/>
        </w:rPr>
      </w:pPr>
    </w:p>
    <w:p w14:paraId="3C1C9041" w14:textId="77777777" w:rsidR="002C3645" w:rsidRPr="009A0EB3" w:rsidRDefault="002C3645" w:rsidP="002C3645">
      <w:pPr>
        <w:spacing w:line="20" w:lineRule="atLeast"/>
        <w:jc w:val="both"/>
        <w:rPr>
          <w:rFonts w:ascii="Palatino Linotype" w:hAnsi="Palatino Linotype"/>
          <w:sz w:val="22"/>
          <w:szCs w:val="22"/>
        </w:rPr>
      </w:pPr>
    </w:p>
    <w:p w14:paraId="2ED6EBB9" w14:textId="77777777" w:rsidR="002C3645" w:rsidRPr="009A0EB3" w:rsidRDefault="002C3645" w:rsidP="002C3645">
      <w:pPr>
        <w:spacing w:line="20" w:lineRule="atLeast"/>
        <w:jc w:val="both"/>
        <w:rPr>
          <w:rFonts w:ascii="Palatino Linotype" w:hAnsi="Palatino Linotype"/>
          <w:sz w:val="22"/>
          <w:szCs w:val="22"/>
        </w:rPr>
      </w:pPr>
      <w:r w:rsidRPr="009A0EB3">
        <w:rPr>
          <w:rFonts w:ascii="Palatino Linotype" w:hAnsi="Palatino Linotype"/>
          <w:sz w:val="22"/>
          <w:szCs w:val="22"/>
        </w:rPr>
        <w:t xml:space="preserve">The Securities and Exchange Board of India Bulletin is issued by the Department of Economic and Policy Analysis, Securities and Exchange Board of India under the direction of an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 </w:t>
      </w:r>
      <w:r w:rsidRPr="009A0EB3">
        <w:rPr>
          <w:rFonts w:ascii="Palatino Linotype" w:hAnsi="Palatino Linotype"/>
          <w:bCs/>
          <w:sz w:val="22"/>
          <w:szCs w:val="22"/>
        </w:rPr>
        <w:t xml:space="preserve">A readable version of SEBI Bulletin is available at </w:t>
      </w:r>
      <w:hyperlink r:id="rId10" w:history="1">
        <w:r w:rsidRPr="009A0EB3">
          <w:rPr>
            <w:rFonts w:ascii="Palatino Linotype" w:hAnsi="Palatino Linotype"/>
            <w:bCs/>
            <w:sz w:val="22"/>
            <w:szCs w:val="22"/>
          </w:rPr>
          <w:t>http://www.sebi.gov.in</w:t>
        </w:r>
      </w:hyperlink>
      <w:r w:rsidRPr="009A0EB3">
        <w:rPr>
          <w:rFonts w:ascii="Palatino Linotype" w:hAnsi="Palatino Linotype"/>
          <w:bCs/>
          <w:sz w:val="22"/>
          <w:szCs w:val="22"/>
        </w:rPr>
        <w:t xml:space="preserve">. </w:t>
      </w:r>
      <w:r w:rsidR="00E71481">
        <w:rPr>
          <w:rFonts w:ascii="Palatino Linotype" w:hAnsi="Palatino Linotype"/>
          <w:bCs/>
          <w:sz w:val="22"/>
          <w:szCs w:val="22"/>
        </w:rPr>
        <w:t xml:space="preserve"> </w:t>
      </w:r>
      <w:r w:rsidR="00E71481" w:rsidRPr="00E71481">
        <w:rPr>
          <w:rFonts w:ascii="Palatino Linotype" w:hAnsi="Palatino Linotype"/>
          <w:bCs/>
          <w:sz w:val="22"/>
          <w:szCs w:val="22"/>
        </w:rPr>
        <w:t xml:space="preserve">Further,  soft copy of SEBI Bulletin is available free of cost to the subscribers/readers, who register at bulletin@sebi.gov.in along with their complete address. </w:t>
      </w:r>
      <w:r w:rsidRPr="009A0EB3">
        <w:rPr>
          <w:rFonts w:ascii="Palatino Linotype" w:hAnsi="Palatino Linotype"/>
          <w:bCs/>
          <w:sz w:val="22"/>
          <w:szCs w:val="22"/>
        </w:rPr>
        <w:t xml:space="preserve">Any comments and suggestions on any of the features/sections may be sent to </w:t>
      </w:r>
      <w:hyperlink r:id="rId11" w:history="1">
        <w:r w:rsidRPr="009A0EB3">
          <w:rPr>
            <w:rFonts w:ascii="Palatino Linotype" w:hAnsi="Palatino Linotype"/>
            <w:bCs/>
            <w:sz w:val="22"/>
            <w:szCs w:val="22"/>
          </w:rPr>
          <w:t>bulletin@sebi.gov.in</w:t>
        </w:r>
      </w:hyperlink>
    </w:p>
    <w:p w14:paraId="061DF772" w14:textId="77777777" w:rsidR="002C3645" w:rsidRPr="009A0EB3" w:rsidRDefault="002C3645" w:rsidP="00B25DA6">
      <w:pPr>
        <w:jc w:val="center"/>
        <w:outlineLvl w:val="0"/>
        <w:rPr>
          <w:rFonts w:ascii="Palatino Linotype" w:hAnsi="Palatino Linotype" w:cs="Helvetica"/>
          <w:b/>
          <w:color w:val="000099"/>
          <w:sz w:val="22"/>
          <w:szCs w:val="22"/>
        </w:rPr>
      </w:pPr>
    </w:p>
    <w:p w14:paraId="46AA7EB8" w14:textId="77777777" w:rsidR="002C3645" w:rsidRPr="009A0EB3" w:rsidRDefault="002C3645" w:rsidP="00B25DA6">
      <w:pPr>
        <w:jc w:val="center"/>
        <w:outlineLvl w:val="0"/>
        <w:rPr>
          <w:rFonts w:ascii="Palatino Linotype" w:hAnsi="Palatino Linotype" w:cs="Helvetica"/>
          <w:b/>
          <w:color w:val="000099"/>
          <w:sz w:val="22"/>
          <w:szCs w:val="22"/>
        </w:rPr>
      </w:pPr>
    </w:p>
    <w:p w14:paraId="15CC3C6D" w14:textId="77777777" w:rsidR="002C3645" w:rsidRPr="009A0EB3" w:rsidRDefault="002C3645" w:rsidP="00B25DA6">
      <w:pPr>
        <w:jc w:val="center"/>
        <w:outlineLvl w:val="0"/>
        <w:rPr>
          <w:rFonts w:ascii="Palatino Linotype" w:hAnsi="Palatino Linotype" w:cs="Helvetica"/>
          <w:b/>
          <w:color w:val="000099"/>
          <w:sz w:val="22"/>
          <w:szCs w:val="22"/>
        </w:rPr>
      </w:pPr>
    </w:p>
    <w:p w14:paraId="5736E46F" w14:textId="77777777" w:rsidR="002C3645" w:rsidRPr="009A0EB3" w:rsidRDefault="002C3645" w:rsidP="00B25DA6">
      <w:pPr>
        <w:jc w:val="center"/>
        <w:outlineLvl w:val="0"/>
        <w:rPr>
          <w:rFonts w:ascii="Palatino Linotype" w:hAnsi="Palatino Linotype" w:cs="Helvetica"/>
          <w:b/>
          <w:color w:val="000099"/>
          <w:sz w:val="22"/>
          <w:szCs w:val="22"/>
        </w:rPr>
      </w:pPr>
    </w:p>
    <w:p w14:paraId="6FE6510F" w14:textId="77777777" w:rsidR="002C3645" w:rsidRPr="009A0EB3" w:rsidRDefault="002C3645" w:rsidP="00B25DA6">
      <w:pPr>
        <w:jc w:val="center"/>
        <w:outlineLvl w:val="0"/>
        <w:rPr>
          <w:rFonts w:ascii="Palatino Linotype" w:hAnsi="Palatino Linotype" w:cs="Helvetica"/>
          <w:b/>
          <w:color w:val="000099"/>
          <w:sz w:val="22"/>
          <w:szCs w:val="22"/>
        </w:rPr>
      </w:pPr>
    </w:p>
    <w:p w14:paraId="71C0AB60" w14:textId="77777777" w:rsidR="002C3645" w:rsidRPr="009A0EB3" w:rsidRDefault="002C3645" w:rsidP="00B25DA6">
      <w:pPr>
        <w:jc w:val="center"/>
        <w:outlineLvl w:val="0"/>
        <w:rPr>
          <w:rFonts w:ascii="Palatino Linotype" w:hAnsi="Palatino Linotype" w:cs="Helvetica"/>
          <w:b/>
          <w:color w:val="000099"/>
          <w:sz w:val="22"/>
          <w:szCs w:val="22"/>
        </w:rPr>
      </w:pPr>
    </w:p>
    <w:p w14:paraId="077B76B1" w14:textId="77777777" w:rsidR="002C3645" w:rsidRPr="009A0EB3" w:rsidRDefault="002C3645" w:rsidP="00B25DA6">
      <w:pPr>
        <w:jc w:val="center"/>
        <w:outlineLvl w:val="0"/>
        <w:rPr>
          <w:rFonts w:ascii="Palatino Linotype" w:hAnsi="Palatino Linotype" w:cs="Helvetica"/>
          <w:b/>
          <w:color w:val="000099"/>
          <w:sz w:val="22"/>
          <w:szCs w:val="22"/>
        </w:rPr>
      </w:pPr>
    </w:p>
    <w:p w14:paraId="26851EAC" w14:textId="77777777" w:rsidR="002C3645" w:rsidRPr="009A0EB3" w:rsidRDefault="002C3645" w:rsidP="00B25DA6">
      <w:pPr>
        <w:jc w:val="center"/>
        <w:outlineLvl w:val="0"/>
        <w:rPr>
          <w:rFonts w:ascii="Palatino Linotype" w:hAnsi="Palatino Linotype" w:cs="Helvetica"/>
          <w:b/>
          <w:color w:val="000099"/>
          <w:sz w:val="22"/>
          <w:szCs w:val="22"/>
        </w:rPr>
      </w:pPr>
    </w:p>
    <w:p w14:paraId="5BF67311" w14:textId="77777777" w:rsidR="002C3645" w:rsidRPr="009A0EB3" w:rsidRDefault="002C3645" w:rsidP="00B25DA6">
      <w:pPr>
        <w:jc w:val="center"/>
        <w:outlineLvl w:val="0"/>
        <w:rPr>
          <w:rFonts w:ascii="Palatino Linotype" w:hAnsi="Palatino Linotype" w:cs="Helvetica"/>
          <w:b/>
          <w:color w:val="000099"/>
          <w:sz w:val="22"/>
          <w:szCs w:val="22"/>
        </w:rPr>
      </w:pPr>
    </w:p>
    <w:p w14:paraId="18A93110" w14:textId="77777777" w:rsidR="002C3645" w:rsidRPr="009A0EB3" w:rsidRDefault="002C3645" w:rsidP="00B25DA6">
      <w:pPr>
        <w:jc w:val="center"/>
        <w:outlineLvl w:val="0"/>
        <w:rPr>
          <w:rFonts w:ascii="Palatino Linotype" w:hAnsi="Palatino Linotype" w:cs="Helvetica"/>
          <w:b/>
          <w:color w:val="000099"/>
          <w:sz w:val="22"/>
          <w:szCs w:val="22"/>
        </w:rPr>
      </w:pPr>
    </w:p>
    <w:p w14:paraId="2DCBFD25" w14:textId="77777777" w:rsidR="002C3645" w:rsidRPr="009A0EB3" w:rsidRDefault="002C3645" w:rsidP="00B25DA6">
      <w:pPr>
        <w:jc w:val="center"/>
        <w:outlineLvl w:val="0"/>
        <w:rPr>
          <w:rFonts w:ascii="Palatino Linotype" w:hAnsi="Palatino Linotype" w:cs="Helvetica"/>
          <w:b/>
          <w:color w:val="000099"/>
          <w:sz w:val="22"/>
          <w:szCs w:val="22"/>
        </w:rPr>
      </w:pPr>
    </w:p>
    <w:p w14:paraId="05BB2F1D" w14:textId="77777777" w:rsidR="002C3645" w:rsidRPr="009A0EB3" w:rsidRDefault="002C3645" w:rsidP="00B25DA6">
      <w:pPr>
        <w:jc w:val="center"/>
        <w:outlineLvl w:val="0"/>
        <w:rPr>
          <w:rFonts w:ascii="Palatino Linotype" w:hAnsi="Palatino Linotype" w:cs="Helvetica"/>
          <w:b/>
          <w:color w:val="000099"/>
          <w:sz w:val="22"/>
          <w:szCs w:val="22"/>
        </w:rPr>
      </w:pPr>
    </w:p>
    <w:p w14:paraId="790B27A0" w14:textId="77777777" w:rsidR="002C3645" w:rsidRPr="009A0EB3" w:rsidRDefault="002C3645" w:rsidP="00B25DA6">
      <w:pPr>
        <w:jc w:val="center"/>
        <w:outlineLvl w:val="0"/>
        <w:rPr>
          <w:rFonts w:ascii="Palatino Linotype" w:hAnsi="Palatino Linotype" w:cs="Helvetica"/>
          <w:b/>
          <w:color w:val="000099"/>
          <w:sz w:val="22"/>
          <w:szCs w:val="22"/>
        </w:rPr>
      </w:pPr>
    </w:p>
    <w:p w14:paraId="3BFC18E4" w14:textId="77777777" w:rsidR="002C3645" w:rsidRPr="009A0EB3" w:rsidRDefault="002C3645" w:rsidP="00B25DA6">
      <w:pPr>
        <w:jc w:val="center"/>
        <w:outlineLvl w:val="0"/>
        <w:rPr>
          <w:rFonts w:ascii="Palatino Linotype" w:hAnsi="Palatino Linotype" w:cs="Helvetica"/>
          <w:b/>
          <w:color w:val="000099"/>
          <w:sz w:val="22"/>
          <w:szCs w:val="22"/>
        </w:rPr>
      </w:pPr>
    </w:p>
    <w:p w14:paraId="5153AEBB" w14:textId="77777777" w:rsidR="002C3645" w:rsidRPr="009A0EB3" w:rsidRDefault="002C3645" w:rsidP="00B25DA6">
      <w:pPr>
        <w:jc w:val="center"/>
        <w:outlineLvl w:val="0"/>
        <w:rPr>
          <w:rFonts w:ascii="Palatino Linotype" w:hAnsi="Palatino Linotype" w:cs="Helvetica"/>
          <w:b/>
          <w:color w:val="000099"/>
          <w:sz w:val="22"/>
          <w:szCs w:val="22"/>
        </w:rPr>
      </w:pPr>
    </w:p>
    <w:p w14:paraId="126315DA" w14:textId="77777777" w:rsidR="002C3645" w:rsidRDefault="002C3645" w:rsidP="00B25DA6">
      <w:pPr>
        <w:jc w:val="center"/>
        <w:outlineLvl w:val="0"/>
        <w:rPr>
          <w:rFonts w:ascii="Palatino Linotype" w:hAnsi="Palatino Linotype" w:cs="Helvetica"/>
          <w:b/>
          <w:color w:val="000099"/>
          <w:sz w:val="22"/>
          <w:szCs w:val="22"/>
        </w:rPr>
      </w:pPr>
    </w:p>
    <w:p w14:paraId="7E49FE78" w14:textId="77777777" w:rsidR="000254CD" w:rsidRDefault="000254CD" w:rsidP="00B25DA6">
      <w:pPr>
        <w:jc w:val="center"/>
        <w:outlineLvl w:val="0"/>
        <w:rPr>
          <w:rFonts w:ascii="Palatino Linotype" w:hAnsi="Palatino Linotype" w:cs="Helvetica"/>
          <w:b/>
          <w:color w:val="000099"/>
          <w:sz w:val="22"/>
          <w:szCs w:val="22"/>
        </w:rPr>
      </w:pPr>
    </w:p>
    <w:p w14:paraId="77B43D39" w14:textId="77777777" w:rsidR="000254CD" w:rsidRDefault="000254CD" w:rsidP="00B25DA6">
      <w:pPr>
        <w:jc w:val="center"/>
        <w:outlineLvl w:val="0"/>
        <w:rPr>
          <w:rFonts w:ascii="Palatino Linotype" w:hAnsi="Palatino Linotype" w:cs="Helvetica"/>
          <w:b/>
          <w:color w:val="000099"/>
          <w:sz w:val="22"/>
          <w:szCs w:val="22"/>
        </w:rPr>
      </w:pPr>
    </w:p>
    <w:p w14:paraId="589DA8D2" w14:textId="77777777" w:rsidR="000254CD" w:rsidRDefault="000254CD" w:rsidP="00B25DA6">
      <w:pPr>
        <w:jc w:val="center"/>
        <w:outlineLvl w:val="0"/>
        <w:rPr>
          <w:rFonts w:ascii="Palatino Linotype" w:hAnsi="Palatino Linotype" w:cs="Helvetica"/>
          <w:b/>
          <w:color w:val="000099"/>
          <w:sz w:val="22"/>
          <w:szCs w:val="22"/>
        </w:rPr>
      </w:pPr>
    </w:p>
    <w:p w14:paraId="33625688" w14:textId="77777777" w:rsidR="000254CD" w:rsidRDefault="000254CD" w:rsidP="00B25DA6">
      <w:pPr>
        <w:jc w:val="center"/>
        <w:outlineLvl w:val="0"/>
        <w:rPr>
          <w:rFonts w:ascii="Palatino Linotype" w:hAnsi="Palatino Linotype" w:cs="Helvetica"/>
          <w:b/>
          <w:color w:val="000099"/>
          <w:sz w:val="22"/>
          <w:szCs w:val="22"/>
        </w:rPr>
      </w:pPr>
    </w:p>
    <w:p w14:paraId="5E9E7BDE" w14:textId="77777777" w:rsidR="000254CD" w:rsidRDefault="000254CD" w:rsidP="00B25DA6">
      <w:pPr>
        <w:jc w:val="center"/>
        <w:outlineLvl w:val="0"/>
        <w:rPr>
          <w:rFonts w:ascii="Palatino Linotype" w:hAnsi="Palatino Linotype" w:cs="Helvetica"/>
          <w:b/>
          <w:color w:val="000099"/>
          <w:sz w:val="22"/>
          <w:szCs w:val="22"/>
        </w:rPr>
      </w:pPr>
    </w:p>
    <w:p w14:paraId="0102D309" w14:textId="77777777" w:rsidR="000254CD" w:rsidRPr="009A0EB3" w:rsidRDefault="000254CD" w:rsidP="00B25DA6">
      <w:pPr>
        <w:jc w:val="center"/>
        <w:outlineLvl w:val="0"/>
        <w:rPr>
          <w:rFonts w:ascii="Palatino Linotype" w:hAnsi="Palatino Linotype" w:cs="Helvetica"/>
          <w:b/>
          <w:color w:val="000099"/>
          <w:sz w:val="22"/>
          <w:szCs w:val="22"/>
        </w:rPr>
      </w:pPr>
    </w:p>
    <w:p w14:paraId="6466BC83" w14:textId="77777777" w:rsidR="002C3645" w:rsidRDefault="002C3645" w:rsidP="00B25DA6">
      <w:pPr>
        <w:jc w:val="center"/>
        <w:outlineLvl w:val="0"/>
        <w:rPr>
          <w:rFonts w:ascii="Palatino Linotype" w:hAnsi="Palatino Linotype" w:cs="Helvetica"/>
          <w:b/>
          <w:color w:val="000099"/>
          <w:sz w:val="22"/>
          <w:szCs w:val="22"/>
        </w:rPr>
      </w:pPr>
    </w:p>
    <w:p w14:paraId="545AC8ED" w14:textId="77777777" w:rsidR="00EB52C5" w:rsidRDefault="00EB52C5" w:rsidP="00B25DA6">
      <w:pPr>
        <w:jc w:val="center"/>
        <w:outlineLvl w:val="0"/>
        <w:rPr>
          <w:rFonts w:ascii="Palatino Linotype" w:hAnsi="Palatino Linotype" w:cs="Helvetica"/>
          <w:b/>
          <w:color w:val="000099"/>
          <w:sz w:val="22"/>
          <w:szCs w:val="22"/>
        </w:rPr>
      </w:pPr>
    </w:p>
    <w:p w14:paraId="39DB2183" w14:textId="77777777" w:rsidR="00EB52C5" w:rsidRPr="009A0EB3" w:rsidRDefault="00EB52C5" w:rsidP="00B25DA6">
      <w:pPr>
        <w:jc w:val="center"/>
        <w:outlineLvl w:val="0"/>
        <w:rPr>
          <w:rFonts w:ascii="Palatino Linotype" w:hAnsi="Palatino Linotype" w:cs="Helvetica"/>
          <w:b/>
          <w:color w:val="000099"/>
          <w:sz w:val="22"/>
          <w:szCs w:val="22"/>
        </w:rPr>
      </w:pPr>
    </w:p>
    <w:p w14:paraId="26A16A45" w14:textId="77777777" w:rsidR="002C3645" w:rsidRPr="009A0EB3" w:rsidRDefault="002C3645" w:rsidP="00B25DA6">
      <w:pPr>
        <w:jc w:val="center"/>
        <w:outlineLvl w:val="0"/>
        <w:rPr>
          <w:rFonts w:ascii="Palatino Linotype" w:hAnsi="Palatino Linotype" w:cs="Helvetica"/>
          <w:b/>
          <w:color w:val="000099"/>
          <w:sz w:val="22"/>
          <w:szCs w:val="22"/>
        </w:rPr>
      </w:pPr>
    </w:p>
    <w:p w14:paraId="19769E14" w14:textId="77777777" w:rsidR="002C3645" w:rsidRPr="009A0EB3" w:rsidRDefault="002C3645" w:rsidP="002C3645">
      <w:pPr>
        <w:spacing w:line="20" w:lineRule="atLeast"/>
        <w:jc w:val="center"/>
        <w:rPr>
          <w:rFonts w:ascii="Palatino Linotype" w:hAnsi="Palatino Linotype"/>
          <w:b/>
          <w:color w:val="632423"/>
          <w:sz w:val="22"/>
          <w:szCs w:val="22"/>
        </w:rPr>
      </w:pPr>
      <w:r w:rsidRPr="009A0EB3">
        <w:rPr>
          <w:rFonts w:ascii="Palatino Linotype" w:hAnsi="Palatino Linotype"/>
          <w:b/>
          <w:color w:val="632423"/>
          <w:sz w:val="22"/>
          <w:szCs w:val="22"/>
        </w:rPr>
        <w:t>CONTENTS</w:t>
      </w:r>
    </w:p>
    <w:p w14:paraId="769B23E7" w14:textId="77777777" w:rsidR="002C3645" w:rsidRPr="009A0EB3" w:rsidRDefault="002C3645" w:rsidP="002C3645">
      <w:pPr>
        <w:spacing w:line="20" w:lineRule="atLeast"/>
        <w:jc w:val="both"/>
        <w:rPr>
          <w:rFonts w:ascii="Palatino Linotype" w:hAnsi="Palatino Linotype"/>
          <w:b/>
          <w:color w:val="0000FF"/>
          <w:sz w:val="22"/>
          <w:szCs w:val="22"/>
        </w:rPr>
      </w:pPr>
    </w:p>
    <w:p w14:paraId="38BD4F6D" w14:textId="77777777" w:rsidR="002C3645" w:rsidRPr="009A0EB3" w:rsidRDefault="002C3645" w:rsidP="002C3645">
      <w:pPr>
        <w:spacing w:line="20" w:lineRule="atLeast"/>
        <w:jc w:val="both"/>
        <w:rPr>
          <w:rFonts w:ascii="Palatino Linotype" w:hAnsi="Palatino Linotype"/>
          <w:b/>
          <w:color w:val="0000FF"/>
          <w:sz w:val="22"/>
          <w:szCs w:val="22"/>
        </w:rPr>
      </w:pPr>
    </w:p>
    <w:p w14:paraId="519CE1D6" w14:textId="77777777" w:rsidR="00FE77E0" w:rsidRDefault="00FE77E0" w:rsidP="00FE77E0">
      <w:pPr>
        <w:spacing w:line="20" w:lineRule="atLeast"/>
        <w:jc w:val="both"/>
        <w:rPr>
          <w:rFonts w:ascii="Palatino Linotype" w:hAnsi="Palatino Linotype"/>
          <w:b/>
          <w:color w:val="0000FF"/>
          <w:sz w:val="22"/>
          <w:szCs w:val="22"/>
        </w:rPr>
      </w:pPr>
    </w:p>
    <w:p w14:paraId="0A90B566" w14:textId="77777777" w:rsidR="007C7C20" w:rsidRPr="00A36146" w:rsidRDefault="007C7C20" w:rsidP="00A36146">
      <w:pPr>
        <w:spacing w:line="20" w:lineRule="atLeast"/>
        <w:jc w:val="both"/>
        <w:rPr>
          <w:rFonts w:ascii="Palatino Linotype" w:hAnsi="Palatino Linotype"/>
          <w:b/>
          <w:color w:val="0000FF"/>
          <w:sz w:val="22"/>
          <w:szCs w:val="22"/>
        </w:rPr>
      </w:pPr>
    </w:p>
    <w:p w14:paraId="6C8BB7AF" w14:textId="77777777" w:rsidR="002C3645" w:rsidRPr="009A0EB3" w:rsidRDefault="002C3645" w:rsidP="00F81232">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CAPITAL MARKET REVIEW</w:t>
      </w:r>
    </w:p>
    <w:p w14:paraId="4712A62A" w14:textId="77777777" w:rsidR="002C3645" w:rsidRPr="009A0EB3" w:rsidRDefault="002C3645" w:rsidP="002C3645">
      <w:pPr>
        <w:spacing w:line="20" w:lineRule="atLeast"/>
        <w:jc w:val="both"/>
        <w:rPr>
          <w:rFonts w:ascii="Palatino Linotype" w:hAnsi="Palatino Linotype"/>
          <w:b/>
          <w:color w:val="0000FF"/>
          <w:sz w:val="22"/>
          <w:szCs w:val="22"/>
        </w:rPr>
      </w:pPr>
    </w:p>
    <w:p w14:paraId="317D812F" w14:textId="77777777"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REVIEW OF GLOBAL FINANCIAL MARKETS</w:t>
      </w:r>
    </w:p>
    <w:p w14:paraId="36D1BF71" w14:textId="77777777" w:rsidR="002C3645" w:rsidRPr="009A0EB3" w:rsidRDefault="002C3645" w:rsidP="002C3645">
      <w:pPr>
        <w:spacing w:line="20" w:lineRule="atLeast"/>
        <w:jc w:val="both"/>
        <w:rPr>
          <w:rFonts w:ascii="Palatino Linotype" w:hAnsi="Palatino Linotype"/>
          <w:b/>
          <w:color w:val="0000FF"/>
          <w:sz w:val="22"/>
          <w:szCs w:val="22"/>
        </w:rPr>
      </w:pPr>
    </w:p>
    <w:p w14:paraId="27AA23F3" w14:textId="77777777"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HIGHLIGHTS OF DEVELOPMENTS IN INTERNATIONAL SECURITIES MARKET</w:t>
      </w:r>
    </w:p>
    <w:p w14:paraId="4531E935" w14:textId="77777777" w:rsidR="002C3645" w:rsidRPr="009A0EB3" w:rsidRDefault="002C3645" w:rsidP="002C3645">
      <w:pPr>
        <w:spacing w:line="20" w:lineRule="atLeast"/>
        <w:jc w:val="both"/>
        <w:rPr>
          <w:rFonts w:ascii="Palatino Linotype" w:hAnsi="Palatino Linotype"/>
          <w:b/>
          <w:color w:val="0000FF"/>
          <w:sz w:val="22"/>
          <w:szCs w:val="22"/>
        </w:rPr>
      </w:pPr>
    </w:p>
    <w:p w14:paraId="26CC7E7B" w14:textId="77777777"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POLICY DEVELOPMENTS </w:t>
      </w:r>
      <w:r w:rsidR="00E71481">
        <w:rPr>
          <w:rFonts w:ascii="Palatino Linotype" w:hAnsi="Palatino Linotype"/>
          <w:b/>
          <w:color w:val="0000FF"/>
          <w:sz w:val="22"/>
          <w:szCs w:val="22"/>
        </w:rPr>
        <w:t>AT SEBI</w:t>
      </w:r>
    </w:p>
    <w:p w14:paraId="0E1D0190" w14:textId="77777777" w:rsidR="002C3645" w:rsidRPr="009A0EB3" w:rsidRDefault="002C3645" w:rsidP="002C3645">
      <w:pPr>
        <w:spacing w:line="20" w:lineRule="atLeast"/>
        <w:jc w:val="both"/>
        <w:rPr>
          <w:rFonts w:ascii="Palatino Linotype" w:hAnsi="Palatino Linotype"/>
          <w:b/>
          <w:color w:val="0000FF"/>
          <w:sz w:val="22"/>
          <w:szCs w:val="22"/>
        </w:rPr>
      </w:pPr>
    </w:p>
    <w:p w14:paraId="09D1B2BB" w14:textId="77777777"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REGULATORY ACTIONS TAKEN BY SEBI </w:t>
      </w:r>
    </w:p>
    <w:p w14:paraId="4CC25300" w14:textId="77777777" w:rsidR="002C3645" w:rsidRPr="009A0EB3" w:rsidRDefault="002C3645" w:rsidP="002C3645">
      <w:pPr>
        <w:spacing w:line="20" w:lineRule="atLeast"/>
        <w:jc w:val="both"/>
        <w:rPr>
          <w:rFonts w:ascii="Palatino Linotype" w:hAnsi="Palatino Linotype"/>
          <w:b/>
          <w:color w:val="0000FF"/>
          <w:sz w:val="22"/>
          <w:szCs w:val="22"/>
        </w:rPr>
      </w:pPr>
    </w:p>
    <w:p w14:paraId="55F70123" w14:textId="77777777"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TABLES </w:t>
      </w:r>
    </w:p>
    <w:p w14:paraId="7FF38942" w14:textId="77777777" w:rsidR="002C3645" w:rsidRPr="009A0EB3" w:rsidRDefault="002C3645" w:rsidP="002C3645">
      <w:pPr>
        <w:spacing w:line="20" w:lineRule="atLeast"/>
        <w:jc w:val="both"/>
        <w:rPr>
          <w:rFonts w:ascii="Palatino Linotype" w:hAnsi="Palatino Linotype"/>
          <w:b/>
          <w:color w:val="0000FF"/>
          <w:sz w:val="22"/>
          <w:szCs w:val="22"/>
        </w:rPr>
      </w:pPr>
    </w:p>
    <w:p w14:paraId="3CE5983F" w14:textId="77777777"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PUBLICATIONS</w:t>
      </w:r>
    </w:p>
    <w:p w14:paraId="4F0E78AF" w14:textId="77777777" w:rsidR="002C3645" w:rsidRDefault="002C3645" w:rsidP="00B25DA6">
      <w:pPr>
        <w:jc w:val="center"/>
        <w:outlineLvl w:val="0"/>
        <w:rPr>
          <w:rFonts w:ascii="Palatino Linotype" w:hAnsi="Palatino Linotype" w:cs="Helvetica"/>
          <w:b/>
          <w:color w:val="000099"/>
          <w:sz w:val="22"/>
          <w:szCs w:val="22"/>
        </w:rPr>
      </w:pPr>
    </w:p>
    <w:p w14:paraId="7938BC92" w14:textId="77777777" w:rsidR="009E322F" w:rsidRDefault="009E322F" w:rsidP="00B25DA6">
      <w:pPr>
        <w:jc w:val="center"/>
        <w:outlineLvl w:val="0"/>
        <w:rPr>
          <w:rFonts w:ascii="Palatino Linotype" w:hAnsi="Palatino Linotype" w:cs="Helvetica"/>
          <w:b/>
          <w:color w:val="000099"/>
          <w:sz w:val="22"/>
          <w:szCs w:val="22"/>
        </w:rPr>
      </w:pPr>
    </w:p>
    <w:p w14:paraId="10A71591" w14:textId="77777777" w:rsidR="009E322F" w:rsidRDefault="009E322F" w:rsidP="00B25DA6">
      <w:pPr>
        <w:jc w:val="center"/>
        <w:outlineLvl w:val="0"/>
        <w:rPr>
          <w:rFonts w:ascii="Palatino Linotype" w:hAnsi="Palatino Linotype" w:cs="Helvetica"/>
          <w:b/>
          <w:color w:val="000099"/>
          <w:sz w:val="22"/>
          <w:szCs w:val="22"/>
        </w:rPr>
      </w:pPr>
    </w:p>
    <w:p w14:paraId="74F31E22" w14:textId="77777777" w:rsidR="009E322F" w:rsidRDefault="009E322F" w:rsidP="00B25DA6">
      <w:pPr>
        <w:jc w:val="center"/>
        <w:outlineLvl w:val="0"/>
        <w:rPr>
          <w:rFonts w:ascii="Palatino Linotype" w:hAnsi="Palatino Linotype" w:cs="Helvetica"/>
          <w:b/>
          <w:color w:val="000099"/>
          <w:sz w:val="22"/>
          <w:szCs w:val="22"/>
        </w:rPr>
      </w:pPr>
    </w:p>
    <w:p w14:paraId="2DD802FA" w14:textId="77777777" w:rsidR="009E322F" w:rsidRDefault="009E322F" w:rsidP="00B25DA6">
      <w:pPr>
        <w:jc w:val="center"/>
        <w:outlineLvl w:val="0"/>
        <w:rPr>
          <w:rFonts w:ascii="Palatino Linotype" w:hAnsi="Palatino Linotype" w:cs="Helvetica"/>
          <w:b/>
          <w:color w:val="000099"/>
          <w:sz w:val="22"/>
          <w:szCs w:val="22"/>
        </w:rPr>
      </w:pPr>
    </w:p>
    <w:p w14:paraId="52F6F7C7" w14:textId="77777777" w:rsidR="009E322F" w:rsidRDefault="009E322F" w:rsidP="00B25DA6">
      <w:pPr>
        <w:jc w:val="center"/>
        <w:outlineLvl w:val="0"/>
        <w:rPr>
          <w:rFonts w:ascii="Palatino Linotype" w:hAnsi="Palatino Linotype" w:cs="Helvetica"/>
          <w:b/>
          <w:color w:val="000099"/>
          <w:sz w:val="22"/>
          <w:szCs w:val="22"/>
        </w:rPr>
      </w:pPr>
    </w:p>
    <w:p w14:paraId="678C67A8" w14:textId="77777777" w:rsidR="009E322F" w:rsidRDefault="009E322F" w:rsidP="00B25DA6">
      <w:pPr>
        <w:jc w:val="center"/>
        <w:outlineLvl w:val="0"/>
        <w:rPr>
          <w:rFonts w:ascii="Palatino Linotype" w:hAnsi="Palatino Linotype" w:cs="Helvetica"/>
          <w:b/>
          <w:color w:val="000099"/>
          <w:sz w:val="22"/>
          <w:szCs w:val="22"/>
        </w:rPr>
      </w:pPr>
    </w:p>
    <w:p w14:paraId="1071741F" w14:textId="77777777" w:rsidR="009E322F" w:rsidRDefault="009E322F" w:rsidP="00B25DA6">
      <w:pPr>
        <w:jc w:val="center"/>
        <w:outlineLvl w:val="0"/>
        <w:rPr>
          <w:rFonts w:ascii="Palatino Linotype" w:hAnsi="Palatino Linotype" w:cs="Helvetica"/>
          <w:b/>
          <w:color w:val="000099"/>
          <w:sz w:val="22"/>
          <w:szCs w:val="22"/>
        </w:rPr>
      </w:pPr>
    </w:p>
    <w:p w14:paraId="6B8085CD" w14:textId="77777777" w:rsidR="009E322F" w:rsidRDefault="009E322F" w:rsidP="00B25DA6">
      <w:pPr>
        <w:jc w:val="center"/>
        <w:outlineLvl w:val="0"/>
        <w:rPr>
          <w:rFonts w:ascii="Palatino Linotype" w:hAnsi="Palatino Linotype" w:cs="Helvetica"/>
          <w:b/>
          <w:color w:val="000099"/>
          <w:sz w:val="22"/>
          <w:szCs w:val="22"/>
        </w:rPr>
      </w:pPr>
    </w:p>
    <w:p w14:paraId="3C9A00AF" w14:textId="77777777" w:rsidR="009E322F" w:rsidRDefault="009E322F" w:rsidP="00B25DA6">
      <w:pPr>
        <w:jc w:val="center"/>
        <w:outlineLvl w:val="0"/>
        <w:rPr>
          <w:rFonts w:ascii="Palatino Linotype" w:hAnsi="Palatino Linotype" w:cs="Helvetica"/>
          <w:b/>
          <w:color w:val="000099"/>
          <w:sz w:val="22"/>
          <w:szCs w:val="22"/>
        </w:rPr>
      </w:pPr>
    </w:p>
    <w:p w14:paraId="7B19131C" w14:textId="77777777" w:rsidR="009E322F" w:rsidRDefault="009E322F" w:rsidP="00B25DA6">
      <w:pPr>
        <w:jc w:val="center"/>
        <w:outlineLvl w:val="0"/>
        <w:rPr>
          <w:rFonts w:ascii="Palatino Linotype" w:hAnsi="Palatino Linotype" w:cs="Helvetica"/>
          <w:b/>
          <w:color w:val="000099"/>
          <w:sz w:val="22"/>
          <w:szCs w:val="22"/>
        </w:rPr>
      </w:pPr>
    </w:p>
    <w:p w14:paraId="0BFF1BB3" w14:textId="77777777" w:rsidR="009E322F" w:rsidRDefault="009E322F" w:rsidP="00B25DA6">
      <w:pPr>
        <w:jc w:val="center"/>
        <w:outlineLvl w:val="0"/>
        <w:rPr>
          <w:rFonts w:ascii="Palatino Linotype" w:hAnsi="Palatino Linotype" w:cs="Helvetica"/>
          <w:b/>
          <w:color w:val="000099"/>
          <w:sz w:val="22"/>
          <w:szCs w:val="22"/>
        </w:rPr>
      </w:pPr>
    </w:p>
    <w:p w14:paraId="54D665B0" w14:textId="77777777" w:rsidR="009E322F" w:rsidRDefault="009E322F" w:rsidP="00B25DA6">
      <w:pPr>
        <w:jc w:val="center"/>
        <w:outlineLvl w:val="0"/>
        <w:rPr>
          <w:rFonts w:ascii="Palatino Linotype" w:hAnsi="Palatino Linotype" w:cs="Helvetica"/>
          <w:b/>
          <w:color w:val="000099"/>
          <w:sz w:val="22"/>
          <w:szCs w:val="22"/>
        </w:rPr>
      </w:pPr>
    </w:p>
    <w:p w14:paraId="4007EB9A" w14:textId="77777777" w:rsidR="009E322F" w:rsidRDefault="009E322F" w:rsidP="00B25DA6">
      <w:pPr>
        <w:jc w:val="center"/>
        <w:outlineLvl w:val="0"/>
        <w:rPr>
          <w:rFonts w:ascii="Palatino Linotype" w:hAnsi="Palatino Linotype" w:cs="Helvetica"/>
          <w:b/>
          <w:color w:val="000099"/>
          <w:sz w:val="22"/>
          <w:szCs w:val="22"/>
        </w:rPr>
      </w:pPr>
    </w:p>
    <w:p w14:paraId="0AE6448C" w14:textId="77777777" w:rsidR="009E322F" w:rsidRDefault="009E322F" w:rsidP="00B25DA6">
      <w:pPr>
        <w:jc w:val="center"/>
        <w:outlineLvl w:val="0"/>
        <w:rPr>
          <w:rFonts w:ascii="Palatino Linotype" w:hAnsi="Palatino Linotype" w:cs="Helvetica"/>
          <w:b/>
          <w:color w:val="000099"/>
          <w:sz w:val="22"/>
          <w:szCs w:val="22"/>
        </w:rPr>
      </w:pPr>
    </w:p>
    <w:p w14:paraId="3EE05AEB" w14:textId="77777777" w:rsidR="009E322F" w:rsidRDefault="009E322F" w:rsidP="00B25DA6">
      <w:pPr>
        <w:jc w:val="center"/>
        <w:outlineLvl w:val="0"/>
        <w:rPr>
          <w:rFonts w:ascii="Palatino Linotype" w:hAnsi="Palatino Linotype" w:cs="Helvetica"/>
          <w:b/>
          <w:color w:val="000099"/>
          <w:sz w:val="22"/>
          <w:szCs w:val="22"/>
        </w:rPr>
      </w:pPr>
    </w:p>
    <w:p w14:paraId="400CBBB8" w14:textId="77777777" w:rsidR="009E322F" w:rsidRDefault="009E322F" w:rsidP="00B25DA6">
      <w:pPr>
        <w:jc w:val="center"/>
        <w:outlineLvl w:val="0"/>
        <w:rPr>
          <w:rFonts w:ascii="Palatino Linotype" w:hAnsi="Palatino Linotype" w:cs="Helvetica"/>
          <w:b/>
          <w:color w:val="000099"/>
          <w:sz w:val="22"/>
          <w:szCs w:val="22"/>
        </w:rPr>
      </w:pPr>
    </w:p>
    <w:p w14:paraId="438A4D39" w14:textId="77777777" w:rsidR="009E322F" w:rsidRDefault="009E322F" w:rsidP="00B25DA6">
      <w:pPr>
        <w:jc w:val="center"/>
        <w:outlineLvl w:val="0"/>
        <w:rPr>
          <w:rFonts w:ascii="Palatino Linotype" w:hAnsi="Palatino Linotype" w:cs="Helvetica"/>
          <w:b/>
          <w:color w:val="000099"/>
          <w:sz w:val="22"/>
          <w:szCs w:val="22"/>
        </w:rPr>
      </w:pPr>
    </w:p>
    <w:p w14:paraId="2BC15335" w14:textId="77777777" w:rsidR="009E322F" w:rsidRDefault="009E322F" w:rsidP="00B25DA6">
      <w:pPr>
        <w:jc w:val="center"/>
        <w:outlineLvl w:val="0"/>
        <w:rPr>
          <w:rFonts w:ascii="Palatino Linotype" w:hAnsi="Palatino Linotype" w:cs="Helvetica"/>
          <w:b/>
          <w:color w:val="000099"/>
          <w:sz w:val="22"/>
          <w:szCs w:val="22"/>
        </w:rPr>
      </w:pPr>
    </w:p>
    <w:p w14:paraId="32A1E761" w14:textId="77777777" w:rsidR="006A566F" w:rsidRDefault="006A566F" w:rsidP="00B25DA6">
      <w:pPr>
        <w:jc w:val="center"/>
        <w:outlineLvl w:val="0"/>
        <w:rPr>
          <w:rFonts w:ascii="Palatino Linotype" w:hAnsi="Palatino Linotype" w:cs="Helvetica"/>
          <w:b/>
          <w:color w:val="000099"/>
          <w:sz w:val="22"/>
          <w:szCs w:val="22"/>
        </w:rPr>
      </w:pPr>
    </w:p>
    <w:p w14:paraId="083646E3" w14:textId="77777777" w:rsidR="006A566F" w:rsidRDefault="006A566F" w:rsidP="00B25DA6">
      <w:pPr>
        <w:jc w:val="center"/>
        <w:outlineLvl w:val="0"/>
        <w:rPr>
          <w:rFonts w:ascii="Palatino Linotype" w:hAnsi="Palatino Linotype" w:cs="Helvetica"/>
          <w:b/>
          <w:color w:val="000099"/>
          <w:sz w:val="22"/>
          <w:szCs w:val="22"/>
        </w:rPr>
      </w:pPr>
    </w:p>
    <w:p w14:paraId="254A335B" w14:textId="77777777" w:rsidR="006A566F" w:rsidRDefault="006A566F" w:rsidP="00B25DA6">
      <w:pPr>
        <w:jc w:val="center"/>
        <w:outlineLvl w:val="0"/>
        <w:rPr>
          <w:rFonts w:ascii="Palatino Linotype" w:hAnsi="Palatino Linotype" w:cs="Helvetica"/>
          <w:b/>
          <w:color w:val="000099"/>
          <w:sz w:val="22"/>
          <w:szCs w:val="22"/>
        </w:rPr>
      </w:pPr>
    </w:p>
    <w:p w14:paraId="2AA0E913" w14:textId="77777777" w:rsidR="006A566F" w:rsidRDefault="006A566F" w:rsidP="00B25DA6">
      <w:pPr>
        <w:jc w:val="center"/>
        <w:outlineLvl w:val="0"/>
        <w:rPr>
          <w:rFonts w:ascii="Palatino Linotype" w:hAnsi="Palatino Linotype" w:cs="Helvetica"/>
          <w:b/>
          <w:color w:val="000099"/>
          <w:sz w:val="22"/>
          <w:szCs w:val="22"/>
        </w:rPr>
      </w:pPr>
    </w:p>
    <w:p w14:paraId="7A1A4E86" w14:textId="77777777" w:rsidR="006A566F" w:rsidRDefault="006A566F" w:rsidP="00B25DA6">
      <w:pPr>
        <w:jc w:val="center"/>
        <w:outlineLvl w:val="0"/>
        <w:rPr>
          <w:rFonts w:ascii="Palatino Linotype" w:hAnsi="Palatino Linotype" w:cs="Helvetica"/>
          <w:b/>
          <w:color w:val="000099"/>
          <w:sz w:val="22"/>
          <w:szCs w:val="22"/>
        </w:rPr>
      </w:pPr>
    </w:p>
    <w:p w14:paraId="5E43559A" w14:textId="77777777" w:rsidR="006A566F" w:rsidRDefault="006A566F" w:rsidP="00B25DA6">
      <w:pPr>
        <w:jc w:val="center"/>
        <w:outlineLvl w:val="0"/>
        <w:rPr>
          <w:rFonts w:ascii="Palatino Linotype" w:hAnsi="Palatino Linotype" w:cs="Helvetica"/>
          <w:b/>
          <w:color w:val="000099"/>
          <w:sz w:val="22"/>
          <w:szCs w:val="22"/>
        </w:rPr>
      </w:pPr>
    </w:p>
    <w:p w14:paraId="5837D693" w14:textId="77777777" w:rsidR="006A566F" w:rsidRDefault="006A566F" w:rsidP="00B25DA6">
      <w:pPr>
        <w:jc w:val="center"/>
        <w:outlineLvl w:val="0"/>
        <w:rPr>
          <w:rFonts w:ascii="Palatino Linotype" w:hAnsi="Palatino Linotype" w:cs="Helvetica"/>
          <w:b/>
          <w:color w:val="000099"/>
          <w:sz w:val="22"/>
          <w:szCs w:val="22"/>
        </w:rPr>
      </w:pPr>
    </w:p>
    <w:p w14:paraId="712FB93D" w14:textId="77777777" w:rsidR="006A566F" w:rsidRDefault="006A566F" w:rsidP="00B25DA6">
      <w:pPr>
        <w:jc w:val="center"/>
        <w:outlineLvl w:val="0"/>
        <w:rPr>
          <w:rFonts w:ascii="Palatino Linotype" w:hAnsi="Palatino Linotype" w:cs="Helvetica"/>
          <w:b/>
          <w:color w:val="000099"/>
          <w:sz w:val="22"/>
          <w:szCs w:val="22"/>
        </w:rPr>
      </w:pPr>
    </w:p>
    <w:p w14:paraId="4EE25252" w14:textId="77777777" w:rsidR="006A566F" w:rsidRDefault="006A566F" w:rsidP="00B25DA6">
      <w:pPr>
        <w:jc w:val="center"/>
        <w:outlineLvl w:val="0"/>
        <w:rPr>
          <w:rFonts w:ascii="Palatino Linotype" w:hAnsi="Palatino Linotype" w:cs="Helvetica"/>
          <w:b/>
          <w:color w:val="000099"/>
          <w:sz w:val="22"/>
          <w:szCs w:val="22"/>
        </w:rPr>
      </w:pPr>
    </w:p>
    <w:p w14:paraId="5B7CE2B0" w14:textId="77777777" w:rsidR="007C7C20" w:rsidRDefault="007C7C20" w:rsidP="00B25DA6">
      <w:pPr>
        <w:jc w:val="center"/>
        <w:outlineLvl w:val="0"/>
        <w:rPr>
          <w:rFonts w:ascii="Palatino Linotype" w:hAnsi="Palatino Linotype" w:cs="Helvetica"/>
          <w:b/>
          <w:color w:val="000099"/>
          <w:sz w:val="22"/>
          <w:szCs w:val="22"/>
        </w:rPr>
      </w:pPr>
    </w:p>
    <w:p w14:paraId="61115E0A" w14:textId="77777777" w:rsidR="007C7C20" w:rsidRDefault="007C7C20" w:rsidP="00B25DA6">
      <w:pPr>
        <w:jc w:val="center"/>
        <w:outlineLvl w:val="0"/>
        <w:rPr>
          <w:rFonts w:ascii="Palatino Linotype" w:hAnsi="Palatino Linotype" w:cs="Helvetica"/>
          <w:b/>
          <w:color w:val="000099"/>
          <w:sz w:val="22"/>
          <w:szCs w:val="22"/>
        </w:rPr>
      </w:pPr>
    </w:p>
    <w:p w14:paraId="7251993F" w14:textId="77777777" w:rsidR="007547DA" w:rsidRPr="009A0EB3" w:rsidRDefault="007547DA" w:rsidP="007547DA">
      <w:pPr>
        <w:jc w:val="center"/>
        <w:outlineLvl w:val="0"/>
        <w:rPr>
          <w:rFonts w:ascii="Palatino Linotype" w:hAnsi="Palatino Linotype" w:cs="Helvetica"/>
          <w:b/>
          <w:color w:val="000099"/>
          <w:sz w:val="28"/>
          <w:szCs w:val="28"/>
        </w:rPr>
      </w:pPr>
      <w:r w:rsidRPr="009A0EB3">
        <w:rPr>
          <w:rFonts w:ascii="Palatino Linotype" w:hAnsi="Palatino Linotype" w:cs="Helvetica"/>
          <w:b/>
          <w:color w:val="000099"/>
          <w:sz w:val="28"/>
          <w:szCs w:val="28"/>
        </w:rPr>
        <w:lastRenderedPageBreak/>
        <w:t>CAPITAL MARKET REVIEW</w:t>
      </w:r>
    </w:p>
    <w:p w14:paraId="3F70EA24" w14:textId="77777777" w:rsidR="007547DA" w:rsidRPr="009A0EB3" w:rsidRDefault="007547DA" w:rsidP="007547DA">
      <w:pPr>
        <w:jc w:val="center"/>
        <w:outlineLvl w:val="0"/>
        <w:rPr>
          <w:rFonts w:ascii="Palatino Linotype" w:hAnsi="Palatino Linotype" w:cs="Helvetica"/>
          <w:b/>
          <w:color w:val="000099"/>
          <w:sz w:val="22"/>
          <w:szCs w:val="22"/>
        </w:rPr>
      </w:pPr>
    </w:p>
    <w:p w14:paraId="69D3426A" w14:textId="77777777" w:rsidR="007547DA" w:rsidRPr="009A0EB3" w:rsidRDefault="007547DA" w:rsidP="007547DA">
      <w:pPr>
        <w:jc w:val="both"/>
        <w:rPr>
          <w:rFonts w:ascii="Palatino Linotype" w:hAnsi="Palatino Linotype"/>
          <w:sz w:val="22"/>
          <w:szCs w:val="22"/>
          <w:highlight w:val="yellow"/>
        </w:rPr>
      </w:pPr>
    </w:p>
    <w:p w14:paraId="68A7C674" w14:textId="77777777" w:rsidR="007C32C5" w:rsidRPr="007C32C5" w:rsidRDefault="007C32C5" w:rsidP="007C32C5">
      <w:pPr>
        <w:widowControl w:val="0"/>
        <w:numPr>
          <w:ilvl w:val="0"/>
          <w:numId w:val="9"/>
        </w:numPr>
        <w:spacing w:line="276" w:lineRule="auto"/>
        <w:ind w:left="454" w:hanging="454"/>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 xml:space="preserve">Trends in Resource Mobilisation by Corporates  </w:t>
      </w:r>
    </w:p>
    <w:p w14:paraId="07754A34" w14:textId="77777777" w:rsidR="007C32C5" w:rsidRPr="007C32C5" w:rsidRDefault="007C32C5" w:rsidP="007C32C5">
      <w:pPr>
        <w:widowControl w:val="0"/>
        <w:spacing w:line="276" w:lineRule="auto"/>
        <w:jc w:val="both"/>
        <w:rPr>
          <w:rFonts w:ascii="Palatino Linotype" w:eastAsia="Palatino Linotype" w:hAnsi="Palatino Linotype" w:cs="Palatino Linotype"/>
          <w:b/>
          <w:sz w:val="22"/>
          <w:szCs w:val="22"/>
        </w:rPr>
      </w:pPr>
    </w:p>
    <w:p w14:paraId="39AC5C3F" w14:textId="36A75822" w:rsidR="007C32C5" w:rsidRDefault="007C32C5" w:rsidP="007C32C5">
      <w:pPr>
        <w:widowControl w:val="0"/>
        <w:spacing w:line="276" w:lineRule="auto"/>
        <w:jc w:val="both"/>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Table 1: Fund Mobilisation by Corporates (</w:t>
      </w:r>
      <w:r w:rsidRPr="007C32C5">
        <w:rPr>
          <w:rFonts w:ascii="Tahoma" w:eastAsia="Tahoma" w:hAnsi="Tahoma" w:cs="Tahoma"/>
          <w:b/>
          <w:sz w:val="22"/>
          <w:szCs w:val="22"/>
        </w:rPr>
        <w:t>₹</w:t>
      </w:r>
      <w:r w:rsidRPr="007C32C5">
        <w:rPr>
          <w:rFonts w:ascii="Palatino Linotype" w:eastAsia="Palatino Linotype" w:hAnsi="Palatino Linotype" w:cs="Palatino Linotype"/>
          <w:b/>
          <w:sz w:val="22"/>
          <w:szCs w:val="22"/>
        </w:rPr>
        <w:t xml:space="preserve">crore) </w:t>
      </w: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1529"/>
        <w:gridCol w:w="1529"/>
      </w:tblGrid>
      <w:tr w:rsidR="00F53ED3" w:rsidRPr="00F53ED3" w14:paraId="407EFB7F" w14:textId="77777777" w:rsidTr="00F53ED3">
        <w:trPr>
          <w:trHeight w:val="193"/>
        </w:trPr>
        <w:tc>
          <w:tcPr>
            <w:tcW w:w="6046" w:type="dxa"/>
            <w:shd w:val="clear" w:color="A9D08E" w:fill="A9D08E"/>
            <w:noWrap/>
            <w:vAlign w:val="center"/>
            <w:hideMark/>
          </w:tcPr>
          <w:p w14:paraId="672E96BE" w14:textId="77777777" w:rsidR="00F53ED3" w:rsidRPr="00F53ED3" w:rsidRDefault="00F53ED3" w:rsidP="00F53ED3">
            <w:pPr>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Particulars</w:t>
            </w:r>
          </w:p>
        </w:tc>
        <w:tc>
          <w:tcPr>
            <w:tcW w:w="1529" w:type="dxa"/>
            <w:shd w:val="clear" w:color="A9D08E" w:fill="A9D08E"/>
            <w:noWrap/>
            <w:vAlign w:val="center"/>
            <w:hideMark/>
          </w:tcPr>
          <w:p w14:paraId="0159DE81" w14:textId="77777777" w:rsidR="00F53ED3" w:rsidRPr="00F53ED3" w:rsidRDefault="00F53ED3" w:rsidP="00F53ED3">
            <w:pPr>
              <w:jc w:val="right"/>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Jul-20</w:t>
            </w:r>
          </w:p>
        </w:tc>
        <w:tc>
          <w:tcPr>
            <w:tcW w:w="1529" w:type="dxa"/>
            <w:shd w:val="clear" w:color="A9D08E" w:fill="A9D08E"/>
            <w:noWrap/>
            <w:vAlign w:val="center"/>
            <w:hideMark/>
          </w:tcPr>
          <w:p w14:paraId="6FB9A86B" w14:textId="77777777" w:rsidR="00F53ED3" w:rsidRPr="00F53ED3" w:rsidRDefault="00F53ED3" w:rsidP="00F53ED3">
            <w:pPr>
              <w:jc w:val="right"/>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Aug-20</w:t>
            </w:r>
          </w:p>
        </w:tc>
      </w:tr>
      <w:tr w:rsidR="00F53ED3" w:rsidRPr="00F53ED3" w14:paraId="6612295E" w14:textId="77777777" w:rsidTr="00F53ED3">
        <w:trPr>
          <w:trHeight w:val="193"/>
        </w:trPr>
        <w:tc>
          <w:tcPr>
            <w:tcW w:w="6046" w:type="dxa"/>
            <w:shd w:val="clear" w:color="000000" w:fill="B7DEE8"/>
            <w:noWrap/>
            <w:vAlign w:val="center"/>
            <w:hideMark/>
          </w:tcPr>
          <w:p w14:paraId="6283086F" w14:textId="77777777" w:rsidR="00F53ED3" w:rsidRPr="00F53ED3" w:rsidRDefault="00F53ED3" w:rsidP="00F53ED3">
            <w:pPr>
              <w:rPr>
                <w:rFonts w:ascii="Garamond" w:eastAsia="Times New Roman" w:hAnsi="Garamond"/>
                <w:b/>
                <w:bCs/>
                <w:i/>
                <w:iCs/>
                <w:color w:val="000000"/>
                <w:sz w:val="22"/>
                <w:szCs w:val="22"/>
                <w:lang w:val="en-IN" w:eastAsia="en-IN" w:bidi="hi-IN"/>
              </w:rPr>
            </w:pPr>
            <w:r w:rsidRPr="00F53ED3">
              <w:rPr>
                <w:rFonts w:ascii="Garamond" w:eastAsia="Times New Roman" w:hAnsi="Garamond"/>
                <w:b/>
                <w:bCs/>
                <w:i/>
                <w:iCs/>
                <w:color w:val="000000"/>
                <w:sz w:val="22"/>
                <w:szCs w:val="22"/>
                <w:lang w:val="en-IN" w:eastAsia="en-IN" w:bidi="hi-IN"/>
              </w:rPr>
              <w:t>A. Funds Mobilisation through Public  Issue (I+II)</w:t>
            </w:r>
          </w:p>
        </w:tc>
        <w:tc>
          <w:tcPr>
            <w:tcW w:w="1529" w:type="dxa"/>
            <w:shd w:val="clear" w:color="000000" w:fill="B7DEE8"/>
            <w:noWrap/>
            <w:vAlign w:val="center"/>
            <w:hideMark/>
          </w:tcPr>
          <w:p w14:paraId="57E7673C" w14:textId="77777777" w:rsidR="00F53ED3" w:rsidRPr="00F53ED3" w:rsidRDefault="00F53ED3" w:rsidP="00F53ED3">
            <w:pPr>
              <w:jc w:val="right"/>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 xml:space="preserve">       16,070.6 </w:t>
            </w:r>
          </w:p>
        </w:tc>
        <w:tc>
          <w:tcPr>
            <w:tcW w:w="1529" w:type="dxa"/>
            <w:shd w:val="clear" w:color="000000" w:fill="B7DEE8"/>
            <w:noWrap/>
            <w:vAlign w:val="center"/>
            <w:hideMark/>
          </w:tcPr>
          <w:p w14:paraId="63704BA0" w14:textId="77777777" w:rsidR="00F53ED3" w:rsidRPr="00F53ED3" w:rsidRDefault="00F53ED3" w:rsidP="00F53ED3">
            <w:pPr>
              <w:jc w:val="right"/>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 xml:space="preserve">         6,107.8 </w:t>
            </w:r>
          </w:p>
        </w:tc>
      </w:tr>
      <w:tr w:rsidR="00F53ED3" w:rsidRPr="00F53ED3" w14:paraId="7AF2B6AD" w14:textId="77777777" w:rsidTr="00F53ED3">
        <w:trPr>
          <w:trHeight w:val="193"/>
        </w:trPr>
        <w:tc>
          <w:tcPr>
            <w:tcW w:w="6046" w:type="dxa"/>
            <w:shd w:val="clear" w:color="auto" w:fill="auto"/>
            <w:vAlign w:val="center"/>
            <w:hideMark/>
          </w:tcPr>
          <w:p w14:paraId="61C9D8BB" w14:textId="77777777" w:rsidR="00F53ED3" w:rsidRPr="00F53ED3" w:rsidRDefault="00F53ED3" w:rsidP="00F53ED3">
            <w:pPr>
              <w:rPr>
                <w:rFonts w:ascii="Garamond" w:eastAsia="Times New Roman" w:hAnsi="Garamond"/>
                <w:b/>
                <w:bCs/>
                <w:i/>
                <w:iCs/>
                <w:color w:val="000000"/>
                <w:sz w:val="22"/>
                <w:szCs w:val="22"/>
                <w:lang w:val="en-IN" w:eastAsia="en-IN" w:bidi="hi-IN"/>
              </w:rPr>
            </w:pPr>
            <w:r w:rsidRPr="00F53ED3">
              <w:rPr>
                <w:rFonts w:ascii="Garamond" w:eastAsia="Times New Roman" w:hAnsi="Garamond"/>
                <w:b/>
                <w:bCs/>
                <w:i/>
                <w:iCs/>
                <w:color w:val="000000"/>
                <w:sz w:val="22"/>
                <w:szCs w:val="22"/>
                <w:lang w:val="en-IN" w:eastAsia="en-IN" w:bidi="hi-IN"/>
              </w:rPr>
              <w:t>I. Equity Public Issue</w:t>
            </w:r>
          </w:p>
        </w:tc>
        <w:tc>
          <w:tcPr>
            <w:tcW w:w="1529" w:type="dxa"/>
            <w:shd w:val="clear" w:color="auto" w:fill="auto"/>
            <w:noWrap/>
            <w:vAlign w:val="center"/>
            <w:hideMark/>
          </w:tcPr>
          <w:p w14:paraId="178C791E" w14:textId="77777777" w:rsidR="00F53ED3" w:rsidRPr="00F53ED3" w:rsidRDefault="00F53ED3" w:rsidP="00F53ED3">
            <w:pPr>
              <w:jc w:val="right"/>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 xml:space="preserve">       15,910.6 </w:t>
            </w:r>
          </w:p>
        </w:tc>
        <w:tc>
          <w:tcPr>
            <w:tcW w:w="1529" w:type="dxa"/>
            <w:shd w:val="clear" w:color="auto" w:fill="auto"/>
            <w:noWrap/>
            <w:vAlign w:val="center"/>
            <w:hideMark/>
          </w:tcPr>
          <w:p w14:paraId="030F3F0E" w14:textId="77777777" w:rsidR="00F53ED3" w:rsidRPr="00F53ED3" w:rsidRDefault="00F53ED3" w:rsidP="00F53ED3">
            <w:pPr>
              <w:jc w:val="right"/>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 xml:space="preserve">         6,107.8 </w:t>
            </w:r>
          </w:p>
        </w:tc>
      </w:tr>
      <w:tr w:rsidR="00F53ED3" w:rsidRPr="00F53ED3" w14:paraId="13397BC0" w14:textId="77777777" w:rsidTr="00F53ED3">
        <w:trPr>
          <w:trHeight w:val="193"/>
        </w:trPr>
        <w:tc>
          <w:tcPr>
            <w:tcW w:w="6046" w:type="dxa"/>
            <w:shd w:val="clear" w:color="auto" w:fill="auto"/>
            <w:noWrap/>
            <w:vAlign w:val="center"/>
            <w:hideMark/>
          </w:tcPr>
          <w:p w14:paraId="4C570CB3" w14:textId="77777777" w:rsidR="00F53ED3" w:rsidRPr="00F53ED3" w:rsidRDefault="00F53ED3" w:rsidP="00F53ED3">
            <w:pPr>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a. IPOs (i+ii)</w:t>
            </w:r>
          </w:p>
        </w:tc>
        <w:tc>
          <w:tcPr>
            <w:tcW w:w="1529" w:type="dxa"/>
            <w:shd w:val="clear" w:color="auto" w:fill="auto"/>
            <w:noWrap/>
            <w:vAlign w:val="center"/>
            <w:hideMark/>
          </w:tcPr>
          <w:p w14:paraId="428F178D"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510.8 </w:t>
            </w:r>
          </w:p>
        </w:tc>
        <w:tc>
          <w:tcPr>
            <w:tcW w:w="1529" w:type="dxa"/>
            <w:shd w:val="clear" w:color="auto" w:fill="auto"/>
            <w:noWrap/>
            <w:vAlign w:val="center"/>
            <w:hideMark/>
          </w:tcPr>
          <w:p w14:paraId="068764FA"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11.5 </w:t>
            </w:r>
          </w:p>
        </w:tc>
      </w:tr>
      <w:tr w:rsidR="00F53ED3" w:rsidRPr="00F53ED3" w14:paraId="2238645A" w14:textId="77777777" w:rsidTr="00F53ED3">
        <w:trPr>
          <w:trHeight w:val="193"/>
        </w:trPr>
        <w:tc>
          <w:tcPr>
            <w:tcW w:w="6046" w:type="dxa"/>
            <w:shd w:val="clear" w:color="auto" w:fill="auto"/>
            <w:noWrap/>
            <w:vAlign w:val="center"/>
            <w:hideMark/>
          </w:tcPr>
          <w:p w14:paraId="1F4D3FAE" w14:textId="77777777" w:rsidR="00F53ED3" w:rsidRPr="00F53ED3" w:rsidRDefault="00F53ED3" w:rsidP="00F53ED3">
            <w:pPr>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i. Main Board</w:t>
            </w:r>
          </w:p>
        </w:tc>
        <w:tc>
          <w:tcPr>
            <w:tcW w:w="1529" w:type="dxa"/>
            <w:shd w:val="clear" w:color="auto" w:fill="auto"/>
            <w:noWrap/>
            <w:vAlign w:val="center"/>
            <w:hideMark/>
          </w:tcPr>
          <w:p w14:paraId="7190C243"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496.2 </w:t>
            </w:r>
          </w:p>
        </w:tc>
        <w:tc>
          <w:tcPr>
            <w:tcW w:w="1529" w:type="dxa"/>
            <w:shd w:val="clear" w:color="auto" w:fill="auto"/>
            <w:noWrap/>
            <w:vAlign w:val="center"/>
            <w:hideMark/>
          </w:tcPr>
          <w:p w14:paraId="59796C30"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   </w:t>
            </w:r>
          </w:p>
        </w:tc>
      </w:tr>
      <w:tr w:rsidR="00F53ED3" w:rsidRPr="00F53ED3" w14:paraId="751A7BD4" w14:textId="77777777" w:rsidTr="00F53ED3">
        <w:trPr>
          <w:trHeight w:val="193"/>
        </w:trPr>
        <w:tc>
          <w:tcPr>
            <w:tcW w:w="6046" w:type="dxa"/>
            <w:shd w:val="clear" w:color="auto" w:fill="auto"/>
            <w:noWrap/>
            <w:vAlign w:val="center"/>
            <w:hideMark/>
          </w:tcPr>
          <w:p w14:paraId="686E8E49" w14:textId="77777777" w:rsidR="00F53ED3" w:rsidRPr="00F53ED3" w:rsidRDefault="00F53ED3" w:rsidP="00F53ED3">
            <w:pPr>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ii. SME Platform</w:t>
            </w:r>
          </w:p>
        </w:tc>
        <w:tc>
          <w:tcPr>
            <w:tcW w:w="1529" w:type="dxa"/>
            <w:shd w:val="clear" w:color="auto" w:fill="auto"/>
            <w:noWrap/>
            <w:vAlign w:val="center"/>
            <w:hideMark/>
          </w:tcPr>
          <w:p w14:paraId="74556C32"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14.5 </w:t>
            </w:r>
          </w:p>
        </w:tc>
        <w:tc>
          <w:tcPr>
            <w:tcW w:w="1529" w:type="dxa"/>
            <w:shd w:val="clear" w:color="auto" w:fill="auto"/>
            <w:noWrap/>
            <w:vAlign w:val="center"/>
            <w:hideMark/>
          </w:tcPr>
          <w:p w14:paraId="0C24A6AA"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11.5 </w:t>
            </w:r>
          </w:p>
        </w:tc>
      </w:tr>
      <w:tr w:rsidR="00F53ED3" w:rsidRPr="00F53ED3" w14:paraId="199B9D6B" w14:textId="77777777" w:rsidTr="00F53ED3">
        <w:trPr>
          <w:trHeight w:val="193"/>
        </w:trPr>
        <w:tc>
          <w:tcPr>
            <w:tcW w:w="6046" w:type="dxa"/>
            <w:shd w:val="clear" w:color="auto" w:fill="auto"/>
            <w:noWrap/>
            <w:vAlign w:val="center"/>
            <w:hideMark/>
          </w:tcPr>
          <w:p w14:paraId="140D7D70" w14:textId="77777777" w:rsidR="00F53ED3" w:rsidRPr="00F53ED3" w:rsidRDefault="00F53ED3" w:rsidP="00F53ED3">
            <w:pPr>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b. FPOs</w:t>
            </w:r>
          </w:p>
        </w:tc>
        <w:tc>
          <w:tcPr>
            <w:tcW w:w="1529" w:type="dxa"/>
            <w:shd w:val="clear" w:color="auto" w:fill="auto"/>
            <w:noWrap/>
            <w:vAlign w:val="center"/>
            <w:hideMark/>
          </w:tcPr>
          <w:p w14:paraId="6491EA42"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15,000.0 </w:t>
            </w:r>
          </w:p>
        </w:tc>
        <w:tc>
          <w:tcPr>
            <w:tcW w:w="1529" w:type="dxa"/>
            <w:shd w:val="clear" w:color="auto" w:fill="auto"/>
            <w:noWrap/>
            <w:vAlign w:val="center"/>
            <w:hideMark/>
          </w:tcPr>
          <w:p w14:paraId="4CD4C523" w14:textId="77777777" w:rsidR="00F53ED3" w:rsidRPr="00F53ED3" w:rsidRDefault="00F53ED3" w:rsidP="00F53ED3">
            <w:pPr>
              <w:jc w:val="right"/>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 xml:space="preserve">                -   </w:t>
            </w:r>
          </w:p>
        </w:tc>
      </w:tr>
      <w:tr w:rsidR="00F53ED3" w:rsidRPr="00F53ED3" w14:paraId="4099AADA" w14:textId="77777777" w:rsidTr="00F53ED3">
        <w:trPr>
          <w:trHeight w:val="193"/>
        </w:trPr>
        <w:tc>
          <w:tcPr>
            <w:tcW w:w="6046" w:type="dxa"/>
            <w:shd w:val="clear" w:color="auto" w:fill="auto"/>
            <w:noWrap/>
            <w:vAlign w:val="center"/>
            <w:hideMark/>
          </w:tcPr>
          <w:p w14:paraId="01F2D336" w14:textId="70586A9B" w:rsidR="00F53ED3" w:rsidRPr="00F53ED3" w:rsidRDefault="00F53ED3" w:rsidP="00F53ED3">
            <w:pPr>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c. Equity Right</w:t>
            </w:r>
            <w:r w:rsidR="003E1929">
              <w:rPr>
                <w:rFonts w:ascii="Garamond" w:eastAsia="Times New Roman" w:hAnsi="Garamond"/>
                <w:b/>
                <w:bCs/>
                <w:color w:val="000000"/>
                <w:sz w:val="22"/>
                <w:szCs w:val="22"/>
                <w:lang w:val="en-IN" w:eastAsia="en-IN" w:bidi="hi-IN"/>
              </w:rPr>
              <w:t>s</w:t>
            </w:r>
            <w:r w:rsidRPr="00F53ED3">
              <w:rPr>
                <w:rFonts w:ascii="Garamond" w:eastAsia="Times New Roman" w:hAnsi="Garamond"/>
                <w:b/>
                <w:bCs/>
                <w:color w:val="000000"/>
                <w:sz w:val="22"/>
                <w:szCs w:val="22"/>
                <w:lang w:val="en-IN" w:eastAsia="en-IN" w:bidi="hi-IN"/>
              </w:rPr>
              <w:t xml:space="preserve"> Issue</w:t>
            </w:r>
          </w:p>
        </w:tc>
        <w:tc>
          <w:tcPr>
            <w:tcW w:w="1529" w:type="dxa"/>
            <w:shd w:val="clear" w:color="auto" w:fill="auto"/>
            <w:noWrap/>
            <w:vAlign w:val="center"/>
            <w:hideMark/>
          </w:tcPr>
          <w:p w14:paraId="5B9D8114"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399.8 </w:t>
            </w:r>
          </w:p>
        </w:tc>
        <w:tc>
          <w:tcPr>
            <w:tcW w:w="1529" w:type="dxa"/>
            <w:shd w:val="clear" w:color="auto" w:fill="auto"/>
            <w:noWrap/>
            <w:vAlign w:val="center"/>
            <w:hideMark/>
          </w:tcPr>
          <w:p w14:paraId="446DBA87"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6,096.3 </w:t>
            </w:r>
          </w:p>
        </w:tc>
      </w:tr>
      <w:tr w:rsidR="00F53ED3" w:rsidRPr="00F53ED3" w14:paraId="0C7711C4" w14:textId="77777777" w:rsidTr="00F53ED3">
        <w:trPr>
          <w:trHeight w:val="193"/>
        </w:trPr>
        <w:tc>
          <w:tcPr>
            <w:tcW w:w="6046" w:type="dxa"/>
            <w:shd w:val="clear" w:color="auto" w:fill="auto"/>
            <w:vAlign w:val="center"/>
            <w:hideMark/>
          </w:tcPr>
          <w:p w14:paraId="623C56EB" w14:textId="77777777" w:rsidR="00F53ED3" w:rsidRPr="00F53ED3" w:rsidRDefault="00F53ED3" w:rsidP="00F53ED3">
            <w:pPr>
              <w:rPr>
                <w:rFonts w:ascii="Garamond" w:eastAsia="Times New Roman" w:hAnsi="Garamond"/>
                <w:b/>
                <w:bCs/>
                <w:i/>
                <w:iCs/>
                <w:color w:val="000000"/>
                <w:sz w:val="22"/>
                <w:szCs w:val="22"/>
                <w:lang w:val="en-IN" w:eastAsia="en-IN" w:bidi="hi-IN"/>
              </w:rPr>
            </w:pPr>
            <w:r w:rsidRPr="00F53ED3">
              <w:rPr>
                <w:rFonts w:ascii="Garamond" w:eastAsia="Times New Roman" w:hAnsi="Garamond"/>
                <w:b/>
                <w:bCs/>
                <w:i/>
                <w:iCs/>
                <w:color w:val="000000"/>
                <w:sz w:val="22"/>
                <w:szCs w:val="22"/>
                <w:lang w:val="en-IN" w:eastAsia="en-IN" w:bidi="hi-IN"/>
              </w:rPr>
              <w:t xml:space="preserve">II. Debt Public Issue </w:t>
            </w:r>
          </w:p>
        </w:tc>
        <w:tc>
          <w:tcPr>
            <w:tcW w:w="1529" w:type="dxa"/>
            <w:shd w:val="clear" w:color="auto" w:fill="auto"/>
            <w:noWrap/>
            <w:vAlign w:val="center"/>
            <w:hideMark/>
          </w:tcPr>
          <w:p w14:paraId="3FDF5A86"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160.0 </w:t>
            </w:r>
          </w:p>
        </w:tc>
        <w:tc>
          <w:tcPr>
            <w:tcW w:w="1529" w:type="dxa"/>
            <w:shd w:val="clear" w:color="auto" w:fill="auto"/>
            <w:noWrap/>
            <w:vAlign w:val="center"/>
            <w:hideMark/>
          </w:tcPr>
          <w:p w14:paraId="76A0A8C2"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   </w:t>
            </w:r>
          </w:p>
        </w:tc>
      </w:tr>
      <w:tr w:rsidR="00F53ED3" w:rsidRPr="00F53ED3" w14:paraId="2148FBD8" w14:textId="77777777" w:rsidTr="00F53ED3">
        <w:trPr>
          <w:trHeight w:val="193"/>
        </w:trPr>
        <w:tc>
          <w:tcPr>
            <w:tcW w:w="6046" w:type="dxa"/>
            <w:shd w:val="clear" w:color="000000" w:fill="B7DEE8"/>
            <w:noWrap/>
            <w:vAlign w:val="center"/>
            <w:hideMark/>
          </w:tcPr>
          <w:p w14:paraId="4EF14646" w14:textId="77777777" w:rsidR="00F53ED3" w:rsidRPr="00F53ED3" w:rsidRDefault="00F53ED3" w:rsidP="00F53ED3">
            <w:pPr>
              <w:rPr>
                <w:rFonts w:ascii="Garamond" w:eastAsia="Times New Roman" w:hAnsi="Garamond"/>
                <w:b/>
                <w:bCs/>
                <w:i/>
                <w:iCs/>
                <w:color w:val="000000"/>
                <w:sz w:val="22"/>
                <w:szCs w:val="22"/>
                <w:lang w:val="en-IN" w:eastAsia="en-IN" w:bidi="hi-IN"/>
              </w:rPr>
            </w:pPr>
            <w:r w:rsidRPr="00F53ED3">
              <w:rPr>
                <w:rFonts w:ascii="Garamond" w:eastAsia="Times New Roman" w:hAnsi="Garamond"/>
                <w:b/>
                <w:bCs/>
                <w:i/>
                <w:iCs/>
                <w:color w:val="000000"/>
                <w:sz w:val="22"/>
                <w:szCs w:val="22"/>
                <w:lang w:val="en-IN" w:eastAsia="en-IN" w:bidi="hi-IN"/>
              </w:rPr>
              <w:t>B. Funds Mobilisation through Private Placement</w:t>
            </w:r>
          </w:p>
        </w:tc>
        <w:tc>
          <w:tcPr>
            <w:tcW w:w="1529" w:type="dxa"/>
            <w:shd w:val="clear" w:color="000000" w:fill="B7DEE8"/>
            <w:noWrap/>
            <w:vAlign w:val="center"/>
            <w:hideMark/>
          </w:tcPr>
          <w:p w14:paraId="1921BC81" w14:textId="77777777" w:rsidR="00F53ED3" w:rsidRPr="00F53ED3" w:rsidRDefault="00F53ED3" w:rsidP="00F53ED3">
            <w:pPr>
              <w:jc w:val="right"/>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 xml:space="preserve">       50,844.2 </w:t>
            </w:r>
          </w:p>
        </w:tc>
        <w:tc>
          <w:tcPr>
            <w:tcW w:w="1529" w:type="dxa"/>
            <w:shd w:val="clear" w:color="000000" w:fill="B7DEE8"/>
            <w:noWrap/>
            <w:vAlign w:val="center"/>
            <w:hideMark/>
          </w:tcPr>
          <w:p w14:paraId="3E4968DF" w14:textId="77777777" w:rsidR="00F53ED3" w:rsidRPr="00F53ED3" w:rsidRDefault="00F53ED3" w:rsidP="00F53ED3">
            <w:pPr>
              <w:jc w:val="right"/>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 xml:space="preserve">    1,03,890.2 </w:t>
            </w:r>
          </w:p>
        </w:tc>
      </w:tr>
      <w:tr w:rsidR="00F53ED3" w:rsidRPr="00F53ED3" w14:paraId="48C489FD" w14:textId="77777777" w:rsidTr="00F53ED3">
        <w:trPr>
          <w:trHeight w:val="193"/>
        </w:trPr>
        <w:tc>
          <w:tcPr>
            <w:tcW w:w="6046" w:type="dxa"/>
            <w:shd w:val="clear" w:color="auto" w:fill="auto"/>
            <w:noWrap/>
            <w:vAlign w:val="center"/>
            <w:hideMark/>
          </w:tcPr>
          <w:p w14:paraId="07F2563A" w14:textId="77777777" w:rsidR="00F53ED3" w:rsidRPr="00F53ED3" w:rsidRDefault="00F53ED3" w:rsidP="00F53ED3">
            <w:pPr>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1. QIP/IPP</w:t>
            </w:r>
          </w:p>
        </w:tc>
        <w:tc>
          <w:tcPr>
            <w:tcW w:w="1529" w:type="dxa"/>
            <w:shd w:val="clear" w:color="auto" w:fill="auto"/>
            <w:noWrap/>
            <w:vAlign w:val="center"/>
            <w:hideMark/>
          </w:tcPr>
          <w:p w14:paraId="76E2B0DB"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2,000.0 </w:t>
            </w:r>
          </w:p>
        </w:tc>
        <w:tc>
          <w:tcPr>
            <w:tcW w:w="1529" w:type="dxa"/>
            <w:shd w:val="clear" w:color="auto" w:fill="auto"/>
            <w:noWrap/>
            <w:vAlign w:val="center"/>
            <w:hideMark/>
          </w:tcPr>
          <w:p w14:paraId="71A7ADD4" w14:textId="5F0260B2"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42,725.0</w:t>
            </w:r>
            <w:r>
              <w:rPr>
                <w:rFonts w:ascii="Garamond" w:eastAsia="Times New Roman" w:hAnsi="Garamond"/>
                <w:color w:val="000000"/>
                <w:sz w:val="22"/>
                <w:szCs w:val="22"/>
                <w:lang w:val="en-IN" w:eastAsia="en-IN" w:bidi="hi-IN"/>
              </w:rPr>
              <w:t>*</w:t>
            </w:r>
            <w:r w:rsidRPr="00F53ED3">
              <w:rPr>
                <w:rFonts w:ascii="Garamond" w:eastAsia="Times New Roman" w:hAnsi="Garamond"/>
                <w:color w:val="000000"/>
                <w:sz w:val="22"/>
                <w:szCs w:val="22"/>
                <w:lang w:val="en-IN" w:eastAsia="en-IN" w:bidi="hi-IN"/>
              </w:rPr>
              <w:t xml:space="preserve"> </w:t>
            </w:r>
          </w:p>
        </w:tc>
      </w:tr>
      <w:tr w:rsidR="00F53ED3" w:rsidRPr="00F53ED3" w14:paraId="4D2B2D11" w14:textId="77777777" w:rsidTr="00F53ED3">
        <w:trPr>
          <w:trHeight w:val="193"/>
        </w:trPr>
        <w:tc>
          <w:tcPr>
            <w:tcW w:w="6046" w:type="dxa"/>
            <w:shd w:val="clear" w:color="auto" w:fill="auto"/>
            <w:noWrap/>
            <w:vAlign w:val="center"/>
            <w:hideMark/>
          </w:tcPr>
          <w:p w14:paraId="36EE7F02" w14:textId="77777777" w:rsidR="00F53ED3" w:rsidRPr="00F53ED3" w:rsidRDefault="00F53ED3" w:rsidP="00F53ED3">
            <w:pPr>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2. Preferential Allotment</w:t>
            </w:r>
          </w:p>
        </w:tc>
        <w:tc>
          <w:tcPr>
            <w:tcW w:w="1529" w:type="dxa"/>
            <w:shd w:val="clear" w:color="auto" w:fill="auto"/>
            <w:noWrap/>
            <w:vAlign w:val="center"/>
            <w:hideMark/>
          </w:tcPr>
          <w:p w14:paraId="768B503B"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882.5 </w:t>
            </w:r>
          </w:p>
        </w:tc>
        <w:tc>
          <w:tcPr>
            <w:tcW w:w="1529" w:type="dxa"/>
            <w:shd w:val="clear" w:color="auto" w:fill="auto"/>
            <w:noWrap/>
            <w:vAlign w:val="center"/>
            <w:hideMark/>
          </w:tcPr>
          <w:p w14:paraId="5991E5D6"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2,746.0 </w:t>
            </w:r>
          </w:p>
        </w:tc>
      </w:tr>
      <w:tr w:rsidR="00F53ED3" w:rsidRPr="00F53ED3" w14:paraId="005FAC87" w14:textId="77777777" w:rsidTr="00F53ED3">
        <w:trPr>
          <w:trHeight w:val="193"/>
        </w:trPr>
        <w:tc>
          <w:tcPr>
            <w:tcW w:w="6046" w:type="dxa"/>
            <w:shd w:val="clear" w:color="auto" w:fill="auto"/>
            <w:noWrap/>
            <w:vAlign w:val="center"/>
            <w:hideMark/>
          </w:tcPr>
          <w:p w14:paraId="0C6CB55A" w14:textId="77777777" w:rsidR="00F53ED3" w:rsidRPr="00F53ED3" w:rsidRDefault="00F53ED3" w:rsidP="00F53ED3">
            <w:pPr>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3. Private Placement of Debt</w:t>
            </w:r>
          </w:p>
        </w:tc>
        <w:tc>
          <w:tcPr>
            <w:tcW w:w="1529" w:type="dxa"/>
            <w:shd w:val="clear" w:color="auto" w:fill="auto"/>
            <w:noWrap/>
            <w:vAlign w:val="center"/>
            <w:hideMark/>
          </w:tcPr>
          <w:p w14:paraId="4175FECF"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47,961.7 </w:t>
            </w:r>
          </w:p>
        </w:tc>
        <w:tc>
          <w:tcPr>
            <w:tcW w:w="1529" w:type="dxa"/>
            <w:shd w:val="clear" w:color="auto" w:fill="auto"/>
            <w:noWrap/>
            <w:vAlign w:val="center"/>
            <w:hideMark/>
          </w:tcPr>
          <w:p w14:paraId="66BD1F1E" w14:textId="77777777" w:rsidR="00F53ED3" w:rsidRPr="00F53ED3" w:rsidRDefault="00F53ED3" w:rsidP="00F53ED3">
            <w:pPr>
              <w:jc w:val="right"/>
              <w:rPr>
                <w:rFonts w:ascii="Garamond" w:eastAsia="Times New Roman" w:hAnsi="Garamond"/>
                <w:color w:val="000000"/>
                <w:sz w:val="22"/>
                <w:szCs w:val="22"/>
                <w:lang w:val="en-IN" w:eastAsia="en-IN" w:bidi="hi-IN"/>
              </w:rPr>
            </w:pPr>
            <w:r w:rsidRPr="00F53ED3">
              <w:rPr>
                <w:rFonts w:ascii="Garamond" w:eastAsia="Times New Roman" w:hAnsi="Garamond"/>
                <w:color w:val="000000"/>
                <w:sz w:val="22"/>
                <w:szCs w:val="22"/>
                <w:lang w:val="en-IN" w:eastAsia="en-IN" w:bidi="hi-IN"/>
              </w:rPr>
              <w:t xml:space="preserve">       58,419.2 </w:t>
            </w:r>
          </w:p>
        </w:tc>
      </w:tr>
      <w:tr w:rsidR="00F53ED3" w:rsidRPr="00F53ED3" w14:paraId="4312B8B2" w14:textId="77777777" w:rsidTr="00F53ED3">
        <w:trPr>
          <w:trHeight w:val="193"/>
        </w:trPr>
        <w:tc>
          <w:tcPr>
            <w:tcW w:w="6046" w:type="dxa"/>
            <w:shd w:val="clear" w:color="000000" w:fill="B7DEE8"/>
            <w:noWrap/>
            <w:vAlign w:val="center"/>
            <w:hideMark/>
          </w:tcPr>
          <w:p w14:paraId="716A565C" w14:textId="77777777" w:rsidR="00F53ED3" w:rsidRPr="00F53ED3" w:rsidRDefault="00F53ED3" w:rsidP="00F53ED3">
            <w:pPr>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Total Funds Mobilised (A+B)</w:t>
            </w:r>
          </w:p>
        </w:tc>
        <w:tc>
          <w:tcPr>
            <w:tcW w:w="1529" w:type="dxa"/>
            <w:shd w:val="clear" w:color="000000" w:fill="B7DEE8"/>
            <w:noWrap/>
            <w:vAlign w:val="center"/>
            <w:hideMark/>
          </w:tcPr>
          <w:p w14:paraId="178004C8" w14:textId="77777777" w:rsidR="00F53ED3" w:rsidRPr="00F53ED3" w:rsidRDefault="00F53ED3" w:rsidP="00F53ED3">
            <w:pPr>
              <w:jc w:val="right"/>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 xml:space="preserve">       66,914.7 </w:t>
            </w:r>
          </w:p>
        </w:tc>
        <w:tc>
          <w:tcPr>
            <w:tcW w:w="1529" w:type="dxa"/>
            <w:shd w:val="clear" w:color="000000" w:fill="B7DEE8"/>
            <w:noWrap/>
            <w:vAlign w:val="center"/>
            <w:hideMark/>
          </w:tcPr>
          <w:p w14:paraId="25442A2D" w14:textId="77777777" w:rsidR="00F53ED3" w:rsidRPr="00F53ED3" w:rsidRDefault="00F53ED3" w:rsidP="00F53ED3">
            <w:pPr>
              <w:jc w:val="right"/>
              <w:rPr>
                <w:rFonts w:ascii="Garamond" w:eastAsia="Times New Roman" w:hAnsi="Garamond"/>
                <w:b/>
                <w:bCs/>
                <w:color w:val="000000"/>
                <w:sz w:val="22"/>
                <w:szCs w:val="22"/>
                <w:lang w:val="en-IN" w:eastAsia="en-IN" w:bidi="hi-IN"/>
              </w:rPr>
            </w:pPr>
            <w:r w:rsidRPr="00F53ED3">
              <w:rPr>
                <w:rFonts w:ascii="Garamond" w:eastAsia="Times New Roman" w:hAnsi="Garamond"/>
                <w:b/>
                <w:bCs/>
                <w:color w:val="000000"/>
                <w:sz w:val="22"/>
                <w:szCs w:val="22"/>
                <w:lang w:val="en-IN" w:eastAsia="en-IN" w:bidi="hi-IN"/>
              </w:rPr>
              <w:t xml:space="preserve">    1,09,997.9 </w:t>
            </w:r>
          </w:p>
        </w:tc>
      </w:tr>
    </w:tbl>
    <w:p w14:paraId="4CECE22C" w14:textId="63FCFF51" w:rsidR="00334B83" w:rsidRDefault="00F53ED3" w:rsidP="007C32C5">
      <w:pPr>
        <w:widowControl w:val="0"/>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16"/>
          <w:szCs w:val="16"/>
        </w:rPr>
        <w:t>Note</w:t>
      </w:r>
      <w:r w:rsidRPr="007C32C5">
        <w:rPr>
          <w:rFonts w:ascii="Palatino Linotype" w:eastAsia="Palatino Linotype" w:hAnsi="Palatino Linotype" w:cs="Palatino Linotype"/>
          <w:sz w:val="16"/>
          <w:szCs w:val="16"/>
        </w:rPr>
        <w:t xml:space="preserve">:  *Includes warrants of HDFC Ltd of </w:t>
      </w:r>
      <w:r w:rsidRPr="007C32C5">
        <w:rPr>
          <w:rFonts w:ascii="Tahoma" w:eastAsia="Palatino Linotype" w:hAnsi="Tahoma" w:cs="Tahoma"/>
          <w:color w:val="000000" w:themeColor="text1"/>
          <w:sz w:val="20"/>
          <w:szCs w:val="20"/>
        </w:rPr>
        <w:t>₹</w:t>
      </w:r>
      <w:r w:rsidRPr="007C32C5">
        <w:rPr>
          <w:rFonts w:ascii="Palatino Linotype" w:eastAsia="Palatino Linotype" w:hAnsi="Palatino Linotype" w:cs="Palatino Linotype"/>
          <w:sz w:val="16"/>
          <w:szCs w:val="16"/>
        </w:rPr>
        <w:t>3,999.99 crore</w:t>
      </w:r>
    </w:p>
    <w:p w14:paraId="3CCCDF00" w14:textId="792DEE46" w:rsidR="007C32C5" w:rsidRPr="007C32C5" w:rsidRDefault="007C32C5" w:rsidP="007C32C5">
      <w:pPr>
        <w:widowControl w:val="0"/>
        <w:tabs>
          <w:tab w:val="right" w:pos="9888"/>
        </w:tabs>
        <w:spacing w:line="276" w:lineRule="auto"/>
        <w:jc w:val="both"/>
        <w:rPr>
          <w:rFonts w:ascii="Palatino Linotype" w:eastAsia="Palatino Linotype" w:hAnsi="Palatino Linotype" w:cs="Palatino Linotype"/>
          <w:b/>
          <w:sz w:val="18"/>
          <w:szCs w:val="18"/>
        </w:rPr>
      </w:pPr>
      <w:r w:rsidRPr="007C32C5">
        <w:rPr>
          <w:rFonts w:ascii="Palatino Linotype" w:eastAsia="Palatino Linotype" w:hAnsi="Palatino Linotype" w:cs="Palatino Linotype"/>
          <w:b/>
          <w:sz w:val="18"/>
          <w:szCs w:val="18"/>
        </w:rPr>
        <w:t>Source: SEBI, NSE, BSE and MSEI</w:t>
      </w:r>
    </w:p>
    <w:p w14:paraId="1A93E2FC" w14:textId="77777777" w:rsidR="007C32C5" w:rsidRPr="007C32C5" w:rsidRDefault="007C32C5" w:rsidP="007C32C5">
      <w:pPr>
        <w:widowControl w:val="0"/>
        <w:tabs>
          <w:tab w:val="right" w:pos="9888"/>
        </w:tabs>
        <w:spacing w:line="276" w:lineRule="auto"/>
        <w:jc w:val="both"/>
        <w:rPr>
          <w:rFonts w:ascii="Palatino Linotype" w:eastAsia="Palatino Linotype" w:hAnsi="Palatino Linotype" w:cs="Palatino Linotype"/>
          <w:color w:val="000000" w:themeColor="text1"/>
          <w:sz w:val="22"/>
          <w:szCs w:val="22"/>
          <w:highlight w:val="yellow"/>
        </w:rPr>
      </w:pPr>
    </w:p>
    <w:p w14:paraId="3677AB2C" w14:textId="77777777" w:rsidR="007C32C5" w:rsidRPr="007C32C5" w:rsidRDefault="007C32C5" w:rsidP="007C32C5">
      <w:pPr>
        <w:numPr>
          <w:ilvl w:val="0"/>
          <w:numId w:val="8"/>
        </w:numPr>
        <w:pBdr>
          <w:top w:val="nil"/>
          <w:left w:val="nil"/>
          <w:bottom w:val="nil"/>
          <w:right w:val="nil"/>
          <w:between w:val="nil"/>
        </w:pBdr>
        <w:spacing w:line="276" w:lineRule="auto"/>
        <w:ind w:left="360"/>
        <w:jc w:val="both"/>
        <w:rPr>
          <w:rFonts w:ascii="Palatino Linotype" w:eastAsia="Palatino Linotype" w:hAnsi="Palatino Linotype" w:cs="Palatino Linotype"/>
          <w:color w:val="000000"/>
          <w:sz w:val="22"/>
          <w:szCs w:val="22"/>
        </w:rPr>
      </w:pPr>
      <w:r w:rsidRPr="007C32C5">
        <w:rPr>
          <w:rFonts w:ascii="Palatino Linotype" w:eastAsia="Palatino Linotype" w:hAnsi="Palatino Linotype" w:cs="Palatino Linotype"/>
          <w:color w:val="000000"/>
          <w:sz w:val="22"/>
          <w:szCs w:val="22"/>
        </w:rPr>
        <w:t xml:space="preserve">During August 2020, there were two SME IPOs equity issuance mobilizing </w:t>
      </w:r>
      <w:r w:rsidRPr="007C32C5">
        <w:rPr>
          <w:rFonts w:ascii="Tahoma" w:eastAsia="Palatino Linotype" w:hAnsi="Tahoma" w:cs="Tahoma"/>
          <w:color w:val="000000"/>
          <w:sz w:val="22"/>
          <w:szCs w:val="22"/>
        </w:rPr>
        <w:t>₹</w:t>
      </w:r>
      <w:r w:rsidRPr="007C32C5">
        <w:rPr>
          <w:rFonts w:ascii="Palatino Linotype" w:eastAsia="Palatino Linotype" w:hAnsi="Palatino Linotype" w:cs="Palatino Linotype"/>
          <w:color w:val="000000"/>
          <w:sz w:val="22"/>
          <w:szCs w:val="22"/>
        </w:rPr>
        <w:t xml:space="preserve">11.5 crore while the funds mobilised through rights issues was </w:t>
      </w:r>
      <w:r w:rsidRPr="007C32C5">
        <w:rPr>
          <w:rFonts w:ascii="Tahoma" w:eastAsia="Palatino Linotype" w:hAnsi="Tahoma" w:cs="Tahoma"/>
          <w:color w:val="000000" w:themeColor="text1"/>
          <w:sz w:val="22"/>
          <w:szCs w:val="22"/>
        </w:rPr>
        <w:t>₹</w:t>
      </w:r>
      <w:r w:rsidRPr="007C32C5">
        <w:rPr>
          <w:rFonts w:ascii="Palatino Linotype" w:eastAsia="Palatino Linotype" w:hAnsi="Palatino Linotype" w:cs="Palatino Linotype"/>
          <w:color w:val="000000"/>
          <w:sz w:val="22"/>
          <w:szCs w:val="22"/>
        </w:rPr>
        <w:t xml:space="preserve">6,096.3 crore.  </w:t>
      </w:r>
    </w:p>
    <w:p w14:paraId="27EE97B8" w14:textId="77777777" w:rsidR="007C32C5" w:rsidRPr="007C32C5" w:rsidRDefault="007C32C5" w:rsidP="007C32C5">
      <w:pPr>
        <w:numPr>
          <w:ilvl w:val="0"/>
          <w:numId w:val="8"/>
        </w:numPr>
        <w:pBdr>
          <w:top w:val="nil"/>
          <w:left w:val="nil"/>
          <w:bottom w:val="nil"/>
          <w:right w:val="nil"/>
          <w:between w:val="nil"/>
        </w:pBdr>
        <w:spacing w:line="276" w:lineRule="auto"/>
        <w:ind w:left="360"/>
        <w:jc w:val="both"/>
        <w:rPr>
          <w:rFonts w:ascii="Palatino Linotype" w:eastAsia="Palatino Linotype" w:hAnsi="Palatino Linotype" w:cs="Palatino Linotype"/>
          <w:color w:val="000000"/>
          <w:sz w:val="22"/>
          <w:szCs w:val="22"/>
        </w:rPr>
      </w:pPr>
      <w:r w:rsidRPr="007C32C5">
        <w:rPr>
          <w:rFonts w:ascii="Palatino Linotype" w:eastAsia="Palatino Linotype" w:hAnsi="Palatino Linotype" w:cs="Palatino Linotype"/>
          <w:color w:val="000000"/>
          <w:sz w:val="22"/>
          <w:szCs w:val="22"/>
        </w:rPr>
        <w:t xml:space="preserve">There were no public issues of corporate bonds in the month of August 2020. However, during July 2020, there was one public issues of corporate bonds amounting to </w:t>
      </w:r>
      <w:r w:rsidRPr="007C32C5">
        <w:rPr>
          <w:rFonts w:ascii="Tahoma" w:eastAsia="Palatino Linotype" w:hAnsi="Tahoma" w:cs="Tahoma"/>
          <w:color w:val="000000"/>
          <w:sz w:val="22"/>
          <w:szCs w:val="22"/>
        </w:rPr>
        <w:t>₹</w:t>
      </w:r>
      <w:r w:rsidRPr="007C32C5">
        <w:rPr>
          <w:rFonts w:ascii="Palatino Linotype" w:eastAsia="Palatino Linotype" w:hAnsi="Palatino Linotype" w:cs="Palatino Linotype"/>
          <w:color w:val="000000"/>
          <w:sz w:val="22"/>
          <w:szCs w:val="22"/>
        </w:rPr>
        <w:t>160.0 crore.</w:t>
      </w:r>
    </w:p>
    <w:p w14:paraId="073F346E" w14:textId="0DBA797F" w:rsidR="007C32C5" w:rsidRPr="007C32C5" w:rsidRDefault="007C32C5" w:rsidP="007C32C5">
      <w:pPr>
        <w:numPr>
          <w:ilvl w:val="0"/>
          <w:numId w:val="8"/>
        </w:numPr>
        <w:pBdr>
          <w:top w:val="nil"/>
          <w:left w:val="nil"/>
          <w:bottom w:val="nil"/>
          <w:right w:val="nil"/>
          <w:between w:val="nil"/>
        </w:pBdr>
        <w:spacing w:line="276" w:lineRule="auto"/>
        <w:ind w:left="360"/>
        <w:jc w:val="both"/>
        <w:rPr>
          <w:rFonts w:ascii="Palatino Linotype" w:eastAsia="Palatino Linotype" w:hAnsi="Palatino Linotype" w:cs="Palatino Linotype"/>
          <w:color w:val="000000"/>
          <w:sz w:val="22"/>
          <w:szCs w:val="22"/>
        </w:rPr>
      </w:pPr>
      <w:r w:rsidRPr="007C32C5">
        <w:rPr>
          <w:rFonts w:ascii="Palatino Linotype" w:eastAsia="Palatino Linotype" w:hAnsi="Palatino Linotype" w:cs="Palatino Linotype"/>
          <w:color w:val="000000" w:themeColor="text1"/>
          <w:sz w:val="22"/>
          <w:szCs w:val="22"/>
        </w:rPr>
        <w:t xml:space="preserve">The amount raised through private placement of equity (i.e., preferential allotment and QIP route) was </w:t>
      </w:r>
      <w:r w:rsidRPr="00F53ED3">
        <w:rPr>
          <w:rFonts w:ascii="Tahoma" w:eastAsia="Palatino Linotype" w:hAnsi="Tahoma" w:cs="Tahoma"/>
          <w:color w:val="000000" w:themeColor="text1"/>
          <w:sz w:val="22"/>
          <w:szCs w:val="22"/>
        </w:rPr>
        <w:t>₹</w:t>
      </w:r>
      <w:r w:rsidR="00F53ED3" w:rsidRPr="00F53ED3">
        <w:rPr>
          <w:rFonts w:ascii="Palatino Linotype" w:eastAsia="Palatino Linotype" w:hAnsi="Palatino Linotype" w:cs="Palatino Linotype"/>
          <w:color w:val="000000" w:themeColor="text1"/>
          <w:sz w:val="22"/>
          <w:szCs w:val="22"/>
        </w:rPr>
        <w:t>45,471</w:t>
      </w:r>
      <w:r w:rsidRPr="00F53ED3">
        <w:rPr>
          <w:rFonts w:ascii="Palatino Linotype" w:eastAsia="Palatino Linotype" w:hAnsi="Palatino Linotype" w:cs="Palatino Linotype"/>
          <w:color w:val="000000" w:themeColor="text1"/>
          <w:sz w:val="22"/>
          <w:szCs w:val="22"/>
        </w:rPr>
        <w:t xml:space="preserve"> crore</w:t>
      </w:r>
      <w:r w:rsidRPr="007C32C5">
        <w:rPr>
          <w:rFonts w:ascii="Palatino Linotype" w:eastAsia="Palatino Linotype" w:hAnsi="Palatino Linotype" w:cs="Palatino Linotype"/>
          <w:color w:val="000000" w:themeColor="text1"/>
          <w:sz w:val="22"/>
          <w:szCs w:val="22"/>
        </w:rPr>
        <w:t xml:space="preserve"> during August 2020, compared to </w:t>
      </w:r>
      <w:r w:rsidRPr="007C32C5">
        <w:rPr>
          <w:rFonts w:ascii="Tahoma" w:eastAsia="Palatino Linotype" w:hAnsi="Tahoma" w:cs="Tahoma"/>
          <w:color w:val="000000" w:themeColor="text1"/>
          <w:sz w:val="22"/>
          <w:szCs w:val="22"/>
        </w:rPr>
        <w:t>₹</w:t>
      </w:r>
      <w:r w:rsidRPr="007C32C5">
        <w:rPr>
          <w:rFonts w:ascii="Palatino Linotype" w:eastAsia="Palatino Linotype" w:hAnsi="Palatino Linotype" w:cs="Palatino Linotype"/>
          <w:color w:val="000000" w:themeColor="text1"/>
          <w:sz w:val="22"/>
          <w:szCs w:val="22"/>
        </w:rPr>
        <w:t xml:space="preserve">2,882.5 crore in July 2020. </w:t>
      </w:r>
    </w:p>
    <w:p w14:paraId="1ECB177C" w14:textId="77777777" w:rsidR="007C32C5" w:rsidRPr="007C32C5" w:rsidRDefault="007C32C5" w:rsidP="007C32C5">
      <w:pPr>
        <w:numPr>
          <w:ilvl w:val="0"/>
          <w:numId w:val="8"/>
        </w:numPr>
        <w:pBdr>
          <w:top w:val="nil"/>
          <w:left w:val="nil"/>
          <w:bottom w:val="nil"/>
          <w:right w:val="nil"/>
          <w:between w:val="nil"/>
        </w:pBdr>
        <w:spacing w:line="276" w:lineRule="auto"/>
        <w:ind w:left="360"/>
        <w:jc w:val="both"/>
        <w:rPr>
          <w:rFonts w:ascii="Palatino Linotype" w:eastAsia="Palatino Linotype" w:hAnsi="Palatino Linotype" w:cs="Palatino Linotype"/>
          <w:color w:val="000000"/>
          <w:sz w:val="22"/>
          <w:szCs w:val="22"/>
        </w:rPr>
      </w:pPr>
      <w:r w:rsidRPr="007C32C5">
        <w:rPr>
          <w:rFonts w:ascii="Palatino Linotype" w:eastAsia="Palatino Linotype" w:hAnsi="Palatino Linotype" w:cs="Palatino Linotype"/>
          <w:color w:val="000000" w:themeColor="text1"/>
          <w:sz w:val="22"/>
          <w:szCs w:val="22"/>
        </w:rPr>
        <w:t xml:space="preserve">Private placement of corporate debt reported to BSE and NSE stood at </w:t>
      </w:r>
      <w:r w:rsidRPr="007C32C5">
        <w:rPr>
          <w:rFonts w:ascii="Tahoma" w:eastAsia="Palatino Linotype" w:hAnsi="Tahoma" w:cs="Tahoma"/>
          <w:color w:val="000000" w:themeColor="text1"/>
          <w:sz w:val="22"/>
          <w:szCs w:val="22"/>
        </w:rPr>
        <w:t>₹</w:t>
      </w:r>
      <w:r w:rsidRPr="007C32C5">
        <w:rPr>
          <w:rFonts w:ascii="Garamond" w:eastAsia="Times New Roman" w:hAnsi="Garamond"/>
          <w:color w:val="000000"/>
          <w:sz w:val="22"/>
          <w:szCs w:val="22"/>
          <w:lang w:val="en-IN" w:eastAsia="en-IN" w:bidi="hi-IN"/>
        </w:rPr>
        <w:t xml:space="preserve">58,419.2 </w:t>
      </w:r>
      <w:r w:rsidRPr="007C32C5">
        <w:rPr>
          <w:rFonts w:ascii="Palatino Linotype" w:eastAsia="Palatino Linotype" w:hAnsi="Palatino Linotype" w:cs="Palatino Linotype"/>
          <w:color w:val="000000" w:themeColor="text1"/>
          <w:sz w:val="22"/>
          <w:szCs w:val="22"/>
        </w:rPr>
        <w:t xml:space="preserve">crore during August 2020 compared to </w:t>
      </w:r>
      <w:r w:rsidRPr="007C32C5">
        <w:rPr>
          <w:rFonts w:ascii="Tahoma" w:eastAsia="Palatino Linotype" w:hAnsi="Tahoma" w:cs="Tahoma"/>
          <w:color w:val="000000" w:themeColor="text1"/>
          <w:sz w:val="22"/>
          <w:szCs w:val="22"/>
        </w:rPr>
        <w:t>₹</w:t>
      </w:r>
      <w:r w:rsidRPr="007C32C5">
        <w:rPr>
          <w:rFonts w:ascii="Palatino Linotype" w:eastAsia="Palatino Linotype" w:hAnsi="Palatino Linotype" w:cs="Palatino Linotype"/>
          <w:color w:val="000000" w:themeColor="text1"/>
          <w:sz w:val="22"/>
          <w:szCs w:val="22"/>
        </w:rPr>
        <w:t xml:space="preserve">47,961.7 crore in July 2020.  </w:t>
      </w:r>
    </w:p>
    <w:p w14:paraId="7050BA60" w14:textId="77777777" w:rsidR="007C32C5" w:rsidRPr="007C32C5" w:rsidRDefault="007C32C5" w:rsidP="007C32C5">
      <w:pPr>
        <w:pBdr>
          <w:top w:val="nil"/>
          <w:left w:val="nil"/>
          <w:bottom w:val="nil"/>
          <w:right w:val="nil"/>
          <w:between w:val="nil"/>
        </w:pBdr>
        <w:spacing w:line="276" w:lineRule="auto"/>
        <w:ind w:left="360"/>
        <w:jc w:val="both"/>
        <w:rPr>
          <w:rFonts w:ascii="Palatino Linotype" w:eastAsia="Palatino Linotype" w:hAnsi="Palatino Linotype" w:cs="Palatino Linotype"/>
          <w:color w:val="0070C0"/>
          <w:sz w:val="22"/>
          <w:szCs w:val="22"/>
          <w:highlight w:val="yellow"/>
        </w:rPr>
      </w:pPr>
    </w:p>
    <w:p w14:paraId="640AD5E8" w14:textId="77777777" w:rsidR="007C32C5" w:rsidRPr="007C32C5" w:rsidRDefault="007C32C5" w:rsidP="007C32C5">
      <w:pPr>
        <w:widowControl w:val="0"/>
        <w:numPr>
          <w:ilvl w:val="0"/>
          <w:numId w:val="9"/>
        </w:numPr>
        <w:spacing w:line="276" w:lineRule="auto"/>
        <w:ind w:left="454" w:hanging="454"/>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Trends in the Secondary Market</w:t>
      </w:r>
    </w:p>
    <w:p w14:paraId="0EBD07D1" w14:textId="77777777" w:rsidR="007C32C5" w:rsidRPr="007C32C5" w:rsidRDefault="007C32C5" w:rsidP="007C32C5">
      <w:pPr>
        <w:widowControl w:val="0"/>
        <w:tabs>
          <w:tab w:val="left" w:pos="3915"/>
        </w:tabs>
        <w:spacing w:line="276" w:lineRule="auto"/>
        <w:jc w:val="both"/>
        <w:rPr>
          <w:rFonts w:ascii="Palatino Linotype" w:eastAsia="Palatino Linotype" w:hAnsi="Palatino Linotype" w:cs="Palatino Linotype"/>
          <w:b/>
          <w:color w:val="0070C0"/>
          <w:sz w:val="22"/>
          <w:szCs w:val="22"/>
        </w:rPr>
      </w:pPr>
    </w:p>
    <w:p w14:paraId="04E18AF0" w14:textId="77777777" w:rsidR="007C32C5" w:rsidRPr="007C32C5" w:rsidRDefault="007C32C5" w:rsidP="007C32C5">
      <w:pPr>
        <w:numPr>
          <w:ilvl w:val="0"/>
          <w:numId w:val="8"/>
        </w:numPr>
        <w:pBdr>
          <w:top w:val="nil"/>
          <w:left w:val="nil"/>
          <w:bottom w:val="nil"/>
          <w:right w:val="nil"/>
          <w:between w:val="nil"/>
        </w:pBdr>
        <w:spacing w:line="276" w:lineRule="auto"/>
        <w:ind w:left="567" w:hanging="567"/>
        <w:jc w:val="both"/>
        <w:rPr>
          <w:rFonts w:ascii="Palatino Linotype" w:eastAsia="Palatino Linotype" w:hAnsi="Palatino Linotype" w:cs="Palatino Linotype"/>
          <w:color w:val="000000" w:themeColor="text1"/>
          <w:sz w:val="22"/>
          <w:szCs w:val="22"/>
        </w:rPr>
      </w:pPr>
      <w:r w:rsidRPr="007C32C5">
        <w:rPr>
          <w:rFonts w:ascii="Palatino Linotype" w:eastAsia="Palatino Linotype" w:hAnsi="Palatino Linotype" w:cs="Palatino Linotype"/>
          <w:color w:val="000000" w:themeColor="text1"/>
          <w:sz w:val="22"/>
          <w:szCs w:val="22"/>
        </w:rPr>
        <w:t>At the end of August 2020, Nifty 50 closed at 11,388, registering an increase of 2.8 per cent as compared to the 11,073 level at the end of July 2020.</w:t>
      </w:r>
    </w:p>
    <w:p w14:paraId="5B9BBA87" w14:textId="77777777" w:rsidR="007C32C5" w:rsidRPr="007C32C5" w:rsidRDefault="007C32C5" w:rsidP="007C32C5">
      <w:pPr>
        <w:numPr>
          <w:ilvl w:val="0"/>
          <w:numId w:val="8"/>
        </w:numPr>
        <w:pBdr>
          <w:top w:val="nil"/>
          <w:left w:val="nil"/>
          <w:bottom w:val="nil"/>
          <w:right w:val="nil"/>
          <w:between w:val="nil"/>
        </w:pBdr>
        <w:spacing w:line="276" w:lineRule="auto"/>
        <w:ind w:left="567" w:hanging="567"/>
        <w:jc w:val="both"/>
        <w:rPr>
          <w:rFonts w:ascii="Palatino Linotype" w:eastAsia="Palatino Linotype" w:hAnsi="Palatino Linotype" w:cs="Palatino Linotype"/>
          <w:color w:val="000000" w:themeColor="text1"/>
          <w:sz w:val="22"/>
          <w:szCs w:val="22"/>
        </w:rPr>
      </w:pPr>
      <w:r w:rsidRPr="007C32C5">
        <w:rPr>
          <w:rFonts w:ascii="Palatino Linotype" w:eastAsia="Palatino Linotype" w:hAnsi="Palatino Linotype" w:cs="Palatino Linotype"/>
          <w:color w:val="000000" w:themeColor="text1"/>
          <w:sz w:val="22"/>
          <w:szCs w:val="22"/>
        </w:rPr>
        <w:t>S&amp;P BSE Sensex closed at 38,628 at the end of August 2020, registering an increase of 2.7 per cent as compared to the 37,607 level at the end of July 2020.</w:t>
      </w:r>
    </w:p>
    <w:p w14:paraId="004FC6BB" w14:textId="6A45604A" w:rsidR="007C32C5" w:rsidRPr="007C32C5" w:rsidRDefault="007C32C5" w:rsidP="007C32C5">
      <w:pPr>
        <w:numPr>
          <w:ilvl w:val="0"/>
          <w:numId w:val="8"/>
        </w:numPr>
        <w:pBdr>
          <w:top w:val="nil"/>
          <w:left w:val="nil"/>
          <w:bottom w:val="nil"/>
          <w:right w:val="nil"/>
          <w:between w:val="nil"/>
        </w:pBdr>
        <w:spacing w:line="276" w:lineRule="auto"/>
        <w:ind w:left="567" w:hanging="567"/>
        <w:jc w:val="both"/>
        <w:rPr>
          <w:rFonts w:ascii="Palatino Linotype" w:eastAsia="Palatino Linotype" w:hAnsi="Palatino Linotype" w:cs="Palatino Linotype"/>
          <w:color w:val="000000" w:themeColor="text1"/>
          <w:sz w:val="22"/>
          <w:szCs w:val="22"/>
        </w:rPr>
      </w:pPr>
      <w:r w:rsidRPr="007C32C5">
        <w:rPr>
          <w:rFonts w:ascii="Palatino Linotype" w:eastAsia="Palatino Linotype" w:hAnsi="Palatino Linotype" w:cs="Palatino Linotype"/>
          <w:color w:val="000000" w:themeColor="text1"/>
          <w:sz w:val="22"/>
          <w:szCs w:val="22"/>
        </w:rPr>
        <w:t xml:space="preserve">Both, Nifty 50 and S&amp;P BSE Sensex reached their intraday high for the month, on August 28, 2020 with closing values of 11,648 and 39,467, </w:t>
      </w:r>
      <w:r w:rsidR="007D7570" w:rsidRPr="007C32C5">
        <w:rPr>
          <w:rFonts w:ascii="Palatino Linotype" w:eastAsia="Palatino Linotype" w:hAnsi="Palatino Linotype" w:cs="Palatino Linotype"/>
          <w:color w:val="000000" w:themeColor="text1"/>
          <w:sz w:val="22"/>
          <w:szCs w:val="22"/>
        </w:rPr>
        <w:t>respectively</w:t>
      </w:r>
      <w:r w:rsidR="007D7570">
        <w:rPr>
          <w:rFonts w:ascii="Palatino Linotype" w:eastAsia="Palatino Linotype" w:hAnsi="Palatino Linotype" w:cs="Palatino Linotype"/>
          <w:color w:val="000000" w:themeColor="text1"/>
          <w:sz w:val="22"/>
          <w:szCs w:val="22"/>
        </w:rPr>
        <w:t xml:space="preserve"> and</w:t>
      </w:r>
      <w:r w:rsidR="00BA0346">
        <w:rPr>
          <w:rFonts w:ascii="Palatino Linotype" w:eastAsia="Palatino Linotype" w:hAnsi="Palatino Linotype" w:cs="Palatino Linotype"/>
          <w:color w:val="000000" w:themeColor="text1"/>
          <w:sz w:val="22"/>
          <w:szCs w:val="22"/>
        </w:rPr>
        <w:t xml:space="preserve"> </w:t>
      </w:r>
      <w:r w:rsidRPr="007C32C5">
        <w:rPr>
          <w:rFonts w:ascii="Palatino Linotype" w:eastAsia="Palatino Linotype" w:hAnsi="Palatino Linotype" w:cs="Palatino Linotype"/>
          <w:color w:val="000000" w:themeColor="text1"/>
          <w:sz w:val="22"/>
          <w:szCs w:val="22"/>
        </w:rPr>
        <w:t>their intraday low for the month, on August 03, 2020 with closing values of at 10,892 and 36,940, respectively.</w:t>
      </w:r>
    </w:p>
    <w:p w14:paraId="0F87A6D0" w14:textId="77777777" w:rsidR="007C32C5" w:rsidRPr="007C32C5" w:rsidRDefault="007C32C5" w:rsidP="007C32C5">
      <w:pPr>
        <w:numPr>
          <w:ilvl w:val="0"/>
          <w:numId w:val="7"/>
        </w:numPr>
        <w:pBdr>
          <w:top w:val="nil"/>
          <w:left w:val="nil"/>
          <w:bottom w:val="nil"/>
          <w:right w:val="nil"/>
          <w:between w:val="nil"/>
        </w:pBdr>
        <w:spacing w:line="276" w:lineRule="auto"/>
        <w:ind w:left="567" w:hanging="567"/>
        <w:jc w:val="both"/>
        <w:rPr>
          <w:rFonts w:ascii="Palatino Linotype" w:hAnsi="Palatino Linotype"/>
          <w:color w:val="000000" w:themeColor="text1"/>
          <w:sz w:val="22"/>
          <w:szCs w:val="22"/>
        </w:rPr>
      </w:pPr>
      <w:r w:rsidRPr="007C32C5">
        <w:rPr>
          <w:rFonts w:ascii="Palatino Linotype" w:eastAsia="Palatino Linotype" w:hAnsi="Palatino Linotype" w:cs="Palatino Linotype"/>
          <w:color w:val="000000" w:themeColor="text1"/>
          <w:sz w:val="22"/>
          <w:szCs w:val="22"/>
        </w:rPr>
        <w:t>The P/E ratios of S&amp;P BSE Sensex and Nifty 50 were 27.9 and 32.3 respectively, at the end of August 2020 compared to 24.7 and 30.2, respectively, a month ago.</w:t>
      </w:r>
    </w:p>
    <w:p w14:paraId="621739DA" w14:textId="77777777" w:rsidR="007C32C5" w:rsidRPr="007C32C5" w:rsidRDefault="007C32C5" w:rsidP="007C32C5">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p>
    <w:p w14:paraId="3013428F" w14:textId="77777777" w:rsidR="007C32C5" w:rsidRPr="007C32C5" w:rsidRDefault="007C32C5" w:rsidP="007C32C5">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p>
    <w:p w14:paraId="6DED363F" w14:textId="77777777" w:rsidR="007C32C5" w:rsidRPr="007C32C5" w:rsidRDefault="007C32C5" w:rsidP="007C32C5">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p>
    <w:p w14:paraId="404707F9" w14:textId="77777777" w:rsidR="007C32C5" w:rsidRPr="007C32C5" w:rsidRDefault="007C32C5" w:rsidP="007C32C5">
      <w:pPr>
        <w:pBdr>
          <w:top w:val="nil"/>
          <w:left w:val="nil"/>
          <w:bottom w:val="nil"/>
          <w:right w:val="nil"/>
          <w:between w:val="nil"/>
        </w:pBdr>
        <w:spacing w:line="276" w:lineRule="auto"/>
        <w:jc w:val="both"/>
        <w:rPr>
          <w:rFonts w:ascii="Palatino Linotype" w:hAnsi="Palatino Linotype"/>
          <w:color w:val="000000" w:themeColor="text1"/>
          <w:sz w:val="22"/>
          <w:szCs w:val="22"/>
        </w:rPr>
      </w:pPr>
    </w:p>
    <w:p w14:paraId="0009A351" w14:textId="77777777" w:rsidR="007C32C5" w:rsidRPr="007C32C5" w:rsidRDefault="007C32C5" w:rsidP="007C32C5">
      <w:pPr>
        <w:widowControl w:val="0"/>
        <w:spacing w:line="276" w:lineRule="auto"/>
        <w:jc w:val="both"/>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 xml:space="preserve">Table 2: Snapshot of Indian Capital Market </w:t>
      </w:r>
    </w:p>
    <w:tbl>
      <w:tblPr>
        <w:tblW w:w="7794" w:type="dxa"/>
        <w:tblLook w:val="04A0" w:firstRow="1" w:lastRow="0" w:firstColumn="1" w:lastColumn="0" w:noHBand="0" w:noVBand="1"/>
      </w:tblPr>
      <w:tblGrid>
        <w:gridCol w:w="2892"/>
        <w:gridCol w:w="1634"/>
        <w:gridCol w:w="1325"/>
        <w:gridCol w:w="1943"/>
      </w:tblGrid>
      <w:tr w:rsidR="007C32C5" w:rsidRPr="007C32C5" w14:paraId="2EE60D6D" w14:textId="77777777" w:rsidTr="00B45E12">
        <w:trPr>
          <w:trHeight w:val="670"/>
        </w:trPr>
        <w:tc>
          <w:tcPr>
            <w:tcW w:w="2892" w:type="dxa"/>
            <w:tcBorders>
              <w:top w:val="single" w:sz="4" w:space="0" w:color="000000"/>
              <w:left w:val="single" w:sz="4" w:space="0" w:color="000000"/>
              <w:bottom w:val="single" w:sz="4" w:space="0" w:color="000000"/>
              <w:right w:val="single" w:sz="4" w:space="0" w:color="000000"/>
            </w:tcBorders>
            <w:shd w:val="clear" w:color="92CDDC" w:fill="92CDDC"/>
            <w:noWrap/>
            <w:vAlign w:val="center"/>
            <w:hideMark/>
          </w:tcPr>
          <w:p w14:paraId="0CCB1553" w14:textId="77777777" w:rsidR="007C32C5" w:rsidRPr="007C32C5" w:rsidRDefault="007C32C5" w:rsidP="007C32C5">
            <w:pPr>
              <w:rPr>
                <w:rFonts w:ascii="Palatino Linotype" w:eastAsia="Times New Roman" w:hAnsi="Palatino Linotype"/>
                <w:b/>
                <w:bCs/>
                <w:color w:val="000000"/>
                <w:sz w:val="20"/>
                <w:szCs w:val="20"/>
                <w:lang w:val="en-IN" w:eastAsia="en-IN" w:bidi="hi-IN"/>
              </w:rPr>
            </w:pPr>
            <w:r w:rsidRPr="007C32C5">
              <w:rPr>
                <w:rFonts w:ascii="Palatino Linotype" w:eastAsia="Times New Roman" w:hAnsi="Palatino Linotype"/>
                <w:b/>
                <w:bCs/>
                <w:color w:val="000000"/>
                <w:sz w:val="20"/>
                <w:szCs w:val="20"/>
                <w:lang w:val="en-IN" w:eastAsia="en-IN" w:bidi="hi-IN"/>
              </w:rPr>
              <w:t>Description</w:t>
            </w:r>
          </w:p>
        </w:tc>
        <w:tc>
          <w:tcPr>
            <w:tcW w:w="1633" w:type="dxa"/>
            <w:tcBorders>
              <w:top w:val="single" w:sz="4" w:space="0" w:color="000000"/>
              <w:left w:val="nil"/>
              <w:bottom w:val="single" w:sz="4" w:space="0" w:color="000000"/>
              <w:right w:val="single" w:sz="4" w:space="0" w:color="000000"/>
            </w:tcBorders>
            <w:shd w:val="clear" w:color="92CDDC" w:fill="92CDDC"/>
            <w:noWrap/>
            <w:vAlign w:val="center"/>
            <w:hideMark/>
          </w:tcPr>
          <w:p w14:paraId="65FDBBC9" w14:textId="77777777" w:rsidR="007C32C5" w:rsidRPr="007C32C5" w:rsidRDefault="007C32C5" w:rsidP="007C32C5">
            <w:pPr>
              <w:jc w:val="center"/>
              <w:rPr>
                <w:rFonts w:ascii="Palatino Linotype" w:eastAsia="Times New Roman" w:hAnsi="Palatino Linotype"/>
                <w:b/>
                <w:bCs/>
                <w:color w:val="000000"/>
                <w:sz w:val="20"/>
                <w:szCs w:val="20"/>
                <w:lang w:val="en-IN" w:eastAsia="en-IN" w:bidi="hi-IN"/>
              </w:rPr>
            </w:pPr>
            <w:r w:rsidRPr="007C32C5">
              <w:rPr>
                <w:rFonts w:ascii="Palatino Linotype" w:eastAsia="Times New Roman" w:hAnsi="Palatino Linotype"/>
                <w:b/>
                <w:bCs/>
                <w:color w:val="000000"/>
                <w:sz w:val="20"/>
                <w:szCs w:val="20"/>
                <w:lang w:val="en-IN" w:eastAsia="en-IN" w:bidi="hi-IN"/>
              </w:rPr>
              <w:t>Jul-20</w:t>
            </w:r>
          </w:p>
        </w:tc>
        <w:tc>
          <w:tcPr>
            <w:tcW w:w="1324" w:type="dxa"/>
            <w:tcBorders>
              <w:top w:val="single" w:sz="4" w:space="0" w:color="000000"/>
              <w:left w:val="nil"/>
              <w:bottom w:val="single" w:sz="4" w:space="0" w:color="000000"/>
              <w:right w:val="single" w:sz="4" w:space="0" w:color="000000"/>
            </w:tcBorders>
            <w:shd w:val="clear" w:color="92CDDC" w:fill="92CDDC"/>
            <w:noWrap/>
            <w:vAlign w:val="center"/>
            <w:hideMark/>
          </w:tcPr>
          <w:p w14:paraId="521A0313" w14:textId="77777777" w:rsidR="007C32C5" w:rsidRPr="007C32C5" w:rsidRDefault="007C32C5" w:rsidP="007C32C5">
            <w:pPr>
              <w:jc w:val="center"/>
              <w:rPr>
                <w:rFonts w:ascii="Palatino Linotype" w:eastAsia="Times New Roman" w:hAnsi="Palatino Linotype"/>
                <w:b/>
                <w:bCs/>
                <w:color w:val="000000"/>
                <w:sz w:val="20"/>
                <w:szCs w:val="20"/>
                <w:lang w:val="en-IN" w:eastAsia="en-IN" w:bidi="hi-IN"/>
              </w:rPr>
            </w:pPr>
            <w:r w:rsidRPr="007C32C5">
              <w:rPr>
                <w:rFonts w:ascii="Palatino Linotype" w:eastAsia="Times New Roman" w:hAnsi="Palatino Linotype"/>
                <w:b/>
                <w:bCs/>
                <w:color w:val="000000"/>
                <w:sz w:val="20"/>
                <w:szCs w:val="20"/>
                <w:lang w:val="en-IN" w:eastAsia="en-IN" w:bidi="hi-IN"/>
              </w:rPr>
              <w:t>Aug-20</w:t>
            </w:r>
          </w:p>
        </w:tc>
        <w:tc>
          <w:tcPr>
            <w:tcW w:w="1943" w:type="dxa"/>
            <w:tcBorders>
              <w:top w:val="single" w:sz="4" w:space="0" w:color="000000"/>
              <w:left w:val="nil"/>
              <w:bottom w:val="single" w:sz="4" w:space="0" w:color="000000"/>
              <w:right w:val="single" w:sz="4" w:space="0" w:color="000000"/>
            </w:tcBorders>
            <w:shd w:val="clear" w:color="92CDDC" w:fill="92CDDC"/>
            <w:vAlign w:val="center"/>
            <w:hideMark/>
          </w:tcPr>
          <w:p w14:paraId="4AF4DD99" w14:textId="710C8320" w:rsidR="007C32C5" w:rsidRPr="007C32C5" w:rsidRDefault="007C32C5" w:rsidP="007C32C5">
            <w:pPr>
              <w:jc w:val="center"/>
              <w:rPr>
                <w:rFonts w:ascii="Palatino Linotype" w:eastAsia="Times New Roman" w:hAnsi="Palatino Linotype"/>
                <w:b/>
                <w:bCs/>
                <w:color w:val="000000"/>
                <w:sz w:val="20"/>
                <w:szCs w:val="20"/>
                <w:lang w:val="en-IN" w:eastAsia="en-IN" w:bidi="hi-IN"/>
              </w:rPr>
            </w:pPr>
            <w:r w:rsidRPr="007C32C5">
              <w:rPr>
                <w:rFonts w:ascii="Palatino Linotype" w:eastAsia="Times New Roman" w:hAnsi="Palatino Linotype"/>
                <w:b/>
                <w:bCs/>
                <w:color w:val="000000"/>
                <w:sz w:val="20"/>
                <w:szCs w:val="20"/>
                <w:lang w:val="en-IN" w:eastAsia="en-IN" w:bidi="hi-IN"/>
              </w:rPr>
              <w:t>Percentage Change Over Month</w:t>
            </w:r>
          </w:p>
        </w:tc>
      </w:tr>
      <w:tr w:rsidR="007C32C5" w:rsidRPr="007C32C5" w14:paraId="01D604BC" w14:textId="77777777" w:rsidTr="00B45E12">
        <w:trPr>
          <w:trHeight w:val="270"/>
        </w:trPr>
        <w:tc>
          <w:tcPr>
            <w:tcW w:w="2892" w:type="dxa"/>
            <w:tcBorders>
              <w:top w:val="nil"/>
              <w:left w:val="single" w:sz="4" w:space="0" w:color="000000"/>
              <w:bottom w:val="single" w:sz="4" w:space="0" w:color="000000"/>
              <w:right w:val="nil"/>
            </w:tcBorders>
            <w:shd w:val="clear" w:color="C6E0B4" w:fill="C6E0B4"/>
            <w:noWrap/>
            <w:vAlign w:val="center"/>
            <w:hideMark/>
          </w:tcPr>
          <w:p w14:paraId="4A9DD614"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Index in Equity Market</w:t>
            </w:r>
          </w:p>
        </w:tc>
        <w:tc>
          <w:tcPr>
            <w:tcW w:w="1633" w:type="dxa"/>
            <w:tcBorders>
              <w:top w:val="nil"/>
              <w:left w:val="nil"/>
              <w:bottom w:val="single" w:sz="4" w:space="0" w:color="000000"/>
              <w:right w:val="nil"/>
            </w:tcBorders>
            <w:shd w:val="clear" w:color="C6E0B4" w:fill="C6E0B4"/>
            <w:noWrap/>
            <w:vAlign w:val="center"/>
            <w:hideMark/>
          </w:tcPr>
          <w:p w14:paraId="242AA20C"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c>
          <w:tcPr>
            <w:tcW w:w="1324" w:type="dxa"/>
            <w:tcBorders>
              <w:top w:val="nil"/>
              <w:left w:val="nil"/>
              <w:bottom w:val="single" w:sz="4" w:space="0" w:color="000000"/>
              <w:right w:val="nil"/>
            </w:tcBorders>
            <w:shd w:val="clear" w:color="C6E0B4" w:fill="C6E0B4"/>
            <w:noWrap/>
            <w:vAlign w:val="center"/>
            <w:hideMark/>
          </w:tcPr>
          <w:p w14:paraId="1297659A"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c>
          <w:tcPr>
            <w:tcW w:w="1943" w:type="dxa"/>
            <w:tcBorders>
              <w:top w:val="nil"/>
              <w:left w:val="nil"/>
              <w:bottom w:val="single" w:sz="4" w:space="0" w:color="000000"/>
              <w:right w:val="single" w:sz="4" w:space="0" w:color="000000"/>
            </w:tcBorders>
            <w:shd w:val="clear" w:color="C6E0B4" w:fill="C6E0B4"/>
            <w:noWrap/>
            <w:vAlign w:val="center"/>
            <w:hideMark/>
          </w:tcPr>
          <w:p w14:paraId="5521841C"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r>
      <w:tr w:rsidR="007C32C5" w:rsidRPr="007C32C5" w14:paraId="7F5D7DDF"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0A805C9E"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Sensex</w:t>
            </w:r>
          </w:p>
        </w:tc>
        <w:tc>
          <w:tcPr>
            <w:tcW w:w="1633" w:type="dxa"/>
            <w:tcBorders>
              <w:top w:val="nil"/>
              <w:left w:val="nil"/>
              <w:bottom w:val="single" w:sz="4" w:space="0" w:color="000000"/>
              <w:right w:val="single" w:sz="4" w:space="0" w:color="000000"/>
            </w:tcBorders>
            <w:shd w:val="clear" w:color="auto" w:fill="auto"/>
            <w:noWrap/>
            <w:vAlign w:val="bottom"/>
            <w:hideMark/>
          </w:tcPr>
          <w:p w14:paraId="796DD557"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37,607 </w:t>
            </w:r>
          </w:p>
        </w:tc>
        <w:tc>
          <w:tcPr>
            <w:tcW w:w="1324" w:type="dxa"/>
            <w:tcBorders>
              <w:top w:val="nil"/>
              <w:left w:val="nil"/>
              <w:bottom w:val="single" w:sz="4" w:space="0" w:color="000000"/>
              <w:right w:val="single" w:sz="4" w:space="0" w:color="000000"/>
            </w:tcBorders>
            <w:shd w:val="clear" w:color="auto" w:fill="auto"/>
            <w:noWrap/>
            <w:vAlign w:val="bottom"/>
            <w:hideMark/>
          </w:tcPr>
          <w:p w14:paraId="059E676E"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38,628 </w:t>
            </w:r>
          </w:p>
        </w:tc>
        <w:tc>
          <w:tcPr>
            <w:tcW w:w="1943" w:type="dxa"/>
            <w:tcBorders>
              <w:top w:val="nil"/>
              <w:left w:val="nil"/>
              <w:bottom w:val="single" w:sz="4" w:space="0" w:color="000000"/>
              <w:right w:val="single" w:sz="4" w:space="0" w:color="000000"/>
            </w:tcBorders>
            <w:shd w:val="clear" w:color="auto" w:fill="auto"/>
            <w:noWrap/>
            <w:vAlign w:val="bottom"/>
            <w:hideMark/>
          </w:tcPr>
          <w:p w14:paraId="28F2A2D5"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2.7</w:t>
            </w:r>
          </w:p>
        </w:tc>
      </w:tr>
      <w:tr w:rsidR="007C32C5" w:rsidRPr="007C32C5" w14:paraId="218F7EB0"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40B2D291"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Nifty 50</w:t>
            </w:r>
          </w:p>
        </w:tc>
        <w:tc>
          <w:tcPr>
            <w:tcW w:w="1633" w:type="dxa"/>
            <w:tcBorders>
              <w:top w:val="nil"/>
              <w:left w:val="nil"/>
              <w:bottom w:val="single" w:sz="4" w:space="0" w:color="000000"/>
              <w:right w:val="single" w:sz="4" w:space="0" w:color="000000"/>
            </w:tcBorders>
            <w:shd w:val="clear" w:color="auto" w:fill="auto"/>
            <w:noWrap/>
            <w:vAlign w:val="bottom"/>
            <w:hideMark/>
          </w:tcPr>
          <w:p w14:paraId="2744D693"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11,073 </w:t>
            </w:r>
          </w:p>
        </w:tc>
        <w:tc>
          <w:tcPr>
            <w:tcW w:w="1324" w:type="dxa"/>
            <w:tcBorders>
              <w:top w:val="nil"/>
              <w:left w:val="nil"/>
              <w:bottom w:val="single" w:sz="4" w:space="0" w:color="000000"/>
              <w:right w:val="single" w:sz="4" w:space="0" w:color="000000"/>
            </w:tcBorders>
            <w:shd w:val="clear" w:color="auto" w:fill="auto"/>
            <w:noWrap/>
            <w:vAlign w:val="bottom"/>
            <w:hideMark/>
          </w:tcPr>
          <w:p w14:paraId="16E88D56"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11,388 </w:t>
            </w:r>
          </w:p>
        </w:tc>
        <w:tc>
          <w:tcPr>
            <w:tcW w:w="1943" w:type="dxa"/>
            <w:tcBorders>
              <w:top w:val="nil"/>
              <w:left w:val="nil"/>
              <w:bottom w:val="single" w:sz="4" w:space="0" w:color="000000"/>
              <w:right w:val="single" w:sz="4" w:space="0" w:color="000000"/>
            </w:tcBorders>
            <w:shd w:val="clear" w:color="auto" w:fill="auto"/>
            <w:noWrap/>
            <w:vAlign w:val="bottom"/>
            <w:hideMark/>
          </w:tcPr>
          <w:p w14:paraId="7282DE1A"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2.8</w:t>
            </w:r>
          </w:p>
        </w:tc>
      </w:tr>
      <w:tr w:rsidR="007C32C5" w:rsidRPr="007C32C5" w14:paraId="0AC89D9D"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18FBE781"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Nifty 500</w:t>
            </w:r>
          </w:p>
        </w:tc>
        <w:tc>
          <w:tcPr>
            <w:tcW w:w="1633" w:type="dxa"/>
            <w:tcBorders>
              <w:top w:val="nil"/>
              <w:left w:val="nil"/>
              <w:bottom w:val="single" w:sz="4" w:space="0" w:color="000000"/>
              <w:right w:val="single" w:sz="4" w:space="0" w:color="000000"/>
            </w:tcBorders>
            <w:shd w:val="clear" w:color="auto" w:fill="auto"/>
            <w:noWrap/>
            <w:vAlign w:val="bottom"/>
            <w:hideMark/>
          </w:tcPr>
          <w:p w14:paraId="12ECF0DF"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9,036 </w:t>
            </w:r>
          </w:p>
        </w:tc>
        <w:tc>
          <w:tcPr>
            <w:tcW w:w="1324" w:type="dxa"/>
            <w:tcBorders>
              <w:top w:val="nil"/>
              <w:left w:val="nil"/>
              <w:bottom w:val="single" w:sz="4" w:space="0" w:color="000000"/>
              <w:right w:val="single" w:sz="4" w:space="0" w:color="000000"/>
            </w:tcBorders>
            <w:shd w:val="clear" w:color="auto" w:fill="auto"/>
            <w:noWrap/>
            <w:vAlign w:val="bottom"/>
            <w:hideMark/>
          </w:tcPr>
          <w:p w14:paraId="26E1468C"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9,372 </w:t>
            </w:r>
          </w:p>
        </w:tc>
        <w:tc>
          <w:tcPr>
            <w:tcW w:w="1943" w:type="dxa"/>
            <w:tcBorders>
              <w:top w:val="nil"/>
              <w:left w:val="nil"/>
              <w:bottom w:val="single" w:sz="4" w:space="0" w:color="000000"/>
              <w:right w:val="single" w:sz="4" w:space="0" w:color="000000"/>
            </w:tcBorders>
            <w:shd w:val="clear" w:color="auto" w:fill="auto"/>
            <w:noWrap/>
            <w:vAlign w:val="bottom"/>
            <w:hideMark/>
          </w:tcPr>
          <w:p w14:paraId="2B5C30CB"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3.7</w:t>
            </w:r>
          </w:p>
        </w:tc>
      </w:tr>
      <w:tr w:rsidR="007C32C5" w:rsidRPr="007C32C5" w14:paraId="40A696E3"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4D53368C"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BSE 500</w:t>
            </w:r>
          </w:p>
        </w:tc>
        <w:tc>
          <w:tcPr>
            <w:tcW w:w="1633" w:type="dxa"/>
            <w:tcBorders>
              <w:top w:val="nil"/>
              <w:left w:val="nil"/>
              <w:bottom w:val="single" w:sz="4" w:space="0" w:color="000000"/>
              <w:right w:val="single" w:sz="4" w:space="0" w:color="000000"/>
            </w:tcBorders>
            <w:shd w:val="clear" w:color="auto" w:fill="auto"/>
            <w:noWrap/>
            <w:vAlign w:val="bottom"/>
            <w:hideMark/>
          </w:tcPr>
          <w:p w14:paraId="0C6080A3"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14,346 </w:t>
            </w:r>
          </w:p>
        </w:tc>
        <w:tc>
          <w:tcPr>
            <w:tcW w:w="1324" w:type="dxa"/>
            <w:tcBorders>
              <w:top w:val="nil"/>
              <w:left w:val="nil"/>
              <w:bottom w:val="single" w:sz="4" w:space="0" w:color="000000"/>
              <w:right w:val="single" w:sz="4" w:space="0" w:color="000000"/>
            </w:tcBorders>
            <w:shd w:val="clear" w:color="auto" w:fill="auto"/>
            <w:noWrap/>
            <w:vAlign w:val="bottom"/>
            <w:hideMark/>
          </w:tcPr>
          <w:p w14:paraId="6D33B6A4"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14,890 </w:t>
            </w:r>
          </w:p>
        </w:tc>
        <w:tc>
          <w:tcPr>
            <w:tcW w:w="1943" w:type="dxa"/>
            <w:tcBorders>
              <w:top w:val="nil"/>
              <w:left w:val="nil"/>
              <w:bottom w:val="single" w:sz="4" w:space="0" w:color="000000"/>
              <w:right w:val="single" w:sz="4" w:space="0" w:color="000000"/>
            </w:tcBorders>
            <w:shd w:val="clear" w:color="auto" w:fill="auto"/>
            <w:noWrap/>
            <w:vAlign w:val="bottom"/>
            <w:hideMark/>
          </w:tcPr>
          <w:p w14:paraId="73F2B214"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3.8</w:t>
            </w:r>
          </w:p>
        </w:tc>
      </w:tr>
      <w:tr w:rsidR="007C32C5" w:rsidRPr="007C32C5" w14:paraId="273AFFAC"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51F7526A"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Nifty Bank</w:t>
            </w:r>
          </w:p>
        </w:tc>
        <w:tc>
          <w:tcPr>
            <w:tcW w:w="1633" w:type="dxa"/>
            <w:tcBorders>
              <w:top w:val="nil"/>
              <w:left w:val="nil"/>
              <w:bottom w:val="single" w:sz="4" w:space="0" w:color="000000"/>
              <w:right w:val="single" w:sz="4" w:space="0" w:color="000000"/>
            </w:tcBorders>
            <w:shd w:val="clear" w:color="auto" w:fill="auto"/>
            <w:noWrap/>
            <w:vAlign w:val="bottom"/>
            <w:hideMark/>
          </w:tcPr>
          <w:p w14:paraId="18217F15"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21,640 </w:t>
            </w:r>
          </w:p>
        </w:tc>
        <w:tc>
          <w:tcPr>
            <w:tcW w:w="1324" w:type="dxa"/>
            <w:tcBorders>
              <w:top w:val="nil"/>
              <w:left w:val="nil"/>
              <w:bottom w:val="single" w:sz="4" w:space="0" w:color="000000"/>
              <w:right w:val="single" w:sz="4" w:space="0" w:color="000000"/>
            </w:tcBorders>
            <w:shd w:val="clear" w:color="auto" w:fill="auto"/>
            <w:noWrap/>
            <w:vAlign w:val="bottom"/>
            <w:hideMark/>
          </w:tcPr>
          <w:p w14:paraId="5815028C"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23,754 </w:t>
            </w:r>
          </w:p>
        </w:tc>
        <w:tc>
          <w:tcPr>
            <w:tcW w:w="1943" w:type="dxa"/>
            <w:tcBorders>
              <w:top w:val="nil"/>
              <w:left w:val="nil"/>
              <w:bottom w:val="single" w:sz="4" w:space="0" w:color="000000"/>
              <w:right w:val="single" w:sz="4" w:space="0" w:color="000000"/>
            </w:tcBorders>
            <w:shd w:val="clear" w:color="auto" w:fill="auto"/>
            <w:noWrap/>
            <w:vAlign w:val="bottom"/>
            <w:hideMark/>
          </w:tcPr>
          <w:p w14:paraId="390F9E5C"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9.8</w:t>
            </w:r>
          </w:p>
        </w:tc>
      </w:tr>
      <w:tr w:rsidR="007C32C5" w:rsidRPr="007C32C5" w14:paraId="25394802"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1D6F3191"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Nifty IT</w:t>
            </w:r>
          </w:p>
        </w:tc>
        <w:tc>
          <w:tcPr>
            <w:tcW w:w="1633" w:type="dxa"/>
            <w:tcBorders>
              <w:top w:val="nil"/>
              <w:left w:val="nil"/>
              <w:bottom w:val="single" w:sz="4" w:space="0" w:color="000000"/>
              <w:right w:val="single" w:sz="4" w:space="0" w:color="000000"/>
            </w:tcBorders>
            <w:shd w:val="clear" w:color="auto" w:fill="auto"/>
            <w:noWrap/>
            <w:vAlign w:val="bottom"/>
            <w:hideMark/>
          </w:tcPr>
          <w:p w14:paraId="4DCD5779"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18,072 </w:t>
            </w:r>
          </w:p>
        </w:tc>
        <w:tc>
          <w:tcPr>
            <w:tcW w:w="1324" w:type="dxa"/>
            <w:tcBorders>
              <w:top w:val="nil"/>
              <w:left w:val="nil"/>
              <w:bottom w:val="single" w:sz="4" w:space="0" w:color="000000"/>
              <w:right w:val="single" w:sz="4" w:space="0" w:color="000000"/>
            </w:tcBorders>
            <w:shd w:val="clear" w:color="auto" w:fill="auto"/>
            <w:noWrap/>
            <w:vAlign w:val="bottom"/>
            <w:hideMark/>
          </w:tcPr>
          <w:p w14:paraId="59A1A7F4"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17,929 </w:t>
            </w:r>
          </w:p>
        </w:tc>
        <w:tc>
          <w:tcPr>
            <w:tcW w:w="1943" w:type="dxa"/>
            <w:tcBorders>
              <w:top w:val="nil"/>
              <w:left w:val="nil"/>
              <w:bottom w:val="single" w:sz="4" w:space="0" w:color="000000"/>
              <w:right w:val="single" w:sz="4" w:space="0" w:color="000000"/>
            </w:tcBorders>
            <w:shd w:val="clear" w:color="auto" w:fill="auto"/>
            <w:noWrap/>
            <w:vAlign w:val="bottom"/>
            <w:hideMark/>
          </w:tcPr>
          <w:p w14:paraId="29B5242B"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-0.8</w:t>
            </w:r>
          </w:p>
        </w:tc>
      </w:tr>
      <w:tr w:rsidR="007C32C5" w:rsidRPr="007C32C5" w14:paraId="48C02F88"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218C4C05"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BSE Healthcare</w:t>
            </w:r>
          </w:p>
        </w:tc>
        <w:tc>
          <w:tcPr>
            <w:tcW w:w="1633" w:type="dxa"/>
            <w:tcBorders>
              <w:top w:val="nil"/>
              <w:left w:val="nil"/>
              <w:bottom w:val="single" w:sz="4" w:space="0" w:color="000000"/>
              <w:right w:val="single" w:sz="4" w:space="0" w:color="000000"/>
            </w:tcBorders>
            <w:shd w:val="clear" w:color="auto" w:fill="auto"/>
            <w:noWrap/>
            <w:vAlign w:val="bottom"/>
            <w:hideMark/>
          </w:tcPr>
          <w:p w14:paraId="1E4D26BF"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18,285 </w:t>
            </w:r>
          </w:p>
        </w:tc>
        <w:tc>
          <w:tcPr>
            <w:tcW w:w="1324" w:type="dxa"/>
            <w:tcBorders>
              <w:top w:val="nil"/>
              <w:left w:val="nil"/>
              <w:bottom w:val="single" w:sz="4" w:space="0" w:color="000000"/>
              <w:right w:val="single" w:sz="4" w:space="0" w:color="000000"/>
            </w:tcBorders>
            <w:shd w:val="clear" w:color="auto" w:fill="auto"/>
            <w:noWrap/>
            <w:vAlign w:val="bottom"/>
            <w:hideMark/>
          </w:tcPr>
          <w:p w14:paraId="10D43971"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18,388 </w:t>
            </w:r>
          </w:p>
        </w:tc>
        <w:tc>
          <w:tcPr>
            <w:tcW w:w="1943" w:type="dxa"/>
            <w:tcBorders>
              <w:top w:val="nil"/>
              <w:left w:val="nil"/>
              <w:bottom w:val="single" w:sz="4" w:space="0" w:color="000000"/>
              <w:right w:val="single" w:sz="4" w:space="0" w:color="000000"/>
            </w:tcBorders>
            <w:shd w:val="clear" w:color="auto" w:fill="auto"/>
            <w:noWrap/>
            <w:vAlign w:val="bottom"/>
            <w:hideMark/>
          </w:tcPr>
          <w:p w14:paraId="38AC658A"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0.6</w:t>
            </w:r>
          </w:p>
        </w:tc>
      </w:tr>
      <w:tr w:rsidR="007C32C5" w:rsidRPr="007C32C5" w14:paraId="31166121"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0FEC4A6D"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BSE FMCG</w:t>
            </w:r>
          </w:p>
        </w:tc>
        <w:tc>
          <w:tcPr>
            <w:tcW w:w="1633" w:type="dxa"/>
            <w:tcBorders>
              <w:top w:val="nil"/>
              <w:left w:val="nil"/>
              <w:bottom w:val="single" w:sz="4" w:space="0" w:color="000000"/>
              <w:right w:val="single" w:sz="4" w:space="0" w:color="000000"/>
            </w:tcBorders>
            <w:shd w:val="clear" w:color="auto" w:fill="auto"/>
            <w:noWrap/>
            <w:vAlign w:val="bottom"/>
            <w:hideMark/>
          </w:tcPr>
          <w:p w14:paraId="76EFFF27"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11,445 </w:t>
            </w:r>
          </w:p>
        </w:tc>
        <w:tc>
          <w:tcPr>
            <w:tcW w:w="1324" w:type="dxa"/>
            <w:tcBorders>
              <w:top w:val="nil"/>
              <w:left w:val="nil"/>
              <w:bottom w:val="single" w:sz="4" w:space="0" w:color="000000"/>
              <w:right w:val="single" w:sz="4" w:space="0" w:color="000000"/>
            </w:tcBorders>
            <w:shd w:val="clear" w:color="auto" w:fill="auto"/>
            <w:noWrap/>
            <w:vAlign w:val="bottom"/>
            <w:hideMark/>
          </w:tcPr>
          <w:p w14:paraId="701C66EA"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           11,348 </w:t>
            </w:r>
          </w:p>
        </w:tc>
        <w:tc>
          <w:tcPr>
            <w:tcW w:w="1943" w:type="dxa"/>
            <w:tcBorders>
              <w:top w:val="nil"/>
              <w:left w:val="nil"/>
              <w:bottom w:val="single" w:sz="4" w:space="0" w:color="000000"/>
              <w:right w:val="single" w:sz="4" w:space="0" w:color="000000"/>
            </w:tcBorders>
            <w:shd w:val="clear" w:color="auto" w:fill="auto"/>
            <w:noWrap/>
            <w:vAlign w:val="bottom"/>
            <w:hideMark/>
          </w:tcPr>
          <w:p w14:paraId="0CA500A5"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-0.8</w:t>
            </w:r>
          </w:p>
        </w:tc>
      </w:tr>
      <w:tr w:rsidR="007C32C5" w:rsidRPr="007C32C5" w14:paraId="657FB789" w14:textId="77777777" w:rsidTr="00B45E12">
        <w:trPr>
          <w:trHeight w:val="270"/>
        </w:trPr>
        <w:tc>
          <w:tcPr>
            <w:tcW w:w="4526"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14:paraId="429908C1"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Market Capitalisation (</w:t>
            </w:r>
            <w:r w:rsidRPr="007C32C5">
              <w:rPr>
                <w:rFonts w:ascii="Tahoma" w:eastAsia="Times New Roman" w:hAnsi="Tahoma" w:cs="Tahoma"/>
                <w:b/>
                <w:bCs/>
                <w:color w:val="002060"/>
                <w:sz w:val="20"/>
                <w:szCs w:val="20"/>
                <w:lang w:val="en-IN" w:eastAsia="en-IN" w:bidi="hi-IN"/>
              </w:rPr>
              <w:t>₹</w:t>
            </w:r>
            <w:r w:rsidRPr="007C32C5">
              <w:rPr>
                <w:rFonts w:ascii="Palatino Linotype" w:eastAsia="Times New Roman" w:hAnsi="Palatino Linotype"/>
                <w:b/>
                <w:bCs/>
                <w:color w:val="002060"/>
                <w:sz w:val="20"/>
                <w:szCs w:val="20"/>
                <w:lang w:val="en-IN" w:eastAsia="en-IN" w:bidi="hi-IN"/>
              </w:rPr>
              <w:t xml:space="preserve"> crore)</w:t>
            </w:r>
          </w:p>
        </w:tc>
        <w:tc>
          <w:tcPr>
            <w:tcW w:w="1324" w:type="dxa"/>
            <w:tcBorders>
              <w:top w:val="nil"/>
              <w:left w:val="nil"/>
              <w:bottom w:val="single" w:sz="4" w:space="0" w:color="000000"/>
              <w:right w:val="nil"/>
            </w:tcBorders>
            <w:shd w:val="clear" w:color="C6E0B4" w:fill="C6E0B4"/>
            <w:noWrap/>
            <w:vAlign w:val="center"/>
            <w:hideMark/>
          </w:tcPr>
          <w:p w14:paraId="03F19ED2"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c>
          <w:tcPr>
            <w:tcW w:w="1943" w:type="dxa"/>
            <w:tcBorders>
              <w:top w:val="nil"/>
              <w:left w:val="nil"/>
              <w:bottom w:val="single" w:sz="4" w:space="0" w:color="000000"/>
              <w:right w:val="single" w:sz="4" w:space="0" w:color="000000"/>
            </w:tcBorders>
            <w:shd w:val="clear" w:color="C6E0B4" w:fill="C6E0B4"/>
            <w:noWrap/>
            <w:vAlign w:val="center"/>
            <w:hideMark/>
          </w:tcPr>
          <w:p w14:paraId="6766956F"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r>
      <w:tr w:rsidR="007C32C5" w:rsidRPr="007C32C5" w14:paraId="035C95B8"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6FB0F868"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BSE </w:t>
            </w:r>
          </w:p>
        </w:tc>
        <w:tc>
          <w:tcPr>
            <w:tcW w:w="1633" w:type="dxa"/>
            <w:tcBorders>
              <w:top w:val="nil"/>
              <w:left w:val="nil"/>
              <w:bottom w:val="single" w:sz="4" w:space="0" w:color="000000"/>
              <w:right w:val="single" w:sz="4" w:space="0" w:color="000000"/>
            </w:tcBorders>
            <w:shd w:val="clear" w:color="FFFFFF" w:fill="FFFFFF"/>
            <w:noWrap/>
            <w:vAlign w:val="bottom"/>
            <w:hideMark/>
          </w:tcPr>
          <w:p w14:paraId="73368E5C"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1,47,39,116</w:t>
            </w:r>
          </w:p>
        </w:tc>
        <w:tc>
          <w:tcPr>
            <w:tcW w:w="1324" w:type="dxa"/>
            <w:tcBorders>
              <w:top w:val="nil"/>
              <w:left w:val="nil"/>
              <w:bottom w:val="single" w:sz="4" w:space="0" w:color="000000"/>
              <w:right w:val="single" w:sz="4" w:space="0" w:color="000000"/>
            </w:tcBorders>
            <w:shd w:val="clear" w:color="FFFFFF" w:fill="FFFFFF"/>
            <w:noWrap/>
            <w:vAlign w:val="bottom"/>
            <w:hideMark/>
          </w:tcPr>
          <w:p w14:paraId="0F0064DF"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1,53,76,303</w:t>
            </w:r>
          </w:p>
        </w:tc>
        <w:tc>
          <w:tcPr>
            <w:tcW w:w="1943" w:type="dxa"/>
            <w:tcBorders>
              <w:top w:val="nil"/>
              <w:left w:val="nil"/>
              <w:bottom w:val="single" w:sz="4" w:space="0" w:color="000000"/>
              <w:right w:val="single" w:sz="4" w:space="0" w:color="000000"/>
            </w:tcBorders>
            <w:shd w:val="clear" w:color="auto" w:fill="auto"/>
            <w:noWrap/>
            <w:vAlign w:val="bottom"/>
            <w:hideMark/>
          </w:tcPr>
          <w:p w14:paraId="1D2A85D2"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4.3</w:t>
            </w:r>
          </w:p>
        </w:tc>
      </w:tr>
      <w:tr w:rsidR="007C32C5" w:rsidRPr="007C32C5" w14:paraId="23D86E4E"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11E871D0"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NSE</w:t>
            </w:r>
          </w:p>
        </w:tc>
        <w:tc>
          <w:tcPr>
            <w:tcW w:w="1633" w:type="dxa"/>
            <w:tcBorders>
              <w:top w:val="nil"/>
              <w:left w:val="nil"/>
              <w:bottom w:val="single" w:sz="4" w:space="0" w:color="000000"/>
              <w:right w:val="single" w:sz="4" w:space="0" w:color="000000"/>
            </w:tcBorders>
            <w:shd w:val="clear" w:color="FFFFFF" w:fill="FFFFFF"/>
            <w:noWrap/>
            <w:vAlign w:val="bottom"/>
            <w:hideMark/>
          </w:tcPr>
          <w:p w14:paraId="1D62F45C"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1,46,29,659</w:t>
            </w:r>
          </w:p>
        </w:tc>
        <w:tc>
          <w:tcPr>
            <w:tcW w:w="1324" w:type="dxa"/>
            <w:tcBorders>
              <w:top w:val="nil"/>
              <w:left w:val="nil"/>
              <w:bottom w:val="single" w:sz="4" w:space="0" w:color="000000"/>
              <w:right w:val="single" w:sz="4" w:space="0" w:color="000000"/>
            </w:tcBorders>
            <w:shd w:val="clear" w:color="FFFFFF" w:fill="FFFFFF"/>
            <w:noWrap/>
            <w:vAlign w:val="bottom"/>
            <w:hideMark/>
          </w:tcPr>
          <w:p w14:paraId="78451EF2"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1,52,34,207</w:t>
            </w:r>
          </w:p>
        </w:tc>
        <w:tc>
          <w:tcPr>
            <w:tcW w:w="1943" w:type="dxa"/>
            <w:tcBorders>
              <w:top w:val="nil"/>
              <w:left w:val="nil"/>
              <w:bottom w:val="single" w:sz="4" w:space="0" w:color="000000"/>
              <w:right w:val="single" w:sz="4" w:space="0" w:color="000000"/>
            </w:tcBorders>
            <w:shd w:val="clear" w:color="auto" w:fill="auto"/>
            <w:noWrap/>
            <w:vAlign w:val="bottom"/>
            <w:hideMark/>
          </w:tcPr>
          <w:p w14:paraId="0EC12C98"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4.1</w:t>
            </w:r>
          </w:p>
        </w:tc>
      </w:tr>
      <w:tr w:rsidR="007C32C5" w:rsidRPr="007C32C5" w14:paraId="362B4A46" w14:textId="77777777" w:rsidTr="00B45E12">
        <w:trPr>
          <w:trHeight w:val="270"/>
        </w:trPr>
        <w:tc>
          <w:tcPr>
            <w:tcW w:w="2892" w:type="dxa"/>
            <w:tcBorders>
              <w:top w:val="nil"/>
              <w:left w:val="single" w:sz="4" w:space="0" w:color="000000"/>
              <w:bottom w:val="single" w:sz="4" w:space="0" w:color="000000"/>
              <w:right w:val="nil"/>
            </w:tcBorders>
            <w:shd w:val="clear" w:color="C6E0B4" w:fill="C6E0B4"/>
            <w:noWrap/>
            <w:vAlign w:val="center"/>
            <w:hideMark/>
          </w:tcPr>
          <w:p w14:paraId="410C6AD2"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P/E Ratio</w:t>
            </w:r>
          </w:p>
        </w:tc>
        <w:tc>
          <w:tcPr>
            <w:tcW w:w="1633" w:type="dxa"/>
            <w:tcBorders>
              <w:top w:val="nil"/>
              <w:left w:val="nil"/>
              <w:bottom w:val="single" w:sz="4" w:space="0" w:color="000000"/>
              <w:right w:val="nil"/>
            </w:tcBorders>
            <w:shd w:val="clear" w:color="C6E0B4" w:fill="C6E0B4"/>
            <w:noWrap/>
            <w:vAlign w:val="center"/>
            <w:hideMark/>
          </w:tcPr>
          <w:p w14:paraId="146AD4E1"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c>
          <w:tcPr>
            <w:tcW w:w="1324" w:type="dxa"/>
            <w:tcBorders>
              <w:top w:val="nil"/>
              <w:left w:val="nil"/>
              <w:bottom w:val="single" w:sz="4" w:space="0" w:color="000000"/>
              <w:right w:val="nil"/>
            </w:tcBorders>
            <w:shd w:val="clear" w:color="C6E0B4" w:fill="C6E0B4"/>
            <w:noWrap/>
            <w:vAlign w:val="center"/>
            <w:hideMark/>
          </w:tcPr>
          <w:p w14:paraId="6175865D"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c>
          <w:tcPr>
            <w:tcW w:w="1943" w:type="dxa"/>
            <w:tcBorders>
              <w:top w:val="nil"/>
              <w:left w:val="nil"/>
              <w:bottom w:val="single" w:sz="4" w:space="0" w:color="000000"/>
              <w:right w:val="single" w:sz="4" w:space="0" w:color="000000"/>
            </w:tcBorders>
            <w:shd w:val="clear" w:color="C6E0B4" w:fill="C6E0B4"/>
            <w:noWrap/>
            <w:vAlign w:val="center"/>
            <w:hideMark/>
          </w:tcPr>
          <w:p w14:paraId="74B09AB0"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r>
      <w:tr w:rsidR="007C32C5" w:rsidRPr="007C32C5" w14:paraId="2791ADE5"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35CD2E7B"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Sensex</w:t>
            </w:r>
          </w:p>
        </w:tc>
        <w:tc>
          <w:tcPr>
            <w:tcW w:w="1633" w:type="dxa"/>
            <w:tcBorders>
              <w:top w:val="nil"/>
              <w:left w:val="nil"/>
              <w:bottom w:val="single" w:sz="4" w:space="0" w:color="000000"/>
              <w:right w:val="single" w:sz="4" w:space="0" w:color="000000"/>
            </w:tcBorders>
            <w:shd w:val="clear" w:color="auto" w:fill="auto"/>
            <w:noWrap/>
            <w:vAlign w:val="bottom"/>
            <w:hideMark/>
          </w:tcPr>
          <w:p w14:paraId="1B7CF05D"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24.7</w:t>
            </w:r>
          </w:p>
        </w:tc>
        <w:tc>
          <w:tcPr>
            <w:tcW w:w="1324" w:type="dxa"/>
            <w:tcBorders>
              <w:top w:val="nil"/>
              <w:left w:val="nil"/>
              <w:bottom w:val="single" w:sz="4" w:space="0" w:color="000000"/>
              <w:right w:val="single" w:sz="4" w:space="0" w:color="000000"/>
            </w:tcBorders>
            <w:shd w:val="clear" w:color="auto" w:fill="auto"/>
            <w:noWrap/>
            <w:vAlign w:val="bottom"/>
            <w:hideMark/>
          </w:tcPr>
          <w:p w14:paraId="231DE4CC"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27.9</w:t>
            </w:r>
          </w:p>
        </w:tc>
        <w:tc>
          <w:tcPr>
            <w:tcW w:w="1943" w:type="dxa"/>
            <w:tcBorders>
              <w:top w:val="nil"/>
              <w:left w:val="nil"/>
              <w:bottom w:val="single" w:sz="4" w:space="0" w:color="000000"/>
              <w:right w:val="single" w:sz="4" w:space="0" w:color="000000"/>
            </w:tcBorders>
            <w:shd w:val="clear" w:color="auto" w:fill="auto"/>
            <w:noWrap/>
            <w:vAlign w:val="bottom"/>
            <w:hideMark/>
          </w:tcPr>
          <w:p w14:paraId="4CDF24C0"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12.9</w:t>
            </w:r>
          </w:p>
        </w:tc>
      </w:tr>
      <w:tr w:rsidR="007C32C5" w:rsidRPr="007C32C5" w14:paraId="68683EE8"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1AC9035C"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Nifty 50</w:t>
            </w:r>
          </w:p>
        </w:tc>
        <w:tc>
          <w:tcPr>
            <w:tcW w:w="1633" w:type="dxa"/>
            <w:tcBorders>
              <w:top w:val="nil"/>
              <w:left w:val="nil"/>
              <w:bottom w:val="single" w:sz="4" w:space="0" w:color="000000"/>
              <w:right w:val="single" w:sz="4" w:space="0" w:color="000000"/>
            </w:tcBorders>
            <w:shd w:val="clear" w:color="auto" w:fill="auto"/>
            <w:noWrap/>
            <w:vAlign w:val="bottom"/>
            <w:hideMark/>
          </w:tcPr>
          <w:p w14:paraId="2C9299BE"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30.2</w:t>
            </w:r>
          </w:p>
        </w:tc>
        <w:tc>
          <w:tcPr>
            <w:tcW w:w="1324" w:type="dxa"/>
            <w:tcBorders>
              <w:top w:val="nil"/>
              <w:left w:val="nil"/>
              <w:bottom w:val="single" w:sz="4" w:space="0" w:color="000000"/>
              <w:right w:val="single" w:sz="4" w:space="0" w:color="000000"/>
            </w:tcBorders>
            <w:shd w:val="clear" w:color="auto" w:fill="auto"/>
            <w:noWrap/>
            <w:vAlign w:val="bottom"/>
            <w:hideMark/>
          </w:tcPr>
          <w:p w14:paraId="0F20E624"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32.3</w:t>
            </w:r>
          </w:p>
        </w:tc>
        <w:tc>
          <w:tcPr>
            <w:tcW w:w="1943" w:type="dxa"/>
            <w:tcBorders>
              <w:top w:val="nil"/>
              <w:left w:val="nil"/>
              <w:bottom w:val="single" w:sz="4" w:space="0" w:color="000000"/>
              <w:right w:val="single" w:sz="4" w:space="0" w:color="000000"/>
            </w:tcBorders>
            <w:shd w:val="clear" w:color="auto" w:fill="auto"/>
            <w:noWrap/>
            <w:vAlign w:val="bottom"/>
            <w:hideMark/>
          </w:tcPr>
          <w:p w14:paraId="7C29BDEE"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6.9</w:t>
            </w:r>
          </w:p>
        </w:tc>
      </w:tr>
      <w:tr w:rsidR="007C32C5" w:rsidRPr="007C32C5" w14:paraId="64FC0356" w14:textId="77777777" w:rsidTr="00B45E12">
        <w:trPr>
          <w:trHeight w:val="270"/>
        </w:trPr>
        <w:tc>
          <w:tcPr>
            <w:tcW w:w="2892" w:type="dxa"/>
            <w:tcBorders>
              <w:top w:val="nil"/>
              <w:left w:val="single" w:sz="4" w:space="0" w:color="000000"/>
              <w:bottom w:val="single" w:sz="4" w:space="0" w:color="000000"/>
              <w:right w:val="nil"/>
            </w:tcBorders>
            <w:shd w:val="clear" w:color="C6E0B4" w:fill="C6E0B4"/>
            <w:noWrap/>
            <w:vAlign w:val="center"/>
            <w:hideMark/>
          </w:tcPr>
          <w:p w14:paraId="02423668"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No</w:t>
            </w:r>
            <w:r w:rsidR="00BA0346">
              <w:rPr>
                <w:rFonts w:ascii="Palatino Linotype" w:eastAsia="Times New Roman" w:hAnsi="Palatino Linotype"/>
                <w:b/>
                <w:bCs/>
                <w:color w:val="002060"/>
                <w:sz w:val="20"/>
                <w:szCs w:val="20"/>
                <w:lang w:val="en-IN" w:eastAsia="en-IN" w:bidi="hi-IN"/>
              </w:rPr>
              <w:t>.</w:t>
            </w:r>
            <w:r w:rsidRPr="007C32C5">
              <w:rPr>
                <w:rFonts w:ascii="Palatino Linotype" w:eastAsia="Times New Roman" w:hAnsi="Palatino Linotype"/>
                <w:b/>
                <w:bCs/>
                <w:color w:val="002060"/>
                <w:sz w:val="20"/>
                <w:szCs w:val="20"/>
                <w:lang w:val="en-IN" w:eastAsia="en-IN" w:bidi="hi-IN"/>
              </w:rPr>
              <w:t xml:space="preserve"> of Listed Companies</w:t>
            </w:r>
          </w:p>
        </w:tc>
        <w:tc>
          <w:tcPr>
            <w:tcW w:w="1633" w:type="dxa"/>
            <w:tcBorders>
              <w:top w:val="nil"/>
              <w:left w:val="nil"/>
              <w:bottom w:val="single" w:sz="4" w:space="0" w:color="000000"/>
              <w:right w:val="nil"/>
            </w:tcBorders>
            <w:shd w:val="clear" w:color="C6E0B4" w:fill="C6E0B4"/>
            <w:noWrap/>
            <w:vAlign w:val="center"/>
            <w:hideMark/>
          </w:tcPr>
          <w:p w14:paraId="412DEB61"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c>
          <w:tcPr>
            <w:tcW w:w="1324" w:type="dxa"/>
            <w:tcBorders>
              <w:top w:val="nil"/>
              <w:left w:val="nil"/>
              <w:bottom w:val="single" w:sz="4" w:space="0" w:color="000000"/>
              <w:right w:val="nil"/>
            </w:tcBorders>
            <w:shd w:val="clear" w:color="C6E0B4" w:fill="C6E0B4"/>
            <w:noWrap/>
            <w:vAlign w:val="center"/>
            <w:hideMark/>
          </w:tcPr>
          <w:p w14:paraId="19ABB98A"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c>
          <w:tcPr>
            <w:tcW w:w="1943" w:type="dxa"/>
            <w:tcBorders>
              <w:top w:val="nil"/>
              <w:left w:val="nil"/>
              <w:bottom w:val="single" w:sz="4" w:space="0" w:color="000000"/>
              <w:right w:val="single" w:sz="4" w:space="0" w:color="000000"/>
            </w:tcBorders>
            <w:shd w:val="clear" w:color="C6E0B4" w:fill="C6E0B4"/>
            <w:noWrap/>
            <w:vAlign w:val="center"/>
            <w:hideMark/>
          </w:tcPr>
          <w:p w14:paraId="6BF9B0AE"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r>
      <w:tr w:rsidR="007C32C5" w:rsidRPr="007C32C5" w14:paraId="6E1461F7"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3318EB76"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BSE </w:t>
            </w:r>
          </w:p>
        </w:tc>
        <w:tc>
          <w:tcPr>
            <w:tcW w:w="1633" w:type="dxa"/>
            <w:tcBorders>
              <w:top w:val="nil"/>
              <w:left w:val="nil"/>
              <w:bottom w:val="single" w:sz="4" w:space="0" w:color="000000"/>
              <w:right w:val="single" w:sz="4" w:space="0" w:color="000000"/>
            </w:tcBorders>
            <w:shd w:val="clear" w:color="FFFFFF" w:fill="FFFFFF"/>
            <w:noWrap/>
            <w:vAlign w:val="bottom"/>
            <w:hideMark/>
          </w:tcPr>
          <w:p w14:paraId="5E0DD2F3"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5,399</w:t>
            </w:r>
          </w:p>
        </w:tc>
        <w:tc>
          <w:tcPr>
            <w:tcW w:w="1324" w:type="dxa"/>
            <w:tcBorders>
              <w:top w:val="nil"/>
              <w:left w:val="nil"/>
              <w:bottom w:val="single" w:sz="4" w:space="0" w:color="000000"/>
              <w:right w:val="single" w:sz="4" w:space="0" w:color="000000"/>
            </w:tcBorders>
            <w:shd w:val="clear" w:color="FFFFFF" w:fill="FFFFFF"/>
            <w:noWrap/>
            <w:vAlign w:val="bottom"/>
            <w:hideMark/>
          </w:tcPr>
          <w:p w14:paraId="5362A040"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5,413</w:t>
            </w:r>
          </w:p>
        </w:tc>
        <w:tc>
          <w:tcPr>
            <w:tcW w:w="1943" w:type="dxa"/>
            <w:tcBorders>
              <w:top w:val="nil"/>
              <w:left w:val="nil"/>
              <w:bottom w:val="single" w:sz="4" w:space="0" w:color="000000"/>
              <w:right w:val="single" w:sz="4" w:space="0" w:color="000000"/>
            </w:tcBorders>
            <w:shd w:val="clear" w:color="auto" w:fill="auto"/>
            <w:noWrap/>
            <w:vAlign w:val="bottom"/>
            <w:hideMark/>
          </w:tcPr>
          <w:p w14:paraId="09AA8747"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0.3</w:t>
            </w:r>
          </w:p>
        </w:tc>
      </w:tr>
      <w:tr w:rsidR="007C32C5" w:rsidRPr="007C32C5" w14:paraId="734B2FA9"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1EFF4342"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NSE</w:t>
            </w:r>
          </w:p>
        </w:tc>
        <w:tc>
          <w:tcPr>
            <w:tcW w:w="1633" w:type="dxa"/>
            <w:tcBorders>
              <w:top w:val="nil"/>
              <w:left w:val="nil"/>
              <w:bottom w:val="single" w:sz="4" w:space="0" w:color="000000"/>
              <w:right w:val="single" w:sz="4" w:space="0" w:color="000000"/>
            </w:tcBorders>
            <w:shd w:val="clear" w:color="auto" w:fill="auto"/>
            <w:noWrap/>
            <w:vAlign w:val="bottom"/>
            <w:hideMark/>
          </w:tcPr>
          <w:p w14:paraId="41C3FEA3"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1,941</w:t>
            </w:r>
          </w:p>
        </w:tc>
        <w:tc>
          <w:tcPr>
            <w:tcW w:w="1324" w:type="dxa"/>
            <w:tcBorders>
              <w:top w:val="nil"/>
              <w:left w:val="nil"/>
              <w:bottom w:val="single" w:sz="4" w:space="0" w:color="000000"/>
              <w:right w:val="single" w:sz="4" w:space="0" w:color="000000"/>
            </w:tcBorders>
            <w:shd w:val="clear" w:color="auto" w:fill="auto"/>
            <w:noWrap/>
            <w:vAlign w:val="bottom"/>
            <w:hideMark/>
          </w:tcPr>
          <w:p w14:paraId="170C8DE2"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1,943</w:t>
            </w:r>
          </w:p>
        </w:tc>
        <w:tc>
          <w:tcPr>
            <w:tcW w:w="1943" w:type="dxa"/>
            <w:tcBorders>
              <w:top w:val="nil"/>
              <w:left w:val="nil"/>
              <w:bottom w:val="single" w:sz="4" w:space="0" w:color="000000"/>
              <w:right w:val="single" w:sz="4" w:space="0" w:color="000000"/>
            </w:tcBorders>
            <w:shd w:val="clear" w:color="auto" w:fill="auto"/>
            <w:noWrap/>
            <w:vAlign w:val="bottom"/>
            <w:hideMark/>
          </w:tcPr>
          <w:p w14:paraId="57ABC256"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0.1</w:t>
            </w:r>
          </w:p>
        </w:tc>
      </w:tr>
      <w:tr w:rsidR="007C32C5" w:rsidRPr="007C32C5" w14:paraId="1F77CFFD" w14:textId="77777777" w:rsidTr="00B45E12">
        <w:trPr>
          <w:trHeight w:val="270"/>
        </w:trPr>
        <w:tc>
          <w:tcPr>
            <w:tcW w:w="4526"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14:paraId="26705F1B" w14:textId="77777777" w:rsid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xml:space="preserve">Gross Turnover in Equity Segment </w:t>
            </w:r>
          </w:p>
          <w:p w14:paraId="3FFD5A43"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w:t>
            </w:r>
            <w:r w:rsidRPr="007C32C5">
              <w:rPr>
                <w:rFonts w:ascii="Tahoma" w:eastAsia="Times New Roman" w:hAnsi="Tahoma" w:cs="Tahoma"/>
                <w:b/>
                <w:bCs/>
                <w:color w:val="002060"/>
                <w:sz w:val="20"/>
                <w:szCs w:val="20"/>
                <w:lang w:val="en-IN" w:eastAsia="en-IN" w:bidi="hi-IN"/>
              </w:rPr>
              <w:t>₹</w:t>
            </w:r>
            <w:r>
              <w:rPr>
                <w:rFonts w:ascii="Palatino Linotype" w:eastAsia="Times New Roman" w:hAnsi="Palatino Linotype"/>
                <w:b/>
                <w:bCs/>
                <w:color w:val="002060"/>
                <w:sz w:val="20"/>
                <w:szCs w:val="20"/>
                <w:lang w:val="en-IN" w:eastAsia="en-IN" w:bidi="hi-IN"/>
              </w:rPr>
              <w:t xml:space="preserve"> </w:t>
            </w:r>
            <w:r w:rsidRPr="007C32C5">
              <w:rPr>
                <w:rFonts w:ascii="Palatino Linotype" w:eastAsia="Times New Roman" w:hAnsi="Palatino Linotype"/>
                <w:b/>
                <w:bCs/>
                <w:color w:val="002060"/>
                <w:sz w:val="20"/>
                <w:szCs w:val="20"/>
                <w:lang w:val="en-IN" w:eastAsia="en-IN" w:bidi="hi-IN"/>
              </w:rPr>
              <w:t>crore)</w:t>
            </w:r>
          </w:p>
        </w:tc>
        <w:tc>
          <w:tcPr>
            <w:tcW w:w="1324" w:type="dxa"/>
            <w:tcBorders>
              <w:top w:val="nil"/>
              <w:left w:val="nil"/>
              <w:bottom w:val="single" w:sz="4" w:space="0" w:color="000000"/>
              <w:right w:val="nil"/>
            </w:tcBorders>
            <w:shd w:val="clear" w:color="C6E0B4" w:fill="C6E0B4"/>
            <w:noWrap/>
            <w:vAlign w:val="center"/>
            <w:hideMark/>
          </w:tcPr>
          <w:p w14:paraId="757C92CE"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c>
          <w:tcPr>
            <w:tcW w:w="1943" w:type="dxa"/>
            <w:tcBorders>
              <w:top w:val="nil"/>
              <w:left w:val="nil"/>
              <w:bottom w:val="single" w:sz="4" w:space="0" w:color="000000"/>
              <w:right w:val="single" w:sz="4" w:space="0" w:color="000000"/>
            </w:tcBorders>
            <w:shd w:val="clear" w:color="C6E0B4" w:fill="C6E0B4"/>
            <w:noWrap/>
            <w:vAlign w:val="center"/>
            <w:hideMark/>
          </w:tcPr>
          <w:p w14:paraId="4718DA34"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r>
      <w:tr w:rsidR="007C32C5" w:rsidRPr="007C32C5" w14:paraId="7B258E8B"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5272E13E"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BSE </w:t>
            </w:r>
          </w:p>
        </w:tc>
        <w:tc>
          <w:tcPr>
            <w:tcW w:w="1633" w:type="dxa"/>
            <w:tcBorders>
              <w:top w:val="nil"/>
              <w:left w:val="nil"/>
              <w:bottom w:val="single" w:sz="4" w:space="0" w:color="000000"/>
              <w:right w:val="single" w:sz="4" w:space="0" w:color="000000"/>
            </w:tcBorders>
            <w:shd w:val="clear" w:color="FFFFFF" w:fill="FFFFFF"/>
            <w:noWrap/>
            <w:vAlign w:val="bottom"/>
            <w:hideMark/>
          </w:tcPr>
          <w:p w14:paraId="1C37FA8A"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80,093</w:t>
            </w:r>
          </w:p>
        </w:tc>
        <w:tc>
          <w:tcPr>
            <w:tcW w:w="1324" w:type="dxa"/>
            <w:tcBorders>
              <w:top w:val="nil"/>
              <w:left w:val="nil"/>
              <w:bottom w:val="single" w:sz="4" w:space="0" w:color="000000"/>
              <w:right w:val="single" w:sz="4" w:space="0" w:color="000000"/>
            </w:tcBorders>
            <w:shd w:val="clear" w:color="FFFFFF" w:fill="FFFFFF"/>
            <w:noWrap/>
            <w:vAlign w:val="bottom"/>
            <w:hideMark/>
          </w:tcPr>
          <w:p w14:paraId="2A935301"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93,080</w:t>
            </w:r>
          </w:p>
        </w:tc>
        <w:tc>
          <w:tcPr>
            <w:tcW w:w="1943" w:type="dxa"/>
            <w:tcBorders>
              <w:top w:val="nil"/>
              <w:left w:val="nil"/>
              <w:bottom w:val="single" w:sz="4" w:space="0" w:color="000000"/>
              <w:right w:val="single" w:sz="4" w:space="0" w:color="000000"/>
            </w:tcBorders>
            <w:shd w:val="clear" w:color="auto" w:fill="auto"/>
            <w:noWrap/>
            <w:vAlign w:val="bottom"/>
            <w:hideMark/>
          </w:tcPr>
          <w:p w14:paraId="70E42327"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16.2</w:t>
            </w:r>
          </w:p>
        </w:tc>
      </w:tr>
      <w:tr w:rsidR="007C32C5" w:rsidRPr="007C32C5" w14:paraId="5B2B4E13"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6ADA629B"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NSE</w:t>
            </w:r>
          </w:p>
        </w:tc>
        <w:tc>
          <w:tcPr>
            <w:tcW w:w="1633" w:type="dxa"/>
            <w:tcBorders>
              <w:top w:val="nil"/>
              <w:left w:val="nil"/>
              <w:bottom w:val="single" w:sz="4" w:space="0" w:color="000000"/>
              <w:right w:val="single" w:sz="4" w:space="0" w:color="000000"/>
            </w:tcBorders>
            <w:shd w:val="clear" w:color="FFFFFF" w:fill="FFFFFF"/>
            <w:noWrap/>
            <w:vAlign w:val="bottom"/>
            <w:hideMark/>
          </w:tcPr>
          <w:p w14:paraId="5705B4BD"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13,48,521</w:t>
            </w:r>
          </w:p>
        </w:tc>
        <w:tc>
          <w:tcPr>
            <w:tcW w:w="1324" w:type="dxa"/>
            <w:tcBorders>
              <w:top w:val="nil"/>
              <w:left w:val="nil"/>
              <w:bottom w:val="single" w:sz="4" w:space="0" w:color="000000"/>
              <w:right w:val="single" w:sz="4" w:space="0" w:color="000000"/>
            </w:tcBorders>
            <w:shd w:val="clear" w:color="FFFFFF" w:fill="FFFFFF"/>
            <w:noWrap/>
            <w:vAlign w:val="bottom"/>
            <w:hideMark/>
          </w:tcPr>
          <w:p w14:paraId="10F3AE2D"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12,82,557</w:t>
            </w:r>
          </w:p>
        </w:tc>
        <w:tc>
          <w:tcPr>
            <w:tcW w:w="1943" w:type="dxa"/>
            <w:tcBorders>
              <w:top w:val="nil"/>
              <w:left w:val="nil"/>
              <w:bottom w:val="single" w:sz="4" w:space="0" w:color="000000"/>
              <w:right w:val="single" w:sz="4" w:space="0" w:color="000000"/>
            </w:tcBorders>
            <w:shd w:val="clear" w:color="auto" w:fill="auto"/>
            <w:noWrap/>
            <w:vAlign w:val="bottom"/>
            <w:hideMark/>
          </w:tcPr>
          <w:p w14:paraId="6F6D9CF5"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-4.9</w:t>
            </w:r>
          </w:p>
        </w:tc>
      </w:tr>
      <w:tr w:rsidR="007C32C5" w:rsidRPr="007C32C5" w14:paraId="106CA459" w14:textId="77777777" w:rsidTr="00B45E12">
        <w:trPr>
          <w:trHeight w:val="270"/>
        </w:trPr>
        <w:tc>
          <w:tcPr>
            <w:tcW w:w="5851"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14:paraId="275F1E79"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Gross Turnover in Equity Derivatives Segment (</w:t>
            </w:r>
            <w:r w:rsidRPr="007C32C5">
              <w:rPr>
                <w:rFonts w:ascii="Tahoma" w:eastAsia="Times New Roman" w:hAnsi="Tahoma" w:cs="Tahoma"/>
                <w:b/>
                <w:bCs/>
                <w:color w:val="002060"/>
                <w:sz w:val="20"/>
                <w:szCs w:val="20"/>
                <w:lang w:val="en-IN" w:eastAsia="en-IN" w:bidi="hi-IN"/>
              </w:rPr>
              <w:t>₹</w:t>
            </w:r>
            <w:r w:rsidRPr="007C32C5">
              <w:rPr>
                <w:rFonts w:ascii="Palatino Linotype" w:eastAsia="Times New Roman" w:hAnsi="Palatino Linotype"/>
                <w:b/>
                <w:bCs/>
                <w:color w:val="002060"/>
                <w:sz w:val="20"/>
                <w:szCs w:val="20"/>
                <w:lang w:val="en-IN" w:eastAsia="en-IN" w:bidi="hi-IN"/>
              </w:rPr>
              <w:t xml:space="preserve"> crore)</w:t>
            </w:r>
          </w:p>
        </w:tc>
        <w:tc>
          <w:tcPr>
            <w:tcW w:w="1943" w:type="dxa"/>
            <w:tcBorders>
              <w:top w:val="nil"/>
              <w:left w:val="nil"/>
              <w:bottom w:val="single" w:sz="4" w:space="0" w:color="000000"/>
              <w:right w:val="single" w:sz="4" w:space="0" w:color="000000"/>
            </w:tcBorders>
            <w:shd w:val="clear" w:color="C6E0B4" w:fill="C6E0B4"/>
            <w:noWrap/>
            <w:vAlign w:val="center"/>
            <w:hideMark/>
          </w:tcPr>
          <w:p w14:paraId="0720CD32"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 </w:t>
            </w:r>
          </w:p>
        </w:tc>
      </w:tr>
      <w:tr w:rsidR="007C32C5" w:rsidRPr="007C32C5" w14:paraId="3D306AB1"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32E9B21D"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BSE </w:t>
            </w:r>
          </w:p>
        </w:tc>
        <w:tc>
          <w:tcPr>
            <w:tcW w:w="1633" w:type="dxa"/>
            <w:tcBorders>
              <w:top w:val="nil"/>
              <w:left w:val="nil"/>
              <w:bottom w:val="single" w:sz="4" w:space="0" w:color="000000"/>
              <w:right w:val="single" w:sz="4" w:space="0" w:color="000000"/>
            </w:tcBorders>
            <w:shd w:val="clear" w:color="FFFFFF" w:fill="FFFFFF"/>
            <w:noWrap/>
            <w:vAlign w:val="bottom"/>
            <w:hideMark/>
          </w:tcPr>
          <w:p w14:paraId="4A62DCD3"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6,02,513</w:t>
            </w:r>
          </w:p>
        </w:tc>
        <w:tc>
          <w:tcPr>
            <w:tcW w:w="1324" w:type="dxa"/>
            <w:tcBorders>
              <w:top w:val="nil"/>
              <w:left w:val="nil"/>
              <w:bottom w:val="single" w:sz="4" w:space="0" w:color="000000"/>
              <w:right w:val="single" w:sz="4" w:space="0" w:color="000000"/>
            </w:tcBorders>
            <w:shd w:val="clear" w:color="auto" w:fill="auto"/>
            <w:noWrap/>
            <w:vAlign w:val="bottom"/>
            <w:hideMark/>
          </w:tcPr>
          <w:p w14:paraId="4DBE5FC5"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18,48,117</w:t>
            </w:r>
          </w:p>
        </w:tc>
        <w:tc>
          <w:tcPr>
            <w:tcW w:w="1943" w:type="dxa"/>
            <w:tcBorders>
              <w:top w:val="nil"/>
              <w:left w:val="nil"/>
              <w:bottom w:val="single" w:sz="4" w:space="0" w:color="000000"/>
              <w:right w:val="single" w:sz="4" w:space="0" w:color="000000"/>
            </w:tcBorders>
            <w:shd w:val="clear" w:color="auto" w:fill="auto"/>
            <w:noWrap/>
            <w:vAlign w:val="bottom"/>
            <w:hideMark/>
          </w:tcPr>
          <w:p w14:paraId="1B6CEF98"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206.7</w:t>
            </w:r>
          </w:p>
        </w:tc>
      </w:tr>
      <w:tr w:rsidR="007C32C5" w:rsidRPr="007C32C5" w14:paraId="6FB5BF95"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0579E54A"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NSE</w:t>
            </w:r>
          </w:p>
        </w:tc>
        <w:tc>
          <w:tcPr>
            <w:tcW w:w="1633" w:type="dxa"/>
            <w:tcBorders>
              <w:top w:val="nil"/>
              <w:left w:val="nil"/>
              <w:bottom w:val="single" w:sz="4" w:space="0" w:color="000000"/>
              <w:right w:val="single" w:sz="4" w:space="0" w:color="000000"/>
            </w:tcBorders>
            <w:shd w:val="clear" w:color="FFFFFF" w:fill="FFFFFF"/>
            <w:noWrap/>
            <w:vAlign w:val="bottom"/>
            <w:hideMark/>
          </w:tcPr>
          <w:p w14:paraId="305E0B52"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4,39,35,708</w:t>
            </w:r>
          </w:p>
        </w:tc>
        <w:tc>
          <w:tcPr>
            <w:tcW w:w="1324" w:type="dxa"/>
            <w:tcBorders>
              <w:top w:val="nil"/>
              <w:left w:val="nil"/>
              <w:bottom w:val="single" w:sz="4" w:space="0" w:color="000000"/>
              <w:right w:val="single" w:sz="4" w:space="0" w:color="000000"/>
            </w:tcBorders>
            <w:shd w:val="clear" w:color="FFFFFF" w:fill="FFFFFF"/>
            <w:noWrap/>
            <w:vAlign w:val="bottom"/>
            <w:hideMark/>
          </w:tcPr>
          <w:p w14:paraId="22E50E8D"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3,94,29,369</w:t>
            </w:r>
          </w:p>
        </w:tc>
        <w:tc>
          <w:tcPr>
            <w:tcW w:w="1943" w:type="dxa"/>
            <w:tcBorders>
              <w:top w:val="nil"/>
              <w:left w:val="nil"/>
              <w:bottom w:val="single" w:sz="4" w:space="0" w:color="000000"/>
              <w:right w:val="single" w:sz="4" w:space="0" w:color="000000"/>
            </w:tcBorders>
            <w:shd w:val="clear" w:color="auto" w:fill="auto"/>
            <w:noWrap/>
            <w:vAlign w:val="bottom"/>
            <w:hideMark/>
          </w:tcPr>
          <w:p w14:paraId="486BEED2"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-10.3</w:t>
            </w:r>
          </w:p>
        </w:tc>
      </w:tr>
      <w:tr w:rsidR="007C32C5" w:rsidRPr="007C32C5" w14:paraId="1A92E440" w14:textId="77777777" w:rsidTr="00B45E12">
        <w:trPr>
          <w:trHeight w:val="270"/>
        </w:trPr>
        <w:tc>
          <w:tcPr>
            <w:tcW w:w="7794" w:type="dxa"/>
            <w:gridSpan w:val="4"/>
            <w:tcBorders>
              <w:top w:val="single" w:sz="4" w:space="0" w:color="000000"/>
              <w:left w:val="single" w:sz="4" w:space="0" w:color="000000"/>
              <w:bottom w:val="single" w:sz="4" w:space="0" w:color="000000"/>
              <w:right w:val="single" w:sz="4" w:space="0" w:color="000000"/>
            </w:tcBorders>
            <w:shd w:val="clear" w:color="C6E0B4" w:fill="C6E0B4"/>
            <w:noWrap/>
            <w:vAlign w:val="center"/>
            <w:hideMark/>
          </w:tcPr>
          <w:p w14:paraId="2A83BA68"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Gross Turnover in Currency Derivatives Segment (</w:t>
            </w:r>
            <w:r w:rsidRPr="007C32C5">
              <w:rPr>
                <w:rFonts w:ascii="Tahoma" w:eastAsia="Times New Roman" w:hAnsi="Tahoma" w:cs="Tahoma"/>
                <w:b/>
                <w:bCs/>
                <w:color w:val="002060"/>
                <w:sz w:val="20"/>
                <w:szCs w:val="20"/>
                <w:lang w:val="en-IN" w:eastAsia="en-IN" w:bidi="hi-IN"/>
              </w:rPr>
              <w:t>₹</w:t>
            </w:r>
            <w:r w:rsidRPr="007C32C5">
              <w:rPr>
                <w:rFonts w:ascii="Palatino Linotype" w:eastAsia="Times New Roman" w:hAnsi="Palatino Linotype"/>
                <w:b/>
                <w:bCs/>
                <w:color w:val="002060"/>
                <w:sz w:val="20"/>
                <w:szCs w:val="20"/>
                <w:lang w:val="en-IN" w:eastAsia="en-IN" w:bidi="hi-IN"/>
              </w:rPr>
              <w:t xml:space="preserve"> crore)</w:t>
            </w:r>
          </w:p>
        </w:tc>
      </w:tr>
      <w:tr w:rsidR="007C32C5" w:rsidRPr="007C32C5" w14:paraId="0920C5F5"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104B3522"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BSE </w:t>
            </w:r>
          </w:p>
        </w:tc>
        <w:tc>
          <w:tcPr>
            <w:tcW w:w="1633" w:type="dxa"/>
            <w:tcBorders>
              <w:top w:val="nil"/>
              <w:left w:val="nil"/>
              <w:bottom w:val="single" w:sz="4" w:space="0" w:color="000000"/>
              <w:right w:val="single" w:sz="4" w:space="0" w:color="000000"/>
            </w:tcBorders>
            <w:shd w:val="clear" w:color="FFFFFF" w:fill="FFFFFF"/>
            <w:noWrap/>
            <w:vAlign w:val="bottom"/>
            <w:hideMark/>
          </w:tcPr>
          <w:p w14:paraId="30421093"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4,37,166</w:t>
            </w:r>
          </w:p>
        </w:tc>
        <w:tc>
          <w:tcPr>
            <w:tcW w:w="1324" w:type="dxa"/>
            <w:tcBorders>
              <w:top w:val="nil"/>
              <w:left w:val="nil"/>
              <w:bottom w:val="single" w:sz="4" w:space="0" w:color="000000"/>
              <w:right w:val="single" w:sz="4" w:space="0" w:color="000000"/>
            </w:tcBorders>
            <w:shd w:val="clear" w:color="FFFFFF" w:fill="FFFFFF"/>
            <w:noWrap/>
            <w:vAlign w:val="bottom"/>
            <w:hideMark/>
          </w:tcPr>
          <w:p w14:paraId="7182AC38"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4,51,790</w:t>
            </w:r>
          </w:p>
        </w:tc>
        <w:tc>
          <w:tcPr>
            <w:tcW w:w="1943" w:type="dxa"/>
            <w:tcBorders>
              <w:top w:val="nil"/>
              <w:left w:val="nil"/>
              <w:bottom w:val="single" w:sz="4" w:space="0" w:color="000000"/>
              <w:right w:val="single" w:sz="4" w:space="0" w:color="000000"/>
            </w:tcBorders>
            <w:shd w:val="clear" w:color="auto" w:fill="auto"/>
            <w:noWrap/>
            <w:vAlign w:val="bottom"/>
            <w:hideMark/>
          </w:tcPr>
          <w:p w14:paraId="3D15D1DC"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3.3</w:t>
            </w:r>
          </w:p>
        </w:tc>
      </w:tr>
      <w:tr w:rsidR="007C32C5" w:rsidRPr="007C32C5" w14:paraId="2EA6DA8D"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49570419"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NSE</w:t>
            </w:r>
          </w:p>
        </w:tc>
        <w:tc>
          <w:tcPr>
            <w:tcW w:w="1633" w:type="dxa"/>
            <w:tcBorders>
              <w:top w:val="nil"/>
              <w:left w:val="nil"/>
              <w:bottom w:val="single" w:sz="4" w:space="0" w:color="000000"/>
              <w:right w:val="single" w:sz="4" w:space="0" w:color="000000"/>
            </w:tcBorders>
            <w:shd w:val="clear" w:color="FFFFFF" w:fill="FFFFFF"/>
            <w:noWrap/>
            <w:vAlign w:val="bottom"/>
            <w:hideMark/>
          </w:tcPr>
          <w:p w14:paraId="2A45007C"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9,43,396</w:t>
            </w:r>
          </w:p>
        </w:tc>
        <w:tc>
          <w:tcPr>
            <w:tcW w:w="1324" w:type="dxa"/>
            <w:tcBorders>
              <w:top w:val="nil"/>
              <w:left w:val="nil"/>
              <w:bottom w:val="single" w:sz="4" w:space="0" w:color="000000"/>
              <w:right w:val="single" w:sz="4" w:space="0" w:color="000000"/>
            </w:tcBorders>
            <w:shd w:val="clear" w:color="FFFFFF" w:fill="FFFFFF"/>
            <w:noWrap/>
            <w:vAlign w:val="bottom"/>
            <w:hideMark/>
          </w:tcPr>
          <w:p w14:paraId="343060E0"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9,76,864</w:t>
            </w:r>
          </w:p>
        </w:tc>
        <w:tc>
          <w:tcPr>
            <w:tcW w:w="1943" w:type="dxa"/>
            <w:tcBorders>
              <w:top w:val="nil"/>
              <w:left w:val="nil"/>
              <w:bottom w:val="single" w:sz="4" w:space="0" w:color="000000"/>
              <w:right w:val="single" w:sz="4" w:space="0" w:color="000000"/>
            </w:tcBorders>
            <w:shd w:val="clear" w:color="auto" w:fill="auto"/>
            <w:noWrap/>
            <w:vAlign w:val="bottom"/>
            <w:hideMark/>
          </w:tcPr>
          <w:p w14:paraId="3F014452"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3.5</w:t>
            </w:r>
          </w:p>
        </w:tc>
      </w:tr>
      <w:tr w:rsidR="007C32C5" w:rsidRPr="007C32C5" w14:paraId="0C30E248"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521B281E"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MSEI</w:t>
            </w:r>
          </w:p>
        </w:tc>
        <w:tc>
          <w:tcPr>
            <w:tcW w:w="1633" w:type="dxa"/>
            <w:tcBorders>
              <w:top w:val="nil"/>
              <w:left w:val="nil"/>
              <w:bottom w:val="single" w:sz="4" w:space="0" w:color="000000"/>
              <w:right w:val="single" w:sz="4" w:space="0" w:color="000000"/>
            </w:tcBorders>
            <w:shd w:val="clear" w:color="auto" w:fill="auto"/>
            <w:noWrap/>
            <w:vAlign w:val="bottom"/>
            <w:hideMark/>
          </w:tcPr>
          <w:p w14:paraId="76DED904"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4,064</w:t>
            </w:r>
          </w:p>
        </w:tc>
        <w:tc>
          <w:tcPr>
            <w:tcW w:w="1324" w:type="dxa"/>
            <w:tcBorders>
              <w:top w:val="nil"/>
              <w:left w:val="nil"/>
              <w:bottom w:val="single" w:sz="4" w:space="0" w:color="000000"/>
              <w:right w:val="single" w:sz="4" w:space="0" w:color="000000"/>
            </w:tcBorders>
            <w:shd w:val="clear" w:color="auto" w:fill="auto"/>
            <w:noWrap/>
            <w:vAlign w:val="bottom"/>
            <w:hideMark/>
          </w:tcPr>
          <w:p w14:paraId="5E3871A7"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5,291</w:t>
            </w:r>
          </w:p>
        </w:tc>
        <w:tc>
          <w:tcPr>
            <w:tcW w:w="1943" w:type="dxa"/>
            <w:tcBorders>
              <w:top w:val="nil"/>
              <w:left w:val="nil"/>
              <w:bottom w:val="single" w:sz="4" w:space="0" w:color="000000"/>
              <w:right w:val="single" w:sz="4" w:space="0" w:color="000000"/>
            </w:tcBorders>
            <w:shd w:val="clear" w:color="auto" w:fill="auto"/>
            <w:noWrap/>
            <w:vAlign w:val="bottom"/>
            <w:hideMark/>
          </w:tcPr>
          <w:p w14:paraId="366CEF9B"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30.2</w:t>
            </w:r>
          </w:p>
        </w:tc>
      </w:tr>
      <w:tr w:rsidR="007C32C5" w:rsidRPr="007C32C5" w14:paraId="365A34D1" w14:textId="77777777" w:rsidTr="00B45E12">
        <w:trPr>
          <w:trHeight w:val="270"/>
        </w:trPr>
        <w:tc>
          <w:tcPr>
            <w:tcW w:w="7794" w:type="dxa"/>
            <w:gridSpan w:val="4"/>
            <w:tcBorders>
              <w:top w:val="single" w:sz="4" w:space="0" w:color="000000"/>
              <w:left w:val="single" w:sz="4" w:space="0" w:color="000000"/>
              <w:bottom w:val="single" w:sz="4" w:space="0" w:color="000000"/>
              <w:right w:val="single" w:sz="4" w:space="0" w:color="000000"/>
            </w:tcBorders>
            <w:shd w:val="clear" w:color="C6E0B4" w:fill="C6E0B4"/>
            <w:noWrap/>
            <w:vAlign w:val="center"/>
            <w:hideMark/>
          </w:tcPr>
          <w:p w14:paraId="4A6596E2" w14:textId="77777777" w:rsidR="007C32C5" w:rsidRPr="007C32C5" w:rsidRDefault="007C32C5" w:rsidP="007C32C5">
            <w:pPr>
              <w:rPr>
                <w:rFonts w:ascii="Palatino Linotype" w:eastAsia="Times New Roman" w:hAnsi="Palatino Linotype"/>
                <w:b/>
                <w:bCs/>
                <w:color w:val="002060"/>
                <w:sz w:val="20"/>
                <w:szCs w:val="20"/>
                <w:lang w:val="en-IN" w:eastAsia="en-IN" w:bidi="hi-IN"/>
              </w:rPr>
            </w:pPr>
            <w:r w:rsidRPr="007C32C5">
              <w:rPr>
                <w:rFonts w:ascii="Palatino Linotype" w:eastAsia="Times New Roman" w:hAnsi="Palatino Linotype"/>
                <w:b/>
                <w:bCs/>
                <w:color w:val="002060"/>
                <w:sz w:val="20"/>
                <w:szCs w:val="20"/>
                <w:lang w:val="en-IN" w:eastAsia="en-IN" w:bidi="hi-IN"/>
              </w:rPr>
              <w:t>Gross Turnover in Interest Rate Derivatives Segment (</w:t>
            </w:r>
            <w:r w:rsidRPr="007C32C5">
              <w:rPr>
                <w:rFonts w:ascii="Tahoma" w:eastAsia="Times New Roman" w:hAnsi="Tahoma" w:cs="Tahoma"/>
                <w:b/>
                <w:bCs/>
                <w:color w:val="002060"/>
                <w:sz w:val="20"/>
                <w:szCs w:val="20"/>
                <w:lang w:val="en-IN" w:eastAsia="en-IN" w:bidi="hi-IN"/>
              </w:rPr>
              <w:t>₹</w:t>
            </w:r>
            <w:r w:rsidRPr="007C32C5">
              <w:rPr>
                <w:rFonts w:ascii="Palatino Linotype" w:eastAsia="Times New Roman" w:hAnsi="Palatino Linotype"/>
                <w:b/>
                <w:bCs/>
                <w:color w:val="002060"/>
                <w:sz w:val="20"/>
                <w:szCs w:val="20"/>
                <w:lang w:val="en-IN" w:eastAsia="en-IN" w:bidi="hi-IN"/>
              </w:rPr>
              <w:t xml:space="preserve"> crore)</w:t>
            </w:r>
          </w:p>
        </w:tc>
      </w:tr>
      <w:tr w:rsidR="007C32C5" w:rsidRPr="007C32C5" w14:paraId="0B4CF586"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3DA9122A"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 xml:space="preserve">BSE </w:t>
            </w:r>
          </w:p>
        </w:tc>
        <w:tc>
          <w:tcPr>
            <w:tcW w:w="1633" w:type="dxa"/>
            <w:tcBorders>
              <w:top w:val="nil"/>
              <w:left w:val="nil"/>
              <w:bottom w:val="single" w:sz="4" w:space="0" w:color="000000"/>
              <w:right w:val="single" w:sz="4" w:space="0" w:color="000000"/>
            </w:tcBorders>
            <w:shd w:val="clear" w:color="FFFFFF" w:fill="FFFFFF"/>
            <w:noWrap/>
            <w:vAlign w:val="bottom"/>
            <w:hideMark/>
          </w:tcPr>
          <w:p w14:paraId="1A2A9FBD"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4,082</w:t>
            </w:r>
          </w:p>
        </w:tc>
        <w:tc>
          <w:tcPr>
            <w:tcW w:w="1324" w:type="dxa"/>
            <w:tcBorders>
              <w:top w:val="nil"/>
              <w:left w:val="nil"/>
              <w:bottom w:val="single" w:sz="4" w:space="0" w:color="000000"/>
              <w:right w:val="single" w:sz="4" w:space="0" w:color="000000"/>
            </w:tcBorders>
            <w:shd w:val="clear" w:color="FFFFFF" w:fill="FFFFFF"/>
            <w:noWrap/>
            <w:vAlign w:val="bottom"/>
            <w:hideMark/>
          </w:tcPr>
          <w:p w14:paraId="703EDE43"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1,339</w:t>
            </w:r>
          </w:p>
        </w:tc>
        <w:tc>
          <w:tcPr>
            <w:tcW w:w="1943" w:type="dxa"/>
            <w:tcBorders>
              <w:top w:val="nil"/>
              <w:left w:val="nil"/>
              <w:bottom w:val="single" w:sz="4" w:space="0" w:color="000000"/>
              <w:right w:val="single" w:sz="4" w:space="0" w:color="000000"/>
            </w:tcBorders>
            <w:shd w:val="clear" w:color="auto" w:fill="auto"/>
            <w:noWrap/>
            <w:vAlign w:val="bottom"/>
            <w:hideMark/>
          </w:tcPr>
          <w:p w14:paraId="36E1B0EB"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-67.2</w:t>
            </w:r>
          </w:p>
        </w:tc>
      </w:tr>
      <w:tr w:rsidR="007C32C5" w:rsidRPr="007C32C5" w14:paraId="4AECF697" w14:textId="77777777" w:rsidTr="00B45E12">
        <w:trPr>
          <w:trHeight w:val="270"/>
        </w:trPr>
        <w:tc>
          <w:tcPr>
            <w:tcW w:w="2892" w:type="dxa"/>
            <w:tcBorders>
              <w:top w:val="nil"/>
              <w:left w:val="single" w:sz="4" w:space="0" w:color="000000"/>
              <w:bottom w:val="single" w:sz="4" w:space="0" w:color="000000"/>
              <w:right w:val="single" w:sz="4" w:space="0" w:color="000000"/>
            </w:tcBorders>
            <w:shd w:val="clear" w:color="auto" w:fill="auto"/>
            <w:noWrap/>
            <w:vAlign w:val="bottom"/>
            <w:hideMark/>
          </w:tcPr>
          <w:p w14:paraId="2273DA77" w14:textId="77777777" w:rsidR="007C32C5" w:rsidRPr="007C32C5" w:rsidRDefault="007C32C5" w:rsidP="007C32C5">
            <w:pPr>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NSE</w:t>
            </w:r>
          </w:p>
        </w:tc>
        <w:tc>
          <w:tcPr>
            <w:tcW w:w="1633" w:type="dxa"/>
            <w:tcBorders>
              <w:top w:val="nil"/>
              <w:left w:val="nil"/>
              <w:bottom w:val="single" w:sz="4" w:space="0" w:color="000000"/>
              <w:right w:val="single" w:sz="4" w:space="0" w:color="000000"/>
            </w:tcBorders>
            <w:shd w:val="clear" w:color="FFFFFF" w:fill="FFFFFF"/>
            <w:noWrap/>
            <w:vAlign w:val="bottom"/>
            <w:hideMark/>
          </w:tcPr>
          <w:p w14:paraId="5190D754"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11,478</w:t>
            </w:r>
          </w:p>
        </w:tc>
        <w:tc>
          <w:tcPr>
            <w:tcW w:w="1324" w:type="dxa"/>
            <w:tcBorders>
              <w:top w:val="nil"/>
              <w:left w:val="nil"/>
              <w:bottom w:val="single" w:sz="4" w:space="0" w:color="000000"/>
              <w:right w:val="single" w:sz="4" w:space="0" w:color="000000"/>
            </w:tcBorders>
            <w:shd w:val="clear" w:color="FFFFFF" w:fill="FFFFFF"/>
            <w:noWrap/>
            <w:vAlign w:val="bottom"/>
            <w:hideMark/>
          </w:tcPr>
          <w:p w14:paraId="3CA19206"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8,836</w:t>
            </w:r>
          </w:p>
        </w:tc>
        <w:tc>
          <w:tcPr>
            <w:tcW w:w="1943" w:type="dxa"/>
            <w:tcBorders>
              <w:top w:val="nil"/>
              <w:left w:val="nil"/>
              <w:bottom w:val="single" w:sz="4" w:space="0" w:color="000000"/>
              <w:right w:val="single" w:sz="4" w:space="0" w:color="000000"/>
            </w:tcBorders>
            <w:shd w:val="clear" w:color="auto" w:fill="auto"/>
            <w:noWrap/>
            <w:vAlign w:val="bottom"/>
            <w:hideMark/>
          </w:tcPr>
          <w:p w14:paraId="1D6BC839" w14:textId="77777777" w:rsidR="007C32C5" w:rsidRPr="007C32C5" w:rsidRDefault="007C32C5" w:rsidP="007C32C5">
            <w:pPr>
              <w:jc w:val="right"/>
              <w:rPr>
                <w:rFonts w:ascii="Palatino Linotype" w:eastAsia="Times New Roman" w:hAnsi="Palatino Linotype"/>
                <w:color w:val="000000"/>
                <w:sz w:val="20"/>
                <w:szCs w:val="20"/>
                <w:lang w:val="en-IN" w:eastAsia="en-IN" w:bidi="hi-IN"/>
              </w:rPr>
            </w:pPr>
            <w:r w:rsidRPr="007C32C5">
              <w:rPr>
                <w:rFonts w:ascii="Palatino Linotype" w:eastAsia="Times New Roman" w:hAnsi="Palatino Linotype"/>
                <w:color w:val="000000"/>
                <w:sz w:val="20"/>
                <w:szCs w:val="20"/>
                <w:lang w:val="en-IN" w:eastAsia="en-IN" w:bidi="hi-IN"/>
              </w:rPr>
              <w:t>-23.0</w:t>
            </w:r>
          </w:p>
        </w:tc>
      </w:tr>
    </w:tbl>
    <w:p w14:paraId="7FBCEE6C" w14:textId="77777777" w:rsidR="007C32C5" w:rsidRPr="007C32C5" w:rsidRDefault="007C32C5" w:rsidP="007C32C5">
      <w:pPr>
        <w:spacing w:line="276" w:lineRule="auto"/>
        <w:jc w:val="both"/>
        <w:rPr>
          <w:rFonts w:ascii="Palatino Linotype" w:eastAsia="Palatino Linotype" w:hAnsi="Palatino Linotype" w:cs="Palatino Linotype"/>
          <w:b/>
          <w:color w:val="000000"/>
          <w:sz w:val="22"/>
          <w:szCs w:val="22"/>
          <w:highlight w:val="yellow"/>
        </w:rPr>
      </w:pPr>
      <w:r w:rsidRPr="007C32C5">
        <w:rPr>
          <w:rFonts w:ascii="Palatino Linotype" w:eastAsia="Palatino Linotype" w:hAnsi="Palatino Linotype" w:cs="Palatino Linotype"/>
          <w:b/>
          <w:sz w:val="18"/>
          <w:szCs w:val="18"/>
        </w:rPr>
        <w:t>Source: NSE, BSE and MSEI</w:t>
      </w:r>
    </w:p>
    <w:p w14:paraId="0E1390D6" w14:textId="77777777" w:rsidR="007C32C5" w:rsidRPr="007C32C5" w:rsidRDefault="007C32C5" w:rsidP="007C32C5">
      <w:pPr>
        <w:spacing w:line="276" w:lineRule="auto"/>
        <w:rPr>
          <w:rFonts w:ascii="Palatino Linotype" w:eastAsia="Palatino Linotype" w:hAnsi="Palatino Linotype" w:cs="Palatino Linotype"/>
          <w:b/>
          <w:color w:val="000000"/>
          <w:sz w:val="22"/>
          <w:szCs w:val="22"/>
          <w:highlight w:val="yellow"/>
        </w:rPr>
      </w:pPr>
      <w:r w:rsidRPr="007C32C5">
        <w:rPr>
          <w:rFonts w:ascii="Palatino Linotype" w:eastAsia="Palatino Linotype" w:hAnsi="Palatino Linotype" w:cs="Palatino Linotype"/>
          <w:b/>
          <w:color w:val="000000"/>
          <w:sz w:val="22"/>
          <w:szCs w:val="22"/>
          <w:highlight w:val="yellow"/>
        </w:rPr>
        <w:br w:type="page"/>
      </w:r>
    </w:p>
    <w:p w14:paraId="1FA80EED"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000000"/>
          <w:sz w:val="22"/>
          <w:szCs w:val="22"/>
        </w:rPr>
      </w:pPr>
      <w:r w:rsidRPr="007C32C5">
        <w:rPr>
          <w:rFonts w:ascii="Palatino Linotype" w:eastAsia="Palatino Linotype" w:hAnsi="Palatino Linotype" w:cs="Palatino Linotype"/>
          <w:b/>
          <w:color w:val="000000"/>
          <w:sz w:val="22"/>
          <w:szCs w:val="22"/>
        </w:rPr>
        <w:lastRenderedPageBreak/>
        <w:t>Figure 1: Movement of S&amp;P BSE Sensex and Nifty 50 during August 2020</w:t>
      </w:r>
    </w:p>
    <w:p w14:paraId="0D5161E2" w14:textId="77777777" w:rsidR="007C32C5" w:rsidRPr="007C32C5" w:rsidRDefault="007C32C5" w:rsidP="007C32C5">
      <w:pPr>
        <w:spacing w:line="276" w:lineRule="auto"/>
        <w:jc w:val="center"/>
        <w:rPr>
          <w:rFonts w:ascii="Palatino Linotype" w:eastAsia="Palatino Linotype" w:hAnsi="Palatino Linotype" w:cs="Palatino Linotype"/>
          <w:bCs/>
          <w:color w:val="000000"/>
          <w:sz w:val="22"/>
          <w:szCs w:val="22"/>
          <w:highlight w:val="yellow"/>
        </w:rPr>
      </w:pPr>
      <w:r w:rsidRPr="007C32C5">
        <w:rPr>
          <w:noProof/>
          <w:lang w:val="en-IN" w:eastAsia="en-IN" w:bidi="hi-IN"/>
        </w:rPr>
        <w:drawing>
          <wp:inline distT="0" distB="0" distL="0" distR="0" wp14:anchorId="5C447BC3" wp14:editId="4A4CC4FA">
            <wp:extent cx="5072332" cy="2613804"/>
            <wp:effectExtent l="0" t="0" r="14605"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24CF08" w14:textId="77777777" w:rsidR="007C32C5" w:rsidRPr="007C32C5" w:rsidRDefault="007C32C5" w:rsidP="007C32C5">
      <w:pPr>
        <w:spacing w:line="276" w:lineRule="auto"/>
        <w:rPr>
          <w:rFonts w:ascii="Palatino Linotype" w:eastAsia="Palatino Linotype" w:hAnsi="Palatino Linotype" w:cs="Palatino Linotype"/>
          <w:bCs/>
          <w:color w:val="000000"/>
          <w:sz w:val="18"/>
          <w:szCs w:val="18"/>
        </w:rPr>
      </w:pPr>
      <w:r w:rsidRPr="007C32C5">
        <w:rPr>
          <w:rFonts w:ascii="Palatino Linotype" w:eastAsia="Palatino Linotype" w:hAnsi="Palatino Linotype" w:cs="Palatino Linotype"/>
          <w:bCs/>
          <w:color w:val="000000"/>
          <w:sz w:val="18"/>
          <w:szCs w:val="18"/>
        </w:rPr>
        <w:t>Note: The closing values of Nifty 50 and Sensex have been normalised to 100 on August 01, 2020.</w:t>
      </w:r>
    </w:p>
    <w:p w14:paraId="4D2714A9" w14:textId="77777777" w:rsidR="007C32C5" w:rsidRPr="007C32C5" w:rsidRDefault="007C32C5" w:rsidP="007C32C5">
      <w:pPr>
        <w:spacing w:line="276" w:lineRule="auto"/>
        <w:rPr>
          <w:rFonts w:ascii="Palatino Linotype" w:eastAsia="Palatino Linotype" w:hAnsi="Palatino Linotype" w:cs="Palatino Linotype"/>
          <w:b/>
          <w:color w:val="000000"/>
          <w:sz w:val="22"/>
          <w:szCs w:val="22"/>
          <w:highlight w:val="yellow"/>
        </w:rPr>
      </w:pPr>
    </w:p>
    <w:p w14:paraId="6F507E6B" w14:textId="161F3FDF" w:rsidR="007C32C5" w:rsidRPr="007C32C5" w:rsidRDefault="007C32C5" w:rsidP="007C32C5">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r w:rsidRPr="007C32C5">
        <w:rPr>
          <w:rFonts w:ascii="Palatino Linotype" w:eastAsia="Palatino Linotype" w:hAnsi="Palatino Linotype" w:cs="Palatino Linotype"/>
          <w:color w:val="000000" w:themeColor="text1"/>
          <w:sz w:val="22"/>
          <w:szCs w:val="22"/>
        </w:rPr>
        <w:t xml:space="preserve">The market capitalisation of BSE </w:t>
      </w:r>
      <w:r w:rsidR="00BA0346">
        <w:rPr>
          <w:rFonts w:ascii="Palatino Linotype" w:eastAsia="Palatino Linotype" w:hAnsi="Palatino Linotype" w:cs="Palatino Linotype"/>
          <w:color w:val="000000" w:themeColor="text1"/>
          <w:sz w:val="22"/>
          <w:szCs w:val="22"/>
        </w:rPr>
        <w:t>and</w:t>
      </w:r>
      <w:r w:rsidRPr="007C32C5">
        <w:rPr>
          <w:rFonts w:ascii="Palatino Linotype" w:eastAsia="Palatino Linotype" w:hAnsi="Palatino Linotype" w:cs="Palatino Linotype"/>
          <w:color w:val="000000" w:themeColor="text1"/>
          <w:sz w:val="22"/>
          <w:szCs w:val="22"/>
        </w:rPr>
        <w:t xml:space="preserve"> NSE register</w:t>
      </w:r>
      <w:r w:rsidR="00BA0346">
        <w:rPr>
          <w:rFonts w:ascii="Palatino Linotype" w:eastAsia="Palatino Linotype" w:hAnsi="Palatino Linotype" w:cs="Palatino Linotype"/>
          <w:color w:val="000000" w:themeColor="text1"/>
          <w:sz w:val="22"/>
          <w:szCs w:val="22"/>
        </w:rPr>
        <w:t>ed</w:t>
      </w:r>
      <w:r w:rsidRPr="007C32C5">
        <w:rPr>
          <w:rFonts w:ascii="Palatino Linotype" w:eastAsia="Palatino Linotype" w:hAnsi="Palatino Linotype" w:cs="Palatino Linotype"/>
          <w:color w:val="000000" w:themeColor="text1"/>
          <w:sz w:val="22"/>
          <w:szCs w:val="22"/>
        </w:rPr>
        <w:t xml:space="preserve"> an increase of 4.3 per cent and 4.1 per cent, respectively, over the level at the end of last month.  </w:t>
      </w:r>
    </w:p>
    <w:p w14:paraId="7E0EC5B4" w14:textId="77777777" w:rsidR="007C32C5" w:rsidRPr="007C32C5" w:rsidRDefault="007C32C5" w:rsidP="007C32C5">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highlight w:val="yellow"/>
        </w:rPr>
      </w:pPr>
    </w:p>
    <w:p w14:paraId="17C38DE4"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000000"/>
          <w:sz w:val="22"/>
          <w:szCs w:val="22"/>
        </w:rPr>
      </w:pPr>
      <w:r w:rsidRPr="007C32C5">
        <w:rPr>
          <w:rFonts w:ascii="Palatino Linotype" w:eastAsia="Palatino Linotype" w:hAnsi="Palatino Linotype" w:cs="Palatino Linotype"/>
          <w:b/>
          <w:color w:val="000000"/>
          <w:sz w:val="22"/>
          <w:szCs w:val="22"/>
        </w:rPr>
        <w:t>Figure 2: Trends in Average Daily Values of Nifty 50 and NSE Equity Cash Segment Turnover</w:t>
      </w:r>
    </w:p>
    <w:p w14:paraId="44273546"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000000"/>
          <w:sz w:val="22"/>
          <w:szCs w:val="22"/>
          <w:highlight w:val="yellow"/>
        </w:rPr>
      </w:pPr>
      <w:r w:rsidRPr="007C32C5">
        <w:rPr>
          <w:noProof/>
          <w:lang w:val="en-IN" w:eastAsia="en-IN" w:bidi="hi-IN"/>
        </w:rPr>
        <w:drawing>
          <wp:inline distT="0" distB="0" distL="0" distR="0" wp14:anchorId="7E2D7C30" wp14:editId="320247AE">
            <wp:extent cx="6100970" cy="2696027"/>
            <wp:effectExtent l="0" t="0" r="1460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33A947" w14:textId="77777777" w:rsidR="007C32C5" w:rsidRPr="007C32C5" w:rsidRDefault="007C32C5" w:rsidP="007C32C5">
      <w:pPr>
        <w:pBdr>
          <w:top w:val="nil"/>
          <w:left w:val="nil"/>
          <w:bottom w:val="nil"/>
          <w:right w:val="nil"/>
          <w:between w:val="nil"/>
        </w:pBdr>
        <w:spacing w:line="276" w:lineRule="auto"/>
        <w:ind w:hanging="720"/>
        <w:jc w:val="center"/>
        <w:rPr>
          <w:rFonts w:ascii="Palatino Linotype" w:eastAsia="Palatino Linotype" w:hAnsi="Palatino Linotype" w:cs="Palatino Linotype"/>
          <w:color w:val="000000"/>
          <w:sz w:val="22"/>
          <w:szCs w:val="22"/>
          <w:highlight w:val="yellow"/>
        </w:rPr>
      </w:pPr>
    </w:p>
    <w:p w14:paraId="6BF1E361" w14:textId="33010326" w:rsidR="007C32C5" w:rsidRPr="007C32C5" w:rsidRDefault="007C32C5" w:rsidP="007C32C5">
      <w:pPr>
        <w:numPr>
          <w:ilvl w:val="0"/>
          <w:numId w:val="10"/>
        </w:numPr>
        <w:pBdr>
          <w:top w:val="nil"/>
          <w:left w:val="nil"/>
          <w:bottom w:val="nil"/>
          <w:right w:val="nil"/>
          <w:between w:val="nil"/>
        </w:pBdr>
        <w:spacing w:line="276" w:lineRule="auto"/>
        <w:ind w:left="567" w:hanging="567"/>
        <w:jc w:val="both"/>
        <w:rPr>
          <w:rFonts w:ascii="Palatino Linotype" w:eastAsia="Palatino Linotype" w:hAnsi="Palatino Linotype" w:cs="Palatino Linotype"/>
          <w:b/>
          <w:color w:val="000000"/>
          <w:sz w:val="22"/>
          <w:szCs w:val="22"/>
        </w:rPr>
      </w:pPr>
      <w:r w:rsidRPr="007C32C5">
        <w:rPr>
          <w:rFonts w:ascii="Palatino Linotype" w:eastAsia="Palatino Linotype" w:hAnsi="Palatino Linotype" w:cs="Palatino Linotype"/>
          <w:color w:val="000000"/>
          <w:sz w:val="22"/>
          <w:szCs w:val="22"/>
        </w:rPr>
        <w:t xml:space="preserve">During August 2020, the gross turnover in the equity cash segment at BSE increased by 16.2 per cent </w:t>
      </w:r>
      <w:r w:rsidR="00BA0346">
        <w:rPr>
          <w:rFonts w:ascii="Palatino Linotype" w:eastAsia="Palatino Linotype" w:hAnsi="Palatino Linotype" w:cs="Palatino Linotype"/>
          <w:color w:val="000000"/>
          <w:sz w:val="22"/>
          <w:szCs w:val="22"/>
        </w:rPr>
        <w:t xml:space="preserve">from </w:t>
      </w:r>
      <w:r w:rsidRPr="007C32C5">
        <w:rPr>
          <w:rFonts w:ascii="Palatino Linotype" w:eastAsia="Palatino Linotype" w:hAnsi="Palatino Linotype" w:cs="Palatino Linotype"/>
          <w:color w:val="000000"/>
          <w:sz w:val="22"/>
          <w:szCs w:val="22"/>
        </w:rPr>
        <w:t>the previous month. However, the gross turnover in the equity cash segment at NSE reduced by 4.9 per cent during the same period.</w:t>
      </w:r>
    </w:p>
    <w:p w14:paraId="39ACF13B" w14:textId="77777777" w:rsidR="007C32C5" w:rsidRPr="007C32C5" w:rsidRDefault="007C32C5" w:rsidP="007C32C5">
      <w:pPr>
        <w:spacing w:line="276" w:lineRule="auto"/>
        <w:rPr>
          <w:rFonts w:ascii="Palatino Linotype" w:eastAsia="Palatino Linotype" w:hAnsi="Palatino Linotype" w:cs="Palatino Linotype"/>
          <w:b/>
          <w:color w:val="000000"/>
          <w:sz w:val="22"/>
          <w:szCs w:val="22"/>
          <w:highlight w:val="yellow"/>
        </w:rPr>
      </w:pPr>
      <w:r w:rsidRPr="007C32C5">
        <w:rPr>
          <w:rFonts w:ascii="Palatino Linotype" w:eastAsia="Palatino Linotype" w:hAnsi="Palatino Linotype" w:cs="Palatino Linotype"/>
          <w:b/>
          <w:color w:val="000000"/>
          <w:sz w:val="22"/>
          <w:szCs w:val="22"/>
          <w:highlight w:val="yellow"/>
        </w:rPr>
        <w:br w:type="page"/>
      </w:r>
    </w:p>
    <w:p w14:paraId="3AAF3AFA" w14:textId="77777777" w:rsidR="007C32C5" w:rsidRPr="007C32C5" w:rsidRDefault="007C32C5" w:rsidP="007C32C5">
      <w:pPr>
        <w:pBdr>
          <w:top w:val="nil"/>
          <w:left w:val="nil"/>
          <w:bottom w:val="nil"/>
          <w:right w:val="nil"/>
          <w:between w:val="nil"/>
        </w:pBdr>
        <w:spacing w:line="276" w:lineRule="auto"/>
        <w:jc w:val="center"/>
        <w:rPr>
          <w:rFonts w:ascii="Palatino Linotype" w:eastAsia="Palatino Linotype" w:hAnsi="Palatino Linotype" w:cs="Palatino Linotype"/>
          <w:b/>
          <w:color w:val="000000"/>
          <w:sz w:val="22"/>
          <w:szCs w:val="22"/>
        </w:rPr>
      </w:pPr>
      <w:r w:rsidRPr="007C32C5">
        <w:rPr>
          <w:rFonts w:ascii="Palatino Linotype" w:eastAsia="Palatino Linotype" w:hAnsi="Palatino Linotype" w:cs="Palatino Linotype"/>
          <w:b/>
          <w:color w:val="000000"/>
          <w:sz w:val="22"/>
          <w:szCs w:val="22"/>
        </w:rPr>
        <w:lastRenderedPageBreak/>
        <w:t>Figure 3: Trends in Average Daily Values of S&amp;P BSE Sensex and BSE Equity Cash Segment Turnover</w:t>
      </w:r>
    </w:p>
    <w:p w14:paraId="6F765ACA" w14:textId="77777777" w:rsidR="007C32C5" w:rsidRPr="007C32C5" w:rsidRDefault="007C32C5" w:rsidP="007C32C5">
      <w:pPr>
        <w:pBdr>
          <w:top w:val="nil"/>
          <w:left w:val="nil"/>
          <w:bottom w:val="nil"/>
          <w:right w:val="nil"/>
          <w:between w:val="nil"/>
        </w:pBdr>
        <w:spacing w:line="276" w:lineRule="auto"/>
        <w:rPr>
          <w:rFonts w:ascii="Palatino Linotype" w:eastAsia="Palatino Linotype" w:hAnsi="Palatino Linotype" w:cs="Palatino Linotype"/>
          <w:b/>
          <w:color w:val="000000"/>
          <w:sz w:val="22"/>
          <w:szCs w:val="22"/>
          <w:highlight w:val="yellow"/>
        </w:rPr>
      </w:pPr>
      <w:r w:rsidRPr="007C32C5">
        <w:rPr>
          <w:noProof/>
          <w:lang w:val="en-IN" w:eastAsia="en-IN" w:bidi="hi-IN"/>
        </w:rPr>
        <w:drawing>
          <wp:inline distT="0" distB="0" distL="0" distR="0" wp14:anchorId="1C84BCFF" wp14:editId="2B5353DC">
            <wp:extent cx="6193321" cy="2949819"/>
            <wp:effectExtent l="0" t="0" r="17145" b="31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85ECA6" w14:textId="77777777" w:rsidR="007C32C5" w:rsidRPr="007C32C5" w:rsidRDefault="007C32C5" w:rsidP="007C32C5">
      <w:pPr>
        <w:spacing w:line="276" w:lineRule="auto"/>
        <w:jc w:val="both"/>
        <w:rPr>
          <w:rFonts w:ascii="Palatino Linotype" w:eastAsia="Palatino Linotype" w:hAnsi="Palatino Linotype" w:cs="Palatino Linotype"/>
          <w:sz w:val="22"/>
          <w:szCs w:val="22"/>
          <w:highlight w:val="yellow"/>
        </w:rPr>
      </w:pPr>
    </w:p>
    <w:p w14:paraId="6ED45A1E" w14:textId="77777777" w:rsidR="007C32C5" w:rsidRPr="007C32C5" w:rsidRDefault="007C32C5" w:rsidP="007C32C5">
      <w:pPr>
        <w:numPr>
          <w:ilvl w:val="0"/>
          <w:numId w:val="10"/>
        </w:num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r w:rsidRPr="007C32C5">
        <w:rPr>
          <w:rFonts w:ascii="Palatino Linotype" w:eastAsia="Palatino Linotype" w:hAnsi="Palatino Linotype" w:cs="Palatino Linotype"/>
          <w:color w:val="000000"/>
          <w:sz w:val="22"/>
          <w:szCs w:val="22"/>
        </w:rPr>
        <w:t>During August 2020, except for S&amp;P BSE Teck and S&amp;P BSE FMCG, all other BSE indices registered positive returns over July 2020 levels. The average daily volatility and monthly returns of BSE sectoral indices for August 2020 are given in Figure 4.</w:t>
      </w:r>
    </w:p>
    <w:p w14:paraId="63922B7B" w14:textId="77777777" w:rsidR="007C32C5" w:rsidRPr="007C32C5" w:rsidRDefault="007C32C5" w:rsidP="007C32C5">
      <w:pPr>
        <w:spacing w:line="276" w:lineRule="auto"/>
        <w:jc w:val="both"/>
        <w:rPr>
          <w:rFonts w:ascii="Palatino Linotype" w:eastAsia="Palatino Linotype" w:hAnsi="Palatino Linotype" w:cs="Palatino Linotype"/>
          <w:b/>
          <w:color w:val="000000"/>
          <w:sz w:val="22"/>
          <w:szCs w:val="22"/>
          <w:highlight w:val="yellow"/>
        </w:rPr>
      </w:pPr>
    </w:p>
    <w:p w14:paraId="799AEDD0" w14:textId="77777777" w:rsidR="007C32C5" w:rsidRPr="007C32C5" w:rsidRDefault="007C32C5" w:rsidP="007C32C5">
      <w:pPr>
        <w:spacing w:line="276" w:lineRule="auto"/>
        <w:jc w:val="center"/>
        <w:rPr>
          <w:rFonts w:ascii="Palatino Linotype" w:eastAsia="Palatino Linotype" w:hAnsi="Palatino Linotype" w:cs="Palatino Linotype"/>
          <w:color w:val="000000"/>
          <w:sz w:val="22"/>
          <w:szCs w:val="22"/>
        </w:rPr>
      </w:pPr>
      <w:r w:rsidRPr="007C32C5">
        <w:rPr>
          <w:rFonts w:ascii="Palatino Linotype" w:eastAsia="Palatino Linotype" w:hAnsi="Palatino Linotype" w:cs="Palatino Linotype"/>
          <w:b/>
          <w:color w:val="000000"/>
          <w:sz w:val="22"/>
          <w:szCs w:val="22"/>
        </w:rPr>
        <w:t>Figure 4: Performance of BSE Indices during August 2020 (per cent)</w:t>
      </w:r>
    </w:p>
    <w:p w14:paraId="47A2467D" w14:textId="77777777" w:rsidR="007C32C5" w:rsidRPr="007C32C5" w:rsidRDefault="007C32C5" w:rsidP="007C32C5">
      <w:pPr>
        <w:pBdr>
          <w:top w:val="nil"/>
          <w:left w:val="nil"/>
          <w:bottom w:val="nil"/>
          <w:right w:val="nil"/>
          <w:between w:val="nil"/>
        </w:pBdr>
        <w:spacing w:line="276" w:lineRule="auto"/>
        <w:ind w:left="709" w:hanging="720"/>
        <w:jc w:val="center"/>
        <w:rPr>
          <w:rFonts w:ascii="Palatino Linotype" w:eastAsia="Palatino Linotype" w:hAnsi="Palatino Linotype" w:cs="Palatino Linotype"/>
          <w:b/>
          <w:color w:val="000000"/>
          <w:sz w:val="22"/>
          <w:szCs w:val="22"/>
          <w:highlight w:val="yellow"/>
        </w:rPr>
      </w:pPr>
      <w:r w:rsidRPr="007C32C5">
        <w:rPr>
          <w:noProof/>
          <w:lang w:val="en-IN" w:eastAsia="en-IN" w:bidi="hi-IN"/>
        </w:rPr>
        <w:drawing>
          <wp:inline distT="0" distB="0" distL="0" distR="0" wp14:anchorId="36C4F4DE" wp14:editId="2096C949">
            <wp:extent cx="5876925" cy="32670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77020D" w14:textId="77777777" w:rsidR="007C32C5" w:rsidRPr="007C32C5" w:rsidRDefault="007C32C5" w:rsidP="007C32C5">
      <w:pPr>
        <w:pBdr>
          <w:top w:val="nil"/>
          <w:left w:val="nil"/>
          <w:bottom w:val="nil"/>
          <w:right w:val="nil"/>
          <w:between w:val="nil"/>
        </w:pBdr>
        <w:spacing w:line="276" w:lineRule="auto"/>
        <w:ind w:left="709" w:hanging="720"/>
        <w:rPr>
          <w:rFonts w:ascii="Palatino Linotype" w:eastAsia="Palatino Linotype" w:hAnsi="Palatino Linotype" w:cs="Palatino Linotype"/>
          <w:b/>
          <w:color w:val="000000"/>
          <w:sz w:val="22"/>
          <w:szCs w:val="22"/>
          <w:highlight w:val="yellow"/>
        </w:rPr>
      </w:pPr>
    </w:p>
    <w:p w14:paraId="6B9681FD" w14:textId="77777777" w:rsidR="007C32C5" w:rsidRPr="007C32C5" w:rsidRDefault="007C32C5" w:rsidP="007C32C5">
      <w:pPr>
        <w:numPr>
          <w:ilvl w:val="0"/>
          <w:numId w:val="10"/>
        </w:numPr>
        <w:pBdr>
          <w:top w:val="nil"/>
          <w:left w:val="nil"/>
          <w:bottom w:val="nil"/>
          <w:right w:val="nil"/>
          <w:between w:val="nil"/>
        </w:pBdr>
        <w:spacing w:line="276" w:lineRule="auto"/>
        <w:jc w:val="both"/>
        <w:rPr>
          <w:rFonts w:ascii="Palatino Linotype" w:hAnsi="Palatino Linotype"/>
          <w:color w:val="000000"/>
          <w:sz w:val="22"/>
          <w:szCs w:val="22"/>
        </w:rPr>
      </w:pPr>
      <w:r w:rsidRPr="007C32C5">
        <w:rPr>
          <w:rFonts w:ascii="Palatino Linotype" w:eastAsia="Palatino Linotype" w:hAnsi="Palatino Linotype" w:cs="Palatino Linotype"/>
          <w:color w:val="000000"/>
          <w:sz w:val="22"/>
          <w:szCs w:val="22"/>
        </w:rPr>
        <w:t>All NSE indices, except Nifty Next 50, Nifty IT, Nifty FMCG and Nifty Pharma, registered positive returns during August 2020, over the previous month.  The average daily volatility and monthly returns of NSE sectoral indices for August 2020 are given in Figure 5.</w:t>
      </w:r>
    </w:p>
    <w:p w14:paraId="5E7F758E" w14:textId="12B9DC51" w:rsidR="007C32C5" w:rsidRDefault="007C32C5" w:rsidP="00B84C76">
      <w:pPr>
        <w:pBdr>
          <w:top w:val="nil"/>
          <w:left w:val="nil"/>
          <w:bottom w:val="nil"/>
          <w:right w:val="nil"/>
          <w:between w:val="nil"/>
        </w:pBdr>
        <w:spacing w:line="276" w:lineRule="auto"/>
        <w:rPr>
          <w:rFonts w:ascii="Palatino Linotype" w:eastAsia="Palatino Linotype" w:hAnsi="Palatino Linotype" w:cs="Palatino Linotype"/>
          <w:color w:val="000000"/>
          <w:sz w:val="22"/>
          <w:szCs w:val="22"/>
          <w:highlight w:val="yellow"/>
        </w:rPr>
      </w:pPr>
    </w:p>
    <w:p w14:paraId="7F45DAF3" w14:textId="792CE59A" w:rsidR="00B84C76" w:rsidRDefault="00B84C76" w:rsidP="00B84C76">
      <w:pPr>
        <w:pBdr>
          <w:top w:val="nil"/>
          <w:left w:val="nil"/>
          <w:bottom w:val="nil"/>
          <w:right w:val="nil"/>
          <w:between w:val="nil"/>
        </w:pBdr>
        <w:spacing w:line="276" w:lineRule="auto"/>
        <w:rPr>
          <w:rFonts w:ascii="Palatino Linotype" w:eastAsia="Palatino Linotype" w:hAnsi="Palatino Linotype" w:cs="Palatino Linotype"/>
          <w:color w:val="000000"/>
          <w:sz w:val="22"/>
          <w:szCs w:val="22"/>
          <w:highlight w:val="yellow"/>
        </w:rPr>
      </w:pPr>
    </w:p>
    <w:p w14:paraId="5ACDB741" w14:textId="77777777" w:rsidR="007C32C5" w:rsidRPr="007C32C5" w:rsidRDefault="007C32C5" w:rsidP="007C32C5">
      <w:pPr>
        <w:pBdr>
          <w:top w:val="nil"/>
          <w:left w:val="nil"/>
          <w:bottom w:val="nil"/>
          <w:right w:val="nil"/>
          <w:between w:val="nil"/>
        </w:pBdr>
        <w:spacing w:line="276" w:lineRule="auto"/>
        <w:jc w:val="center"/>
        <w:rPr>
          <w:rFonts w:ascii="Palatino Linotype" w:eastAsia="Palatino Linotype" w:hAnsi="Palatino Linotype" w:cs="Palatino Linotype"/>
          <w:b/>
          <w:color w:val="000000"/>
          <w:sz w:val="22"/>
          <w:szCs w:val="22"/>
        </w:rPr>
      </w:pPr>
      <w:r w:rsidRPr="007C32C5">
        <w:rPr>
          <w:rFonts w:ascii="Palatino Linotype" w:eastAsia="Palatino Linotype" w:hAnsi="Palatino Linotype" w:cs="Palatino Linotype"/>
          <w:b/>
          <w:color w:val="000000"/>
          <w:sz w:val="22"/>
          <w:szCs w:val="22"/>
        </w:rPr>
        <w:lastRenderedPageBreak/>
        <w:t>Figure 5: Performance of NSE Indices during August 2020 (per cent)</w:t>
      </w:r>
    </w:p>
    <w:p w14:paraId="20FC1D52" w14:textId="77777777" w:rsidR="007C32C5" w:rsidRPr="007C32C5" w:rsidRDefault="007C32C5" w:rsidP="00B84C76">
      <w:pPr>
        <w:pBdr>
          <w:top w:val="nil"/>
          <w:left w:val="nil"/>
          <w:bottom w:val="nil"/>
          <w:right w:val="nil"/>
          <w:between w:val="nil"/>
        </w:pBdr>
        <w:spacing w:line="276" w:lineRule="auto"/>
        <w:jc w:val="center"/>
        <w:rPr>
          <w:rFonts w:ascii="Palatino Linotype" w:eastAsia="Palatino Linotype" w:hAnsi="Palatino Linotype" w:cs="Palatino Linotype"/>
          <w:b/>
          <w:color w:val="000000"/>
          <w:sz w:val="22"/>
          <w:szCs w:val="22"/>
          <w:highlight w:val="yellow"/>
        </w:rPr>
      </w:pPr>
      <w:r w:rsidRPr="007C32C5">
        <w:rPr>
          <w:noProof/>
          <w:lang w:val="en-IN" w:eastAsia="en-IN" w:bidi="hi-IN"/>
        </w:rPr>
        <w:drawing>
          <wp:inline distT="0" distB="0" distL="0" distR="0" wp14:anchorId="445352AA" wp14:editId="682548CE">
            <wp:extent cx="5162550" cy="24574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FD8B10" w14:textId="77777777" w:rsidR="007C32C5" w:rsidRPr="007C32C5" w:rsidRDefault="007C32C5" w:rsidP="007C32C5">
      <w:pPr>
        <w:pBdr>
          <w:top w:val="nil"/>
          <w:left w:val="nil"/>
          <w:bottom w:val="nil"/>
          <w:right w:val="nil"/>
          <w:between w:val="nil"/>
        </w:pBdr>
        <w:spacing w:line="276" w:lineRule="auto"/>
        <w:rPr>
          <w:rFonts w:ascii="Palatino Linotype" w:eastAsia="Palatino Linotype" w:hAnsi="Palatino Linotype" w:cs="Palatino Linotype"/>
          <w:b/>
          <w:sz w:val="22"/>
          <w:szCs w:val="22"/>
          <w:highlight w:val="yellow"/>
        </w:rPr>
      </w:pPr>
    </w:p>
    <w:p w14:paraId="53CCA819" w14:textId="77777777" w:rsidR="007C32C5" w:rsidRPr="007C32C5" w:rsidRDefault="007C32C5" w:rsidP="007C32C5">
      <w:pPr>
        <w:widowControl w:val="0"/>
        <w:numPr>
          <w:ilvl w:val="0"/>
          <w:numId w:val="9"/>
        </w:numPr>
        <w:spacing w:line="276" w:lineRule="auto"/>
        <w:ind w:left="567" w:hanging="567"/>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 xml:space="preserve">Trends in Depository Accounts </w:t>
      </w:r>
    </w:p>
    <w:p w14:paraId="6D59A544" w14:textId="77777777" w:rsidR="007C32C5" w:rsidRPr="007C32C5" w:rsidRDefault="007C32C5" w:rsidP="007C32C5">
      <w:pPr>
        <w:spacing w:line="276" w:lineRule="auto"/>
        <w:jc w:val="both"/>
        <w:rPr>
          <w:rFonts w:ascii="Palatino Linotype" w:eastAsia="Palatino Linotype" w:hAnsi="Palatino Linotype" w:cs="Palatino Linotype"/>
          <w:sz w:val="22"/>
          <w:szCs w:val="22"/>
          <w:highlight w:val="yellow"/>
        </w:rPr>
      </w:pPr>
    </w:p>
    <w:p w14:paraId="23261EE9" w14:textId="77777777" w:rsidR="007C32C5" w:rsidRPr="007C32C5" w:rsidRDefault="007C32C5" w:rsidP="007C32C5">
      <w:pPr>
        <w:numPr>
          <w:ilvl w:val="0"/>
          <w:numId w:val="10"/>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7C32C5">
        <w:rPr>
          <w:rFonts w:ascii="Palatino Linotype" w:eastAsia="Palatino Linotype" w:hAnsi="Palatino Linotype" w:cs="Palatino Linotype"/>
          <w:sz w:val="22"/>
          <w:szCs w:val="22"/>
        </w:rPr>
        <w:t>At the end of July 2020, there were 203 lakh demat accounts at NSDL and 250 lakh demat accounts at CDSL. Till the end of August 2020, 5,620 listed companies were signed up with NSDL and 5,709 listed companies were signed up with CDSL to make their equity holdings available in dematerialised form.</w:t>
      </w:r>
    </w:p>
    <w:p w14:paraId="087C9834" w14:textId="77777777" w:rsidR="007C32C5" w:rsidRPr="007C32C5" w:rsidRDefault="007C32C5" w:rsidP="007C32C5">
      <w:pPr>
        <w:spacing w:line="276" w:lineRule="auto"/>
        <w:rPr>
          <w:rFonts w:ascii="Palatino Linotype" w:eastAsia="Palatino Linotype" w:hAnsi="Palatino Linotype" w:cs="Palatino Linotype"/>
          <w:b/>
          <w:sz w:val="22"/>
          <w:szCs w:val="22"/>
        </w:rPr>
      </w:pPr>
    </w:p>
    <w:p w14:paraId="2EE7C847" w14:textId="77777777" w:rsidR="007C32C5" w:rsidRPr="007C32C5" w:rsidRDefault="007C32C5" w:rsidP="007C32C5">
      <w:pPr>
        <w:widowControl w:val="0"/>
        <w:numPr>
          <w:ilvl w:val="0"/>
          <w:numId w:val="9"/>
        </w:numPr>
        <w:spacing w:line="276" w:lineRule="auto"/>
        <w:ind w:left="454" w:hanging="454"/>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Trends in Derivatives Segment</w:t>
      </w:r>
      <w:r w:rsidRPr="007C32C5">
        <w:rPr>
          <w:rFonts w:ascii="Palatino Linotype" w:eastAsia="Palatino Linotype" w:hAnsi="Palatino Linotype" w:cs="Palatino Linotype"/>
          <w:b/>
          <w:sz w:val="22"/>
          <w:szCs w:val="22"/>
        </w:rPr>
        <w:tab/>
      </w:r>
    </w:p>
    <w:p w14:paraId="0CFB06EA" w14:textId="77777777" w:rsidR="007C32C5" w:rsidRPr="007C32C5" w:rsidRDefault="007C32C5" w:rsidP="007C32C5">
      <w:pPr>
        <w:widowControl w:val="0"/>
        <w:spacing w:line="276" w:lineRule="auto"/>
        <w:jc w:val="both"/>
        <w:rPr>
          <w:rFonts w:ascii="Palatino Linotype" w:eastAsia="Palatino Linotype" w:hAnsi="Palatino Linotype" w:cs="Palatino Linotype"/>
          <w:sz w:val="22"/>
          <w:szCs w:val="22"/>
          <w:highlight w:val="yellow"/>
        </w:rPr>
      </w:pPr>
    </w:p>
    <w:p w14:paraId="1544FE8D" w14:textId="77777777" w:rsidR="007C32C5" w:rsidRPr="007C32C5" w:rsidRDefault="007C32C5" w:rsidP="007C32C5">
      <w:pPr>
        <w:widowControl w:val="0"/>
        <w:numPr>
          <w:ilvl w:val="0"/>
          <w:numId w:val="11"/>
        </w:numPr>
        <w:spacing w:line="276" w:lineRule="auto"/>
        <w:ind w:left="567" w:hanging="567"/>
        <w:jc w:val="both"/>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Equity Derivatives</w:t>
      </w:r>
    </w:p>
    <w:p w14:paraId="12E61BE6" w14:textId="77777777" w:rsidR="007C32C5" w:rsidRPr="007C32C5" w:rsidRDefault="007C32C5" w:rsidP="007C32C5">
      <w:pPr>
        <w:spacing w:line="276" w:lineRule="auto"/>
        <w:jc w:val="both"/>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Table 3: Trends in Equity Derivatives Market</w:t>
      </w:r>
    </w:p>
    <w:tbl>
      <w:tblPr>
        <w:tblW w:w="9801" w:type="dxa"/>
        <w:tblLook w:val="04A0" w:firstRow="1" w:lastRow="0" w:firstColumn="1" w:lastColumn="0" w:noHBand="0" w:noVBand="1"/>
      </w:tblPr>
      <w:tblGrid>
        <w:gridCol w:w="1960"/>
        <w:gridCol w:w="1191"/>
        <w:gridCol w:w="1388"/>
        <w:gridCol w:w="1160"/>
        <w:gridCol w:w="1340"/>
        <w:gridCol w:w="1340"/>
        <w:gridCol w:w="1480"/>
      </w:tblGrid>
      <w:tr w:rsidR="007C32C5" w:rsidRPr="007C32C5" w14:paraId="04DB95BE" w14:textId="77777777" w:rsidTr="005A4D17">
        <w:trPr>
          <w:trHeight w:val="255"/>
        </w:trPr>
        <w:tc>
          <w:tcPr>
            <w:tcW w:w="1960" w:type="dxa"/>
            <w:vMerge w:val="restart"/>
            <w:tcBorders>
              <w:top w:val="single" w:sz="4" w:space="0" w:color="auto"/>
              <w:left w:val="single" w:sz="4" w:space="0" w:color="auto"/>
              <w:bottom w:val="single" w:sz="4" w:space="0" w:color="000000"/>
              <w:right w:val="single" w:sz="4" w:space="0" w:color="000000"/>
            </w:tcBorders>
            <w:shd w:val="clear" w:color="8DB3E2" w:fill="95B3D7"/>
            <w:noWrap/>
            <w:vAlign w:val="center"/>
            <w:hideMark/>
          </w:tcPr>
          <w:p w14:paraId="20C914A2" w14:textId="77777777" w:rsidR="007C32C5" w:rsidRPr="007C32C5" w:rsidRDefault="007C32C5" w:rsidP="007C32C5">
            <w:pPr>
              <w:rPr>
                <w:rFonts w:ascii="Garamond" w:eastAsia="Times New Roman" w:hAnsi="Garamond"/>
                <w:b/>
                <w:bCs/>
                <w:sz w:val="20"/>
                <w:szCs w:val="20"/>
                <w:lang w:val="en-IN" w:eastAsia="en-IN" w:bidi="hi-IN"/>
              </w:rPr>
            </w:pPr>
            <w:bookmarkStart w:id="1" w:name="gjdgxs" w:colFirst="0" w:colLast="0"/>
            <w:bookmarkEnd w:id="1"/>
            <w:r w:rsidRPr="007C32C5">
              <w:rPr>
                <w:rFonts w:ascii="Garamond" w:eastAsia="Times New Roman" w:hAnsi="Garamond"/>
                <w:b/>
                <w:bCs/>
                <w:sz w:val="20"/>
                <w:szCs w:val="20"/>
                <w:lang w:val="en-IN" w:eastAsia="en-IN" w:bidi="hi-IN"/>
              </w:rPr>
              <w:t>Description</w:t>
            </w:r>
          </w:p>
        </w:tc>
        <w:tc>
          <w:tcPr>
            <w:tcW w:w="3681" w:type="dxa"/>
            <w:gridSpan w:val="3"/>
            <w:tcBorders>
              <w:top w:val="single" w:sz="4" w:space="0" w:color="auto"/>
              <w:left w:val="nil"/>
              <w:bottom w:val="single" w:sz="4" w:space="0" w:color="000000"/>
              <w:right w:val="single" w:sz="4" w:space="0" w:color="000000"/>
            </w:tcBorders>
            <w:shd w:val="clear" w:color="8DB3E2" w:fill="95B3D7"/>
            <w:noWrap/>
            <w:vAlign w:val="center"/>
            <w:hideMark/>
          </w:tcPr>
          <w:p w14:paraId="5D2948AA" w14:textId="77777777" w:rsidR="007C32C5" w:rsidRPr="007C32C5" w:rsidRDefault="007C32C5" w:rsidP="007C32C5">
            <w:pPr>
              <w:jc w:val="cente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NSE</w:t>
            </w:r>
          </w:p>
        </w:tc>
        <w:tc>
          <w:tcPr>
            <w:tcW w:w="4160" w:type="dxa"/>
            <w:gridSpan w:val="3"/>
            <w:tcBorders>
              <w:top w:val="single" w:sz="4" w:space="0" w:color="auto"/>
              <w:left w:val="nil"/>
              <w:bottom w:val="single" w:sz="4" w:space="0" w:color="000000"/>
              <w:right w:val="single" w:sz="4" w:space="0" w:color="000000"/>
            </w:tcBorders>
            <w:shd w:val="clear" w:color="8DB3E2" w:fill="95B3D7"/>
            <w:noWrap/>
            <w:vAlign w:val="center"/>
            <w:hideMark/>
          </w:tcPr>
          <w:p w14:paraId="13D59C58" w14:textId="77777777" w:rsidR="007C32C5" w:rsidRPr="007C32C5" w:rsidRDefault="007C32C5" w:rsidP="007C32C5">
            <w:pPr>
              <w:jc w:val="cente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BSE</w:t>
            </w:r>
          </w:p>
        </w:tc>
      </w:tr>
      <w:tr w:rsidR="007C32C5" w:rsidRPr="007C32C5" w14:paraId="1EF23EF0" w14:textId="77777777" w:rsidTr="005A4D17">
        <w:trPr>
          <w:trHeight w:val="765"/>
        </w:trPr>
        <w:tc>
          <w:tcPr>
            <w:tcW w:w="1960" w:type="dxa"/>
            <w:vMerge/>
            <w:tcBorders>
              <w:top w:val="single" w:sz="4" w:space="0" w:color="auto"/>
              <w:left w:val="single" w:sz="4" w:space="0" w:color="auto"/>
              <w:bottom w:val="single" w:sz="4" w:space="0" w:color="000000"/>
              <w:right w:val="single" w:sz="4" w:space="0" w:color="000000"/>
            </w:tcBorders>
            <w:vAlign w:val="center"/>
            <w:hideMark/>
          </w:tcPr>
          <w:p w14:paraId="770C4F38" w14:textId="77777777" w:rsidR="007C32C5" w:rsidRPr="007C32C5" w:rsidRDefault="007C32C5" w:rsidP="007C32C5">
            <w:pPr>
              <w:rPr>
                <w:rFonts w:ascii="Garamond" w:eastAsia="Times New Roman" w:hAnsi="Garamond"/>
                <w:b/>
                <w:bCs/>
                <w:sz w:val="20"/>
                <w:szCs w:val="20"/>
                <w:lang w:val="en-IN" w:eastAsia="en-IN" w:bidi="hi-IN"/>
              </w:rPr>
            </w:pPr>
          </w:p>
        </w:tc>
        <w:tc>
          <w:tcPr>
            <w:tcW w:w="1182" w:type="dxa"/>
            <w:tcBorders>
              <w:top w:val="nil"/>
              <w:left w:val="nil"/>
              <w:bottom w:val="nil"/>
              <w:right w:val="single" w:sz="4" w:space="0" w:color="000000"/>
            </w:tcBorders>
            <w:shd w:val="clear" w:color="8DB3E2" w:fill="95B3D7"/>
            <w:noWrap/>
            <w:vAlign w:val="center"/>
            <w:hideMark/>
          </w:tcPr>
          <w:p w14:paraId="2E481633" w14:textId="77777777" w:rsidR="007C32C5" w:rsidRPr="007C32C5" w:rsidRDefault="007C32C5" w:rsidP="007C32C5">
            <w:pPr>
              <w:jc w:val="cente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Jul-20</w:t>
            </w:r>
          </w:p>
        </w:tc>
        <w:tc>
          <w:tcPr>
            <w:tcW w:w="1388" w:type="dxa"/>
            <w:tcBorders>
              <w:top w:val="nil"/>
              <w:left w:val="nil"/>
              <w:bottom w:val="nil"/>
              <w:right w:val="single" w:sz="4" w:space="0" w:color="000000"/>
            </w:tcBorders>
            <w:shd w:val="clear" w:color="8DB3E2" w:fill="95B3D7"/>
            <w:noWrap/>
            <w:vAlign w:val="center"/>
            <w:hideMark/>
          </w:tcPr>
          <w:p w14:paraId="1E8869F0" w14:textId="77777777" w:rsidR="007C32C5" w:rsidRPr="007C32C5" w:rsidRDefault="007C32C5" w:rsidP="007C32C5">
            <w:pPr>
              <w:jc w:val="cente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Aug-20</w:t>
            </w:r>
          </w:p>
        </w:tc>
        <w:tc>
          <w:tcPr>
            <w:tcW w:w="1111" w:type="dxa"/>
            <w:tcBorders>
              <w:top w:val="nil"/>
              <w:left w:val="nil"/>
              <w:bottom w:val="nil"/>
              <w:right w:val="single" w:sz="4" w:space="0" w:color="000000"/>
            </w:tcBorders>
            <w:shd w:val="clear" w:color="8DB3E2" w:fill="95B3D7"/>
            <w:vAlign w:val="center"/>
            <w:hideMark/>
          </w:tcPr>
          <w:p w14:paraId="7254D3A2" w14:textId="32CF9C06" w:rsidR="007C32C5" w:rsidRPr="007C32C5" w:rsidRDefault="007C32C5" w:rsidP="00BA7EC6">
            <w:pPr>
              <w:jc w:val="cente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Percentage Change Over Month</w:t>
            </w:r>
          </w:p>
        </w:tc>
        <w:tc>
          <w:tcPr>
            <w:tcW w:w="1340" w:type="dxa"/>
            <w:tcBorders>
              <w:top w:val="nil"/>
              <w:left w:val="nil"/>
              <w:bottom w:val="nil"/>
              <w:right w:val="single" w:sz="4" w:space="0" w:color="000000"/>
            </w:tcBorders>
            <w:shd w:val="clear" w:color="8DB3E2" w:fill="95B3D7"/>
            <w:noWrap/>
            <w:vAlign w:val="center"/>
            <w:hideMark/>
          </w:tcPr>
          <w:p w14:paraId="3B47D793" w14:textId="77777777" w:rsidR="007C32C5" w:rsidRPr="007C32C5" w:rsidRDefault="007C32C5" w:rsidP="007C32C5">
            <w:pPr>
              <w:jc w:val="cente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Jul-20</w:t>
            </w:r>
          </w:p>
        </w:tc>
        <w:tc>
          <w:tcPr>
            <w:tcW w:w="1340" w:type="dxa"/>
            <w:tcBorders>
              <w:top w:val="nil"/>
              <w:left w:val="nil"/>
              <w:bottom w:val="nil"/>
              <w:right w:val="single" w:sz="4" w:space="0" w:color="000000"/>
            </w:tcBorders>
            <w:shd w:val="clear" w:color="8DB3E2" w:fill="95B3D7"/>
            <w:noWrap/>
            <w:vAlign w:val="center"/>
            <w:hideMark/>
          </w:tcPr>
          <w:p w14:paraId="4E2607A1" w14:textId="77777777" w:rsidR="007C32C5" w:rsidRPr="007C32C5" w:rsidRDefault="007C32C5" w:rsidP="007C32C5">
            <w:pPr>
              <w:jc w:val="cente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Aug-20</w:t>
            </w:r>
          </w:p>
        </w:tc>
        <w:tc>
          <w:tcPr>
            <w:tcW w:w="1480" w:type="dxa"/>
            <w:tcBorders>
              <w:top w:val="nil"/>
              <w:left w:val="nil"/>
              <w:bottom w:val="nil"/>
              <w:right w:val="single" w:sz="4" w:space="0" w:color="auto"/>
            </w:tcBorders>
            <w:shd w:val="clear" w:color="8DB3E2" w:fill="95B3D7"/>
            <w:vAlign w:val="center"/>
            <w:hideMark/>
          </w:tcPr>
          <w:p w14:paraId="23FF948A" w14:textId="59D35AAD" w:rsidR="007C32C5" w:rsidRPr="007C32C5" w:rsidRDefault="007C32C5" w:rsidP="007C32C5">
            <w:pPr>
              <w:jc w:val="cente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Percentage Change Over Month</w:t>
            </w:r>
          </w:p>
        </w:tc>
      </w:tr>
      <w:tr w:rsidR="007C32C5" w:rsidRPr="007C32C5" w14:paraId="1C140F68" w14:textId="77777777" w:rsidTr="005A4D17">
        <w:trPr>
          <w:trHeight w:val="255"/>
        </w:trPr>
        <w:tc>
          <w:tcPr>
            <w:tcW w:w="9801" w:type="dxa"/>
            <w:gridSpan w:val="7"/>
            <w:tcBorders>
              <w:top w:val="single" w:sz="4" w:space="0" w:color="000000"/>
              <w:left w:val="single" w:sz="4" w:space="0" w:color="auto"/>
              <w:bottom w:val="single" w:sz="4" w:space="0" w:color="000000"/>
              <w:right w:val="single" w:sz="4" w:space="0" w:color="000000"/>
            </w:tcBorders>
            <w:shd w:val="clear" w:color="FFFFCC" w:fill="FFFFCC"/>
            <w:vAlign w:val="center"/>
            <w:hideMark/>
          </w:tcPr>
          <w:p w14:paraId="4E6537A2" w14:textId="77777777" w:rsidR="007C32C5" w:rsidRPr="007C32C5" w:rsidRDefault="007C32C5" w:rsidP="007C32C5">
            <w:pP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 xml:space="preserve">A. Turnover  </w:t>
            </w:r>
            <w:r w:rsidRPr="007C32C5">
              <w:rPr>
                <w:rFonts w:ascii="Rupee" w:eastAsia="Times New Roman" w:hAnsi="Rupee"/>
                <w:b/>
                <w:bCs/>
                <w:sz w:val="20"/>
                <w:szCs w:val="20"/>
                <w:lang w:val="en-IN" w:eastAsia="en-IN" w:bidi="hi-IN"/>
              </w:rPr>
              <w:t>(</w:t>
            </w:r>
            <w:r w:rsidRPr="007C32C5">
              <w:rPr>
                <w:rFonts w:ascii="Arial" w:eastAsia="Times New Roman" w:hAnsi="Arial" w:cs="Arial"/>
                <w:b/>
                <w:bCs/>
                <w:sz w:val="20"/>
                <w:szCs w:val="20"/>
                <w:lang w:val="en-IN" w:eastAsia="en-IN" w:bidi="hi-IN"/>
              </w:rPr>
              <w:t>`</w:t>
            </w:r>
            <w:r w:rsidRPr="007C32C5">
              <w:rPr>
                <w:rFonts w:ascii="Rupee" w:eastAsia="Times New Roman" w:hAnsi="Rupee"/>
                <w:b/>
                <w:bCs/>
                <w:sz w:val="20"/>
                <w:szCs w:val="20"/>
                <w:lang w:val="en-IN" w:eastAsia="en-IN" w:bidi="hi-IN"/>
              </w:rPr>
              <w:t xml:space="preserve"> </w:t>
            </w:r>
            <w:r w:rsidRPr="007C32C5">
              <w:rPr>
                <w:rFonts w:ascii="Garamond" w:eastAsia="Times New Roman" w:hAnsi="Garamond"/>
                <w:b/>
                <w:bCs/>
                <w:sz w:val="20"/>
                <w:szCs w:val="20"/>
                <w:lang w:val="en-IN" w:eastAsia="en-IN" w:bidi="hi-IN"/>
              </w:rPr>
              <w:t>crore)</w:t>
            </w:r>
          </w:p>
        </w:tc>
      </w:tr>
      <w:tr w:rsidR="007C32C5" w:rsidRPr="007C32C5" w14:paraId="021366E7" w14:textId="77777777" w:rsidTr="005A4D17">
        <w:trPr>
          <w:trHeight w:val="255"/>
        </w:trPr>
        <w:tc>
          <w:tcPr>
            <w:tcW w:w="1960" w:type="dxa"/>
            <w:tcBorders>
              <w:top w:val="single" w:sz="4" w:space="0" w:color="000000"/>
              <w:left w:val="single" w:sz="4" w:space="0" w:color="auto"/>
              <w:bottom w:val="nil"/>
              <w:right w:val="single" w:sz="4" w:space="0" w:color="000000"/>
            </w:tcBorders>
            <w:shd w:val="clear" w:color="C6D9F0" w:fill="C6D9F0"/>
            <w:noWrap/>
            <w:vAlign w:val="center"/>
            <w:hideMark/>
          </w:tcPr>
          <w:p w14:paraId="489FBC2F"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xml:space="preserve">   (i) Index  Futures</w:t>
            </w:r>
          </w:p>
        </w:tc>
        <w:tc>
          <w:tcPr>
            <w:tcW w:w="1182" w:type="dxa"/>
            <w:tcBorders>
              <w:top w:val="single" w:sz="4" w:space="0" w:color="000000"/>
              <w:left w:val="nil"/>
              <w:bottom w:val="nil"/>
              <w:right w:val="nil"/>
            </w:tcBorders>
            <w:shd w:val="clear" w:color="auto" w:fill="auto"/>
            <w:noWrap/>
            <w:vAlign w:val="center"/>
            <w:hideMark/>
          </w:tcPr>
          <w:p w14:paraId="330321C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7,77,191</w:t>
            </w:r>
          </w:p>
        </w:tc>
        <w:tc>
          <w:tcPr>
            <w:tcW w:w="1388" w:type="dxa"/>
            <w:tcBorders>
              <w:top w:val="single" w:sz="4" w:space="0" w:color="000000"/>
              <w:left w:val="nil"/>
              <w:bottom w:val="nil"/>
              <w:right w:val="nil"/>
            </w:tcBorders>
            <w:shd w:val="clear" w:color="auto" w:fill="auto"/>
            <w:noWrap/>
            <w:vAlign w:val="center"/>
            <w:hideMark/>
          </w:tcPr>
          <w:p w14:paraId="1A33ACC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6,21,183</w:t>
            </w:r>
          </w:p>
        </w:tc>
        <w:tc>
          <w:tcPr>
            <w:tcW w:w="1111" w:type="dxa"/>
            <w:tcBorders>
              <w:top w:val="single" w:sz="4" w:space="0" w:color="auto"/>
              <w:left w:val="single" w:sz="4" w:space="0" w:color="auto"/>
              <w:bottom w:val="nil"/>
              <w:right w:val="single" w:sz="4" w:space="0" w:color="auto"/>
            </w:tcBorders>
            <w:shd w:val="clear" w:color="auto" w:fill="auto"/>
            <w:noWrap/>
            <w:vAlign w:val="center"/>
            <w:hideMark/>
          </w:tcPr>
          <w:p w14:paraId="4B7928B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-20.1</w:t>
            </w:r>
          </w:p>
        </w:tc>
        <w:tc>
          <w:tcPr>
            <w:tcW w:w="1340" w:type="dxa"/>
            <w:tcBorders>
              <w:top w:val="single" w:sz="4" w:space="0" w:color="000000"/>
              <w:left w:val="nil"/>
              <w:bottom w:val="nil"/>
              <w:right w:val="nil"/>
            </w:tcBorders>
            <w:shd w:val="clear" w:color="auto" w:fill="auto"/>
            <w:noWrap/>
            <w:vAlign w:val="center"/>
            <w:hideMark/>
          </w:tcPr>
          <w:p w14:paraId="021AB73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664</w:t>
            </w:r>
          </w:p>
        </w:tc>
        <w:tc>
          <w:tcPr>
            <w:tcW w:w="1340" w:type="dxa"/>
            <w:tcBorders>
              <w:top w:val="single" w:sz="4" w:space="0" w:color="000000"/>
              <w:left w:val="nil"/>
              <w:bottom w:val="nil"/>
              <w:right w:val="nil"/>
            </w:tcBorders>
            <w:shd w:val="clear" w:color="auto" w:fill="auto"/>
            <w:noWrap/>
            <w:vAlign w:val="center"/>
            <w:hideMark/>
          </w:tcPr>
          <w:p w14:paraId="55F37333"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537</w:t>
            </w:r>
          </w:p>
        </w:tc>
        <w:tc>
          <w:tcPr>
            <w:tcW w:w="1480" w:type="dxa"/>
            <w:tcBorders>
              <w:top w:val="single" w:sz="4" w:space="0" w:color="auto"/>
              <w:left w:val="single" w:sz="4" w:space="0" w:color="auto"/>
              <w:bottom w:val="nil"/>
              <w:right w:val="single" w:sz="4" w:space="0" w:color="auto"/>
            </w:tcBorders>
            <w:shd w:val="clear" w:color="auto" w:fill="auto"/>
            <w:noWrap/>
            <w:vAlign w:val="center"/>
            <w:hideMark/>
          </w:tcPr>
          <w:p w14:paraId="77974A89"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-19.2</w:t>
            </w:r>
          </w:p>
        </w:tc>
      </w:tr>
      <w:tr w:rsidR="007C32C5" w:rsidRPr="007C32C5" w14:paraId="1E1F2A62" w14:textId="77777777" w:rsidTr="005A4D17">
        <w:trPr>
          <w:trHeight w:val="255"/>
        </w:trPr>
        <w:tc>
          <w:tcPr>
            <w:tcW w:w="1960" w:type="dxa"/>
            <w:tcBorders>
              <w:top w:val="nil"/>
              <w:left w:val="single" w:sz="4" w:space="0" w:color="auto"/>
              <w:bottom w:val="nil"/>
              <w:right w:val="single" w:sz="4" w:space="0" w:color="000000"/>
            </w:tcBorders>
            <w:shd w:val="clear" w:color="C6D9F0" w:fill="C6D9F0"/>
            <w:noWrap/>
            <w:vAlign w:val="center"/>
            <w:hideMark/>
          </w:tcPr>
          <w:p w14:paraId="3D5F6C95"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xml:space="preserve">   (ii) Options on Index</w:t>
            </w:r>
          </w:p>
        </w:tc>
        <w:tc>
          <w:tcPr>
            <w:tcW w:w="1182" w:type="dxa"/>
            <w:tcBorders>
              <w:top w:val="nil"/>
              <w:left w:val="nil"/>
              <w:bottom w:val="nil"/>
              <w:right w:val="nil"/>
            </w:tcBorders>
            <w:shd w:val="clear" w:color="auto" w:fill="auto"/>
            <w:noWrap/>
            <w:vAlign w:val="center"/>
            <w:hideMark/>
          </w:tcPr>
          <w:p w14:paraId="10D5609C"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88" w:type="dxa"/>
            <w:tcBorders>
              <w:top w:val="nil"/>
              <w:left w:val="nil"/>
              <w:bottom w:val="nil"/>
              <w:right w:val="nil"/>
            </w:tcBorders>
            <w:shd w:val="clear" w:color="auto" w:fill="auto"/>
            <w:noWrap/>
            <w:vAlign w:val="center"/>
            <w:hideMark/>
          </w:tcPr>
          <w:p w14:paraId="64E7E7EF"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111" w:type="dxa"/>
            <w:tcBorders>
              <w:top w:val="nil"/>
              <w:left w:val="single" w:sz="4" w:space="0" w:color="auto"/>
              <w:bottom w:val="nil"/>
              <w:right w:val="single" w:sz="4" w:space="0" w:color="auto"/>
            </w:tcBorders>
            <w:shd w:val="clear" w:color="auto" w:fill="auto"/>
            <w:noWrap/>
            <w:vAlign w:val="center"/>
            <w:hideMark/>
          </w:tcPr>
          <w:p w14:paraId="2FB99C8F"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nil"/>
            </w:tcBorders>
            <w:shd w:val="clear" w:color="auto" w:fill="auto"/>
            <w:noWrap/>
            <w:vAlign w:val="center"/>
            <w:hideMark/>
          </w:tcPr>
          <w:p w14:paraId="7EB7E08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nil"/>
            </w:tcBorders>
            <w:shd w:val="clear" w:color="auto" w:fill="auto"/>
            <w:noWrap/>
            <w:vAlign w:val="center"/>
            <w:hideMark/>
          </w:tcPr>
          <w:p w14:paraId="6F2D9F4A"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480" w:type="dxa"/>
            <w:tcBorders>
              <w:top w:val="nil"/>
              <w:left w:val="single" w:sz="4" w:space="0" w:color="auto"/>
              <w:bottom w:val="nil"/>
              <w:right w:val="single" w:sz="4" w:space="0" w:color="auto"/>
            </w:tcBorders>
            <w:shd w:val="clear" w:color="auto" w:fill="auto"/>
            <w:noWrap/>
            <w:vAlign w:val="center"/>
            <w:hideMark/>
          </w:tcPr>
          <w:p w14:paraId="4444CAA6"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r>
      <w:tr w:rsidR="007C32C5" w:rsidRPr="007C32C5" w14:paraId="782A3D47" w14:textId="77777777" w:rsidTr="005A4D17">
        <w:trPr>
          <w:trHeight w:val="255"/>
        </w:trPr>
        <w:tc>
          <w:tcPr>
            <w:tcW w:w="1960" w:type="dxa"/>
            <w:tcBorders>
              <w:top w:val="nil"/>
              <w:left w:val="single" w:sz="4" w:space="0" w:color="auto"/>
              <w:bottom w:val="nil"/>
              <w:right w:val="single" w:sz="4" w:space="0" w:color="000000"/>
            </w:tcBorders>
            <w:shd w:val="clear" w:color="C6D9F0" w:fill="C6D9F0"/>
            <w:noWrap/>
            <w:vAlign w:val="center"/>
            <w:hideMark/>
          </w:tcPr>
          <w:p w14:paraId="2CA9B08B"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Put</w:t>
            </w:r>
          </w:p>
        </w:tc>
        <w:tc>
          <w:tcPr>
            <w:tcW w:w="1182" w:type="dxa"/>
            <w:tcBorders>
              <w:top w:val="nil"/>
              <w:left w:val="nil"/>
              <w:bottom w:val="nil"/>
              <w:right w:val="nil"/>
            </w:tcBorders>
            <w:shd w:val="clear" w:color="auto" w:fill="auto"/>
            <w:noWrap/>
            <w:vAlign w:val="center"/>
            <w:hideMark/>
          </w:tcPr>
          <w:p w14:paraId="04E68E28"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1,82,39,374</w:t>
            </w:r>
          </w:p>
        </w:tc>
        <w:tc>
          <w:tcPr>
            <w:tcW w:w="1388" w:type="dxa"/>
            <w:tcBorders>
              <w:top w:val="nil"/>
              <w:left w:val="nil"/>
              <w:bottom w:val="nil"/>
              <w:right w:val="nil"/>
            </w:tcBorders>
            <w:shd w:val="clear" w:color="auto" w:fill="auto"/>
            <w:noWrap/>
            <w:vAlign w:val="center"/>
            <w:hideMark/>
          </w:tcPr>
          <w:p w14:paraId="1BE836DA"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1,67,24,303</w:t>
            </w:r>
          </w:p>
        </w:tc>
        <w:tc>
          <w:tcPr>
            <w:tcW w:w="1111" w:type="dxa"/>
            <w:tcBorders>
              <w:top w:val="nil"/>
              <w:left w:val="single" w:sz="4" w:space="0" w:color="auto"/>
              <w:bottom w:val="nil"/>
              <w:right w:val="single" w:sz="4" w:space="0" w:color="auto"/>
            </w:tcBorders>
            <w:shd w:val="clear" w:color="auto" w:fill="auto"/>
            <w:noWrap/>
            <w:vAlign w:val="center"/>
            <w:hideMark/>
          </w:tcPr>
          <w:p w14:paraId="368D0404"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-8.3</w:t>
            </w:r>
          </w:p>
        </w:tc>
        <w:tc>
          <w:tcPr>
            <w:tcW w:w="1340" w:type="dxa"/>
            <w:tcBorders>
              <w:top w:val="nil"/>
              <w:left w:val="nil"/>
              <w:bottom w:val="nil"/>
              <w:right w:val="nil"/>
            </w:tcBorders>
            <w:shd w:val="clear" w:color="auto" w:fill="auto"/>
            <w:noWrap/>
            <w:vAlign w:val="center"/>
            <w:hideMark/>
          </w:tcPr>
          <w:p w14:paraId="5ADFD77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3,04,232</w:t>
            </w:r>
          </w:p>
        </w:tc>
        <w:tc>
          <w:tcPr>
            <w:tcW w:w="1340" w:type="dxa"/>
            <w:tcBorders>
              <w:top w:val="nil"/>
              <w:left w:val="nil"/>
              <w:bottom w:val="nil"/>
              <w:right w:val="nil"/>
            </w:tcBorders>
            <w:shd w:val="clear" w:color="auto" w:fill="auto"/>
            <w:noWrap/>
            <w:vAlign w:val="center"/>
            <w:hideMark/>
          </w:tcPr>
          <w:p w14:paraId="585A7534"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8,00,072</w:t>
            </w:r>
          </w:p>
        </w:tc>
        <w:tc>
          <w:tcPr>
            <w:tcW w:w="1480" w:type="dxa"/>
            <w:tcBorders>
              <w:top w:val="nil"/>
              <w:left w:val="single" w:sz="4" w:space="0" w:color="auto"/>
              <w:bottom w:val="nil"/>
              <w:right w:val="single" w:sz="4" w:space="0" w:color="auto"/>
            </w:tcBorders>
            <w:shd w:val="clear" w:color="auto" w:fill="auto"/>
            <w:noWrap/>
            <w:vAlign w:val="center"/>
            <w:hideMark/>
          </w:tcPr>
          <w:p w14:paraId="214F3ED5"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163.0</w:t>
            </w:r>
          </w:p>
        </w:tc>
      </w:tr>
      <w:tr w:rsidR="007C32C5" w:rsidRPr="007C32C5" w14:paraId="679CD361" w14:textId="77777777" w:rsidTr="005A4D17">
        <w:trPr>
          <w:trHeight w:val="255"/>
        </w:trPr>
        <w:tc>
          <w:tcPr>
            <w:tcW w:w="1960" w:type="dxa"/>
            <w:tcBorders>
              <w:top w:val="nil"/>
              <w:left w:val="single" w:sz="4" w:space="0" w:color="auto"/>
              <w:bottom w:val="nil"/>
              <w:right w:val="single" w:sz="4" w:space="0" w:color="000000"/>
            </w:tcBorders>
            <w:shd w:val="clear" w:color="C6D9F0" w:fill="C6D9F0"/>
            <w:noWrap/>
            <w:vAlign w:val="center"/>
            <w:hideMark/>
          </w:tcPr>
          <w:p w14:paraId="077DCD13"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Call</w:t>
            </w:r>
          </w:p>
        </w:tc>
        <w:tc>
          <w:tcPr>
            <w:tcW w:w="1182" w:type="dxa"/>
            <w:tcBorders>
              <w:top w:val="nil"/>
              <w:left w:val="nil"/>
              <w:bottom w:val="nil"/>
              <w:right w:val="nil"/>
            </w:tcBorders>
            <w:shd w:val="clear" w:color="auto" w:fill="auto"/>
            <w:noWrap/>
            <w:vAlign w:val="center"/>
            <w:hideMark/>
          </w:tcPr>
          <w:p w14:paraId="0031042F"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2,12,36,715</w:t>
            </w:r>
          </w:p>
        </w:tc>
        <w:tc>
          <w:tcPr>
            <w:tcW w:w="1388" w:type="dxa"/>
            <w:tcBorders>
              <w:top w:val="nil"/>
              <w:left w:val="nil"/>
              <w:bottom w:val="nil"/>
              <w:right w:val="nil"/>
            </w:tcBorders>
            <w:shd w:val="clear" w:color="auto" w:fill="auto"/>
            <w:noWrap/>
            <w:vAlign w:val="center"/>
            <w:hideMark/>
          </w:tcPr>
          <w:p w14:paraId="737A2DFA"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1,86,50,462</w:t>
            </w:r>
          </w:p>
        </w:tc>
        <w:tc>
          <w:tcPr>
            <w:tcW w:w="1111" w:type="dxa"/>
            <w:tcBorders>
              <w:top w:val="nil"/>
              <w:left w:val="single" w:sz="4" w:space="0" w:color="auto"/>
              <w:bottom w:val="nil"/>
              <w:right w:val="single" w:sz="4" w:space="0" w:color="auto"/>
            </w:tcBorders>
            <w:shd w:val="clear" w:color="auto" w:fill="auto"/>
            <w:noWrap/>
            <w:vAlign w:val="center"/>
            <w:hideMark/>
          </w:tcPr>
          <w:p w14:paraId="3142C4C9"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-12.2</w:t>
            </w:r>
          </w:p>
        </w:tc>
        <w:tc>
          <w:tcPr>
            <w:tcW w:w="1340" w:type="dxa"/>
            <w:tcBorders>
              <w:top w:val="nil"/>
              <w:left w:val="nil"/>
              <w:bottom w:val="nil"/>
              <w:right w:val="nil"/>
            </w:tcBorders>
            <w:shd w:val="clear" w:color="auto" w:fill="auto"/>
            <w:noWrap/>
            <w:vAlign w:val="center"/>
            <w:hideMark/>
          </w:tcPr>
          <w:p w14:paraId="698429B6"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2,97,617</w:t>
            </w:r>
          </w:p>
        </w:tc>
        <w:tc>
          <w:tcPr>
            <w:tcW w:w="1340" w:type="dxa"/>
            <w:tcBorders>
              <w:top w:val="nil"/>
              <w:left w:val="nil"/>
              <w:bottom w:val="nil"/>
              <w:right w:val="nil"/>
            </w:tcBorders>
            <w:shd w:val="clear" w:color="auto" w:fill="auto"/>
            <w:noWrap/>
            <w:vAlign w:val="center"/>
            <w:hideMark/>
          </w:tcPr>
          <w:p w14:paraId="0E410B0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10,47,508</w:t>
            </w:r>
          </w:p>
        </w:tc>
        <w:tc>
          <w:tcPr>
            <w:tcW w:w="1480" w:type="dxa"/>
            <w:tcBorders>
              <w:top w:val="nil"/>
              <w:left w:val="single" w:sz="4" w:space="0" w:color="auto"/>
              <w:bottom w:val="nil"/>
              <w:right w:val="single" w:sz="4" w:space="0" w:color="auto"/>
            </w:tcBorders>
            <w:shd w:val="clear" w:color="auto" w:fill="auto"/>
            <w:noWrap/>
            <w:vAlign w:val="center"/>
            <w:hideMark/>
          </w:tcPr>
          <w:p w14:paraId="7050D233"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252.0</w:t>
            </w:r>
          </w:p>
        </w:tc>
      </w:tr>
      <w:tr w:rsidR="007C32C5" w:rsidRPr="007C32C5" w14:paraId="7ED965BD" w14:textId="77777777" w:rsidTr="005A4D17">
        <w:trPr>
          <w:trHeight w:val="255"/>
        </w:trPr>
        <w:tc>
          <w:tcPr>
            <w:tcW w:w="1960" w:type="dxa"/>
            <w:tcBorders>
              <w:top w:val="nil"/>
              <w:left w:val="single" w:sz="4" w:space="0" w:color="auto"/>
              <w:bottom w:val="nil"/>
              <w:right w:val="single" w:sz="4" w:space="0" w:color="000000"/>
            </w:tcBorders>
            <w:shd w:val="clear" w:color="C6D9F0" w:fill="C6D9F0"/>
            <w:noWrap/>
            <w:vAlign w:val="center"/>
            <w:hideMark/>
          </w:tcPr>
          <w:p w14:paraId="06661CF7"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xml:space="preserve">  (iii) Stock Futures</w:t>
            </w:r>
          </w:p>
        </w:tc>
        <w:tc>
          <w:tcPr>
            <w:tcW w:w="1182" w:type="dxa"/>
            <w:tcBorders>
              <w:top w:val="nil"/>
              <w:left w:val="nil"/>
              <w:bottom w:val="nil"/>
              <w:right w:val="nil"/>
            </w:tcBorders>
            <w:shd w:val="clear" w:color="auto" w:fill="auto"/>
            <w:noWrap/>
            <w:vAlign w:val="center"/>
            <w:hideMark/>
          </w:tcPr>
          <w:p w14:paraId="1671D25A"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15,74,937</w:t>
            </w:r>
          </w:p>
        </w:tc>
        <w:tc>
          <w:tcPr>
            <w:tcW w:w="1388" w:type="dxa"/>
            <w:tcBorders>
              <w:top w:val="nil"/>
              <w:left w:val="nil"/>
              <w:bottom w:val="nil"/>
              <w:right w:val="nil"/>
            </w:tcBorders>
            <w:shd w:val="clear" w:color="auto" w:fill="auto"/>
            <w:noWrap/>
            <w:vAlign w:val="center"/>
            <w:hideMark/>
          </w:tcPr>
          <w:p w14:paraId="279F770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14,78,176</w:t>
            </w:r>
          </w:p>
        </w:tc>
        <w:tc>
          <w:tcPr>
            <w:tcW w:w="1111" w:type="dxa"/>
            <w:tcBorders>
              <w:top w:val="nil"/>
              <w:left w:val="single" w:sz="4" w:space="0" w:color="auto"/>
              <w:bottom w:val="nil"/>
              <w:right w:val="single" w:sz="4" w:space="0" w:color="auto"/>
            </w:tcBorders>
            <w:shd w:val="clear" w:color="auto" w:fill="auto"/>
            <w:noWrap/>
            <w:vAlign w:val="center"/>
            <w:hideMark/>
          </w:tcPr>
          <w:p w14:paraId="2BA6011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-6.1</w:t>
            </w:r>
          </w:p>
        </w:tc>
        <w:tc>
          <w:tcPr>
            <w:tcW w:w="1340" w:type="dxa"/>
            <w:tcBorders>
              <w:top w:val="nil"/>
              <w:left w:val="nil"/>
              <w:bottom w:val="nil"/>
              <w:right w:val="nil"/>
            </w:tcBorders>
            <w:shd w:val="clear" w:color="auto" w:fill="auto"/>
            <w:noWrap/>
            <w:vAlign w:val="center"/>
            <w:hideMark/>
          </w:tcPr>
          <w:p w14:paraId="1A849604"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340" w:type="dxa"/>
            <w:tcBorders>
              <w:top w:val="nil"/>
              <w:left w:val="nil"/>
              <w:bottom w:val="nil"/>
              <w:right w:val="nil"/>
            </w:tcBorders>
            <w:shd w:val="clear" w:color="auto" w:fill="auto"/>
            <w:noWrap/>
            <w:vAlign w:val="center"/>
            <w:hideMark/>
          </w:tcPr>
          <w:p w14:paraId="6B7BD5F1"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480" w:type="dxa"/>
            <w:tcBorders>
              <w:top w:val="nil"/>
              <w:left w:val="single" w:sz="4" w:space="0" w:color="auto"/>
              <w:bottom w:val="nil"/>
              <w:right w:val="single" w:sz="4" w:space="0" w:color="auto"/>
            </w:tcBorders>
            <w:shd w:val="clear" w:color="auto" w:fill="auto"/>
            <w:noWrap/>
            <w:vAlign w:val="center"/>
            <w:hideMark/>
          </w:tcPr>
          <w:p w14:paraId="08CB6B2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0.0</w:t>
            </w:r>
          </w:p>
        </w:tc>
      </w:tr>
      <w:tr w:rsidR="007C32C5" w:rsidRPr="007C32C5" w14:paraId="7698B50F" w14:textId="77777777" w:rsidTr="005A4D17">
        <w:trPr>
          <w:trHeight w:val="255"/>
        </w:trPr>
        <w:tc>
          <w:tcPr>
            <w:tcW w:w="1960" w:type="dxa"/>
            <w:tcBorders>
              <w:top w:val="nil"/>
              <w:left w:val="single" w:sz="4" w:space="0" w:color="auto"/>
              <w:bottom w:val="nil"/>
              <w:right w:val="single" w:sz="4" w:space="0" w:color="000000"/>
            </w:tcBorders>
            <w:shd w:val="clear" w:color="C6D9F0" w:fill="C6D9F0"/>
            <w:noWrap/>
            <w:vAlign w:val="center"/>
            <w:hideMark/>
          </w:tcPr>
          <w:p w14:paraId="75210FEC"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(iv) Options on Stock</w:t>
            </w:r>
          </w:p>
        </w:tc>
        <w:tc>
          <w:tcPr>
            <w:tcW w:w="1182" w:type="dxa"/>
            <w:tcBorders>
              <w:top w:val="nil"/>
              <w:left w:val="nil"/>
              <w:bottom w:val="nil"/>
              <w:right w:val="nil"/>
            </w:tcBorders>
            <w:shd w:val="clear" w:color="auto" w:fill="auto"/>
            <w:noWrap/>
            <w:vAlign w:val="center"/>
            <w:hideMark/>
          </w:tcPr>
          <w:p w14:paraId="106CD224"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88" w:type="dxa"/>
            <w:tcBorders>
              <w:top w:val="nil"/>
              <w:left w:val="nil"/>
              <w:bottom w:val="nil"/>
              <w:right w:val="nil"/>
            </w:tcBorders>
            <w:shd w:val="clear" w:color="auto" w:fill="auto"/>
            <w:noWrap/>
            <w:vAlign w:val="center"/>
            <w:hideMark/>
          </w:tcPr>
          <w:p w14:paraId="39C656D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111" w:type="dxa"/>
            <w:tcBorders>
              <w:top w:val="nil"/>
              <w:left w:val="single" w:sz="4" w:space="0" w:color="auto"/>
              <w:bottom w:val="nil"/>
              <w:right w:val="single" w:sz="4" w:space="0" w:color="auto"/>
            </w:tcBorders>
            <w:shd w:val="clear" w:color="auto" w:fill="auto"/>
            <w:noWrap/>
            <w:vAlign w:val="center"/>
            <w:hideMark/>
          </w:tcPr>
          <w:p w14:paraId="08FF477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nil"/>
            </w:tcBorders>
            <w:shd w:val="clear" w:color="auto" w:fill="auto"/>
            <w:noWrap/>
            <w:vAlign w:val="center"/>
            <w:hideMark/>
          </w:tcPr>
          <w:p w14:paraId="44643D6C"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nil"/>
            </w:tcBorders>
            <w:shd w:val="clear" w:color="auto" w:fill="auto"/>
            <w:noWrap/>
            <w:vAlign w:val="center"/>
            <w:hideMark/>
          </w:tcPr>
          <w:p w14:paraId="549538B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480" w:type="dxa"/>
            <w:tcBorders>
              <w:top w:val="nil"/>
              <w:left w:val="single" w:sz="4" w:space="0" w:color="auto"/>
              <w:bottom w:val="nil"/>
              <w:right w:val="single" w:sz="4" w:space="0" w:color="auto"/>
            </w:tcBorders>
            <w:shd w:val="clear" w:color="auto" w:fill="auto"/>
            <w:noWrap/>
            <w:vAlign w:val="center"/>
            <w:hideMark/>
          </w:tcPr>
          <w:p w14:paraId="7BAEA91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r>
      <w:tr w:rsidR="007C32C5" w:rsidRPr="007C32C5" w14:paraId="2EB2E92E" w14:textId="77777777" w:rsidTr="005A4D17">
        <w:trPr>
          <w:trHeight w:val="255"/>
        </w:trPr>
        <w:tc>
          <w:tcPr>
            <w:tcW w:w="1960" w:type="dxa"/>
            <w:tcBorders>
              <w:top w:val="nil"/>
              <w:left w:val="single" w:sz="4" w:space="0" w:color="auto"/>
              <w:bottom w:val="nil"/>
              <w:right w:val="single" w:sz="4" w:space="0" w:color="000000"/>
            </w:tcBorders>
            <w:shd w:val="clear" w:color="C6D9F0" w:fill="C6D9F0"/>
            <w:noWrap/>
            <w:vAlign w:val="center"/>
            <w:hideMark/>
          </w:tcPr>
          <w:p w14:paraId="5B66F02A"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Put</w:t>
            </w:r>
          </w:p>
        </w:tc>
        <w:tc>
          <w:tcPr>
            <w:tcW w:w="1182" w:type="dxa"/>
            <w:tcBorders>
              <w:top w:val="nil"/>
              <w:left w:val="nil"/>
              <w:bottom w:val="nil"/>
              <w:right w:val="nil"/>
            </w:tcBorders>
            <w:shd w:val="clear" w:color="auto" w:fill="auto"/>
            <w:noWrap/>
            <w:vAlign w:val="center"/>
            <w:hideMark/>
          </w:tcPr>
          <w:p w14:paraId="171874DF"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6,40,972</w:t>
            </w:r>
          </w:p>
        </w:tc>
        <w:tc>
          <w:tcPr>
            <w:tcW w:w="1388" w:type="dxa"/>
            <w:tcBorders>
              <w:top w:val="nil"/>
              <w:left w:val="nil"/>
              <w:bottom w:val="nil"/>
              <w:right w:val="nil"/>
            </w:tcBorders>
            <w:shd w:val="clear" w:color="auto" w:fill="auto"/>
            <w:noWrap/>
            <w:vAlign w:val="center"/>
            <w:hideMark/>
          </w:tcPr>
          <w:p w14:paraId="20483AEC"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5,84,505</w:t>
            </w:r>
          </w:p>
        </w:tc>
        <w:tc>
          <w:tcPr>
            <w:tcW w:w="1111" w:type="dxa"/>
            <w:tcBorders>
              <w:top w:val="nil"/>
              <w:left w:val="single" w:sz="4" w:space="0" w:color="auto"/>
              <w:bottom w:val="nil"/>
              <w:right w:val="single" w:sz="4" w:space="0" w:color="auto"/>
            </w:tcBorders>
            <w:shd w:val="clear" w:color="auto" w:fill="auto"/>
            <w:noWrap/>
            <w:vAlign w:val="center"/>
            <w:hideMark/>
          </w:tcPr>
          <w:p w14:paraId="0E093426"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-8.8</w:t>
            </w:r>
          </w:p>
        </w:tc>
        <w:tc>
          <w:tcPr>
            <w:tcW w:w="1340" w:type="dxa"/>
            <w:tcBorders>
              <w:top w:val="nil"/>
              <w:left w:val="nil"/>
              <w:bottom w:val="nil"/>
              <w:right w:val="nil"/>
            </w:tcBorders>
            <w:shd w:val="clear" w:color="auto" w:fill="auto"/>
            <w:noWrap/>
            <w:hideMark/>
          </w:tcPr>
          <w:p w14:paraId="12224311"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0.0</w:t>
            </w:r>
          </w:p>
        </w:tc>
        <w:tc>
          <w:tcPr>
            <w:tcW w:w="1340" w:type="dxa"/>
            <w:tcBorders>
              <w:top w:val="nil"/>
              <w:left w:val="nil"/>
              <w:bottom w:val="nil"/>
              <w:right w:val="nil"/>
            </w:tcBorders>
            <w:shd w:val="clear" w:color="auto" w:fill="auto"/>
            <w:noWrap/>
            <w:hideMark/>
          </w:tcPr>
          <w:p w14:paraId="47738B9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0.0</w:t>
            </w:r>
          </w:p>
        </w:tc>
        <w:tc>
          <w:tcPr>
            <w:tcW w:w="1480" w:type="dxa"/>
            <w:tcBorders>
              <w:top w:val="nil"/>
              <w:left w:val="single" w:sz="4" w:space="0" w:color="auto"/>
              <w:bottom w:val="nil"/>
              <w:right w:val="single" w:sz="4" w:space="0" w:color="auto"/>
            </w:tcBorders>
            <w:shd w:val="clear" w:color="auto" w:fill="auto"/>
            <w:noWrap/>
            <w:vAlign w:val="center"/>
            <w:hideMark/>
          </w:tcPr>
          <w:p w14:paraId="36BDE97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0.0</w:t>
            </w:r>
          </w:p>
        </w:tc>
      </w:tr>
      <w:tr w:rsidR="007C32C5" w:rsidRPr="007C32C5" w14:paraId="1AC6D42A" w14:textId="77777777" w:rsidTr="005A4D17">
        <w:trPr>
          <w:trHeight w:val="255"/>
        </w:trPr>
        <w:tc>
          <w:tcPr>
            <w:tcW w:w="1960" w:type="dxa"/>
            <w:tcBorders>
              <w:top w:val="nil"/>
              <w:left w:val="single" w:sz="4" w:space="0" w:color="auto"/>
              <w:bottom w:val="single" w:sz="4" w:space="0" w:color="000000"/>
              <w:right w:val="single" w:sz="4" w:space="0" w:color="000000"/>
            </w:tcBorders>
            <w:shd w:val="clear" w:color="C6D9F0" w:fill="C6D9F0"/>
            <w:noWrap/>
            <w:vAlign w:val="center"/>
            <w:hideMark/>
          </w:tcPr>
          <w:p w14:paraId="20A846DB"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Call</w:t>
            </w:r>
          </w:p>
        </w:tc>
        <w:tc>
          <w:tcPr>
            <w:tcW w:w="1182" w:type="dxa"/>
            <w:tcBorders>
              <w:top w:val="nil"/>
              <w:left w:val="nil"/>
              <w:bottom w:val="single" w:sz="4" w:space="0" w:color="000000"/>
              <w:right w:val="nil"/>
            </w:tcBorders>
            <w:shd w:val="clear" w:color="auto" w:fill="auto"/>
            <w:noWrap/>
            <w:vAlign w:val="center"/>
            <w:hideMark/>
          </w:tcPr>
          <w:p w14:paraId="72B2FB6C"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14,66,518</w:t>
            </w:r>
          </w:p>
        </w:tc>
        <w:tc>
          <w:tcPr>
            <w:tcW w:w="1388" w:type="dxa"/>
            <w:tcBorders>
              <w:top w:val="nil"/>
              <w:left w:val="nil"/>
              <w:bottom w:val="single" w:sz="4" w:space="0" w:color="000000"/>
              <w:right w:val="nil"/>
            </w:tcBorders>
            <w:shd w:val="clear" w:color="auto" w:fill="auto"/>
            <w:noWrap/>
            <w:vAlign w:val="center"/>
            <w:hideMark/>
          </w:tcPr>
          <w:p w14:paraId="57646375"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13,70,741</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414857D8"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-6.5</w:t>
            </w:r>
          </w:p>
        </w:tc>
        <w:tc>
          <w:tcPr>
            <w:tcW w:w="1340" w:type="dxa"/>
            <w:tcBorders>
              <w:top w:val="nil"/>
              <w:left w:val="nil"/>
              <w:bottom w:val="nil"/>
              <w:right w:val="nil"/>
            </w:tcBorders>
            <w:shd w:val="clear" w:color="auto" w:fill="auto"/>
            <w:noWrap/>
            <w:hideMark/>
          </w:tcPr>
          <w:p w14:paraId="0F5ED93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0.0</w:t>
            </w:r>
          </w:p>
        </w:tc>
        <w:tc>
          <w:tcPr>
            <w:tcW w:w="1340" w:type="dxa"/>
            <w:tcBorders>
              <w:top w:val="nil"/>
              <w:left w:val="nil"/>
              <w:bottom w:val="nil"/>
              <w:right w:val="nil"/>
            </w:tcBorders>
            <w:shd w:val="clear" w:color="auto" w:fill="auto"/>
            <w:noWrap/>
            <w:hideMark/>
          </w:tcPr>
          <w:p w14:paraId="44C06528"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23F57644"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0.0</w:t>
            </w:r>
          </w:p>
        </w:tc>
      </w:tr>
      <w:tr w:rsidR="007C32C5" w:rsidRPr="007C32C5" w14:paraId="67437309" w14:textId="77777777" w:rsidTr="005A4D17">
        <w:trPr>
          <w:trHeight w:val="255"/>
        </w:trPr>
        <w:tc>
          <w:tcPr>
            <w:tcW w:w="1960" w:type="dxa"/>
            <w:tcBorders>
              <w:top w:val="nil"/>
              <w:left w:val="single" w:sz="4" w:space="0" w:color="auto"/>
              <w:bottom w:val="nil"/>
              <w:right w:val="single" w:sz="4" w:space="0" w:color="000000"/>
            </w:tcBorders>
            <w:shd w:val="clear" w:color="C6D9F0" w:fill="95B3D7"/>
            <w:noWrap/>
            <w:vAlign w:val="center"/>
            <w:hideMark/>
          </w:tcPr>
          <w:p w14:paraId="58C61158" w14:textId="77777777" w:rsidR="007C32C5" w:rsidRPr="007C32C5" w:rsidRDefault="007C32C5" w:rsidP="007C32C5">
            <w:pP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 xml:space="preserve">         Total</w:t>
            </w:r>
          </w:p>
        </w:tc>
        <w:tc>
          <w:tcPr>
            <w:tcW w:w="1182" w:type="dxa"/>
            <w:tcBorders>
              <w:top w:val="nil"/>
              <w:left w:val="nil"/>
              <w:bottom w:val="nil"/>
              <w:right w:val="single" w:sz="4" w:space="0" w:color="000000"/>
            </w:tcBorders>
            <w:shd w:val="clear" w:color="C6D9F0" w:fill="95B3D7"/>
            <w:noWrap/>
            <w:vAlign w:val="center"/>
            <w:hideMark/>
          </w:tcPr>
          <w:p w14:paraId="41943EC0"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4,39,35,708</w:t>
            </w:r>
          </w:p>
        </w:tc>
        <w:tc>
          <w:tcPr>
            <w:tcW w:w="1388" w:type="dxa"/>
            <w:tcBorders>
              <w:top w:val="nil"/>
              <w:left w:val="nil"/>
              <w:bottom w:val="nil"/>
              <w:right w:val="single" w:sz="4" w:space="0" w:color="000000"/>
            </w:tcBorders>
            <w:shd w:val="clear" w:color="C6D9F0" w:fill="95B3D7"/>
            <w:noWrap/>
            <w:vAlign w:val="center"/>
            <w:hideMark/>
          </w:tcPr>
          <w:p w14:paraId="6F382729"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3,94,29,369</w:t>
            </w:r>
          </w:p>
        </w:tc>
        <w:tc>
          <w:tcPr>
            <w:tcW w:w="1111" w:type="dxa"/>
            <w:tcBorders>
              <w:top w:val="nil"/>
              <w:left w:val="nil"/>
              <w:bottom w:val="nil"/>
              <w:right w:val="nil"/>
            </w:tcBorders>
            <w:shd w:val="clear" w:color="000000" w:fill="95B3D7"/>
            <w:noWrap/>
            <w:vAlign w:val="center"/>
            <w:hideMark/>
          </w:tcPr>
          <w:p w14:paraId="584340CF"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-10.3</w:t>
            </w:r>
          </w:p>
        </w:tc>
        <w:tc>
          <w:tcPr>
            <w:tcW w:w="1340" w:type="dxa"/>
            <w:tcBorders>
              <w:top w:val="single" w:sz="4" w:space="0" w:color="000000"/>
              <w:left w:val="nil"/>
              <w:bottom w:val="nil"/>
              <w:right w:val="single" w:sz="4" w:space="0" w:color="000000"/>
            </w:tcBorders>
            <w:shd w:val="clear" w:color="C6D9F0" w:fill="95B3D7"/>
            <w:noWrap/>
            <w:vAlign w:val="center"/>
            <w:hideMark/>
          </w:tcPr>
          <w:p w14:paraId="271A3B37"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6,02,513</w:t>
            </w:r>
          </w:p>
        </w:tc>
        <w:tc>
          <w:tcPr>
            <w:tcW w:w="1340" w:type="dxa"/>
            <w:tcBorders>
              <w:top w:val="single" w:sz="4" w:space="0" w:color="000000"/>
              <w:left w:val="nil"/>
              <w:bottom w:val="nil"/>
              <w:right w:val="single" w:sz="4" w:space="0" w:color="000000"/>
            </w:tcBorders>
            <w:shd w:val="clear" w:color="C6D9F0" w:fill="95B3D7"/>
            <w:noWrap/>
            <w:vAlign w:val="center"/>
            <w:hideMark/>
          </w:tcPr>
          <w:p w14:paraId="345E63AE"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18,48,117</w:t>
            </w:r>
          </w:p>
        </w:tc>
        <w:tc>
          <w:tcPr>
            <w:tcW w:w="1480" w:type="dxa"/>
            <w:tcBorders>
              <w:top w:val="nil"/>
              <w:left w:val="nil"/>
              <w:bottom w:val="nil"/>
              <w:right w:val="single" w:sz="4" w:space="0" w:color="000000"/>
            </w:tcBorders>
            <w:shd w:val="clear" w:color="C6D9F0" w:fill="95B3D7"/>
            <w:noWrap/>
            <w:vAlign w:val="center"/>
            <w:hideMark/>
          </w:tcPr>
          <w:p w14:paraId="2422D49E"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206.7</w:t>
            </w:r>
          </w:p>
        </w:tc>
      </w:tr>
      <w:tr w:rsidR="007C32C5" w:rsidRPr="007C32C5" w14:paraId="38544E16" w14:textId="77777777" w:rsidTr="005A4D17">
        <w:trPr>
          <w:trHeight w:val="255"/>
        </w:trPr>
        <w:tc>
          <w:tcPr>
            <w:tcW w:w="9801" w:type="dxa"/>
            <w:gridSpan w:val="7"/>
            <w:tcBorders>
              <w:top w:val="single" w:sz="4" w:space="0" w:color="auto"/>
              <w:left w:val="single" w:sz="4" w:space="0" w:color="auto"/>
              <w:bottom w:val="single" w:sz="4" w:space="0" w:color="auto"/>
              <w:right w:val="single" w:sz="4" w:space="0" w:color="000000"/>
            </w:tcBorders>
            <w:shd w:val="clear" w:color="FFFFCC" w:fill="FFFFCC"/>
            <w:vAlign w:val="center"/>
            <w:hideMark/>
          </w:tcPr>
          <w:p w14:paraId="21A0FE9B" w14:textId="77777777" w:rsidR="007C32C5" w:rsidRPr="007C32C5" w:rsidRDefault="007C32C5" w:rsidP="007C32C5">
            <w:pP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 xml:space="preserve">B. No. of Contracts </w:t>
            </w:r>
          </w:p>
        </w:tc>
      </w:tr>
      <w:tr w:rsidR="007C32C5" w:rsidRPr="007C32C5" w14:paraId="2C91D83E" w14:textId="77777777" w:rsidTr="005A4D17">
        <w:trPr>
          <w:trHeight w:val="255"/>
        </w:trPr>
        <w:tc>
          <w:tcPr>
            <w:tcW w:w="1960" w:type="dxa"/>
            <w:tcBorders>
              <w:top w:val="nil"/>
              <w:left w:val="nil"/>
              <w:bottom w:val="nil"/>
              <w:right w:val="nil"/>
            </w:tcBorders>
            <w:shd w:val="clear" w:color="C6D9F0" w:fill="C6D9F0"/>
            <w:noWrap/>
            <w:vAlign w:val="center"/>
            <w:hideMark/>
          </w:tcPr>
          <w:p w14:paraId="15446A4D"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xml:space="preserve">   (i) Index  Futures</w:t>
            </w:r>
          </w:p>
        </w:tc>
        <w:tc>
          <w:tcPr>
            <w:tcW w:w="1182" w:type="dxa"/>
            <w:tcBorders>
              <w:top w:val="single" w:sz="4" w:space="0" w:color="auto"/>
              <w:left w:val="single" w:sz="4" w:space="0" w:color="auto"/>
              <w:bottom w:val="nil"/>
              <w:right w:val="single" w:sz="4" w:space="0" w:color="auto"/>
            </w:tcBorders>
            <w:shd w:val="clear" w:color="auto" w:fill="auto"/>
            <w:noWrap/>
            <w:vAlign w:val="center"/>
            <w:hideMark/>
          </w:tcPr>
          <w:p w14:paraId="7CAECA4F"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1,17,72,248</w:t>
            </w:r>
          </w:p>
        </w:tc>
        <w:tc>
          <w:tcPr>
            <w:tcW w:w="1388" w:type="dxa"/>
            <w:tcBorders>
              <w:top w:val="single" w:sz="4" w:space="0" w:color="auto"/>
              <w:left w:val="nil"/>
              <w:bottom w:val="nil"/>
              <w:right w:val="single" w:sz="4" w:space="0" w:color="auto"/>
            </w:tcBorders>
            <w:shd w:val="clear" w:color="auto" w:fill="auto"/>
            <w:noWrap/>
            <w:vAlign w:val="center"/>
            <w:hideMark/>
          </w:tcPr>
          <w:p w14:paraId="58943DB2"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92,11,071</w:t>
            </w:r>
          </w:p>
        </w:tc>
        <w:tc>
          <w:tcPr>
            <w:tcW w:w="1111" w:type="dxa"/>
            <w:tcBorders>
              <w:top w:val="single" w:sz="4" w:space="0" w:color="auto"/>
              <w:left w:val="nil"/>
              <w:bottom w:val="nil"/>
              <w:right w:val="single" w:sz="4" w:space="0" w:color="auto"/>
            </w:tcBorders>
            <w:shd w:val="clear" w:color="auto" w:fill="auto"/>
            <w:noWrap/>
            <w:vAlign w:val="center"/>
            <w:hideMark/>
          </w:tcPr>
          <w:p w14:paraId="4A0FBF63"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-21.8</w:t>
            </w:r>
          </w:p>
        </w:tc>
        <w:tc>
          <w:tcPr>
            <w:tcW w:w="1340" w:type="dxa"/>
            <w:tcBorders>
              <w:top w:val="single" w:sz="4" w:space="0" w:color="auto"/>
              <w:left w:val="nil"/>
              <w:bottom w:val="nil"/>
              <w:right w:val="single" w:sz="4" w:space="0" w:color="auto"/>
            </w:tcBorders>
            <w:shd w:val="clear" w:color="auto" w:fill="auto"/>
            <w:noWrap/>
            <w:vAlign w:val="center"/>
            <w:hideMark/>
          </w:tcPr>
          <w:p w14:paraId="592E1E1E"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7,735</w:t>
            </w:r>
          </w:p>
        </w:tc>
        <w:tc>
          <w:tcPr>
            <w:tcW w:w="1340" w:type="dxa"/>
            <w:tcBorders>
              <w:top w:val="single" w:sz="4" w:space="0" w:color="auto"/>
              <w:left w:val="nil"/>
              <w:bottom w:val="nil"/>
              <w:right w:val="nil"/>
            </w:tcBorders>
            <w:shd w:val="clear" w:color="auto" w:fill="auto"/>
            <w:noWrap/>
            <w:vAlign w:val="center"/>
            <w:hideMark/>
          </w:tcPr>
          <w:p w14:paraId="594646FA"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6,025</w:t>
            </w:r>
          </w:p>
        </w:tc>
        <w:tc>
          <w:tcPr>
            <w:tcW w:w="1480" w:type="dxa"/>
            <w:tcBorders>
              <w:top w:val="single" w:sz="4" w:space="0" w:color="auto"/>
              <w:left w:val="single" w:sz="4" w:space="0" w:color="auto"/>
              <w:bottom w:val="nil"/>
              <w:right w:val="single" w:sz="4" w:space="0" w:color="auto"/>
            </w:tcBorders>
            <w:shd w:val="clear" w:color="auto" w:fill="auto"/>
            <w:noWrap/>
            <w:vAlign w:val="center"/>
            <w:hideMark/>
          </w:tcPr>
          <w:p w14:paraId="781DDC1A"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-22.1</w:t>
            </w:r>
          </w:p>
        </w:tc>
      </w:tr>
      <w:tr w:rsidR="007C32C5" w:rsidRPr="007C32C5" w14:paraId="3724DEC5" w14:textId="77777777" w:rsidTr="005A4D17">
        <w:trPr>
          <w:trHeight w:val="255"/>
        </w:trPr>
        <w:tc>
          <w:tcPr>
            <w:tcW w:w="1960" w:type="dxa"/>
            <w:tcBorders>
              <w:top w:val="nil"/>
              <w:left w:val="nil"/>
              <w:bottom w:val="nil"/>
              <w:right w:val="nil"/>
            </w:tcBorders>
            <w:shd w:val="clear" w:color="C6D9F0" w:fill="C6D9F0"/>
            <w:noWrap/>
            <w:vAlign w:val="center"/>
            <w:hideMark/>
          </w:tcPr>
          <w:p w14:paraId="722193AB"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xml:space="preserve">   (ii) Options on Index</w:t>
            </w:r>
          </w:p>
        </w:tc>
        <w:tc>
          <w:tcPr>
            <w:tcW w:w="1182" w:type="dxa"/>
            <w:tcBorders>
              <w:top w:val="nil"/>
              <w:left w:val="single" w:sz="4" w:space="0" w:color="auto"/>
              <w:bottom w:val="nil"/>
              <w:right w:val="single" w:sz="4" w:space="0" w:color="auto"/>
            </w:tcBorders>
            <w:shd w:val="clear" w:color="auto" w:fill="auto"/>
            <w:noWrap/>
            <w:vAlign w:val="center"/>
            <w:hideMark/>
          </w:tcPr>
          <w:p w14:paraId="0D2AFC76"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88" w:type="dxa"/>
            <w:tcBorders>
              <w:top w:val="nil"/>
              <w:left w:val="nil"/>
              <w:bottom w:val="nil"/>
              <w:right w:val="single" w:sz="4" w:space="0" w:color="auto"/>
            </w:tcBorders>
            <w:shd w:val="clear" w:color="auto" w:fill="auto"/>
            <w:noWrap/>
            <w:vAlign w:val="center"/>
            <w:hideMark/>
          </w:tcPr>
          <w:p w14:paraId="4523FFBA"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111" w:type="dxa"/>
            <w:tcBorders>
              <w:top w:val="nil"/>
              <w:left w:val="nil"/>
              <w:bottom w:val="nil"/>
              <w:right w:val="single" w:sz="4" w:space="0" w:color="auto"/>
            </w:tcBorders>
            <w:shd w:val="clear" w:color="auto" w:fill="auto"/>
            <w:noWrap/>
            <w:vAlign w:val="center"/>
            <w:hideMark/>
          </w:tcPr>
          <w:p w14:paraId="111659A4"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single" w:sz="4" w:space="0" w:color="auto"/>
            </w:tcBorders>
            <w:shd w:val="clear" w:color="auto" w:fill="auto"/>
            <w:noWrap/>
            <w:vAlign w:val="center"/>
            <w:hideMark/>
          </w:tcPr>
          <w:p w14:paraId="21799E9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nil"/>
            </w:tcBorders>
            <w:shd w:val="clear" w:color="auto" w:fill="auto"/>
            <w:noWrap/>
            <w:vAlign w:val="center"/>
            <w:hideMark/>
          </w:tcPr>
          <w:p w14:paraId="51C6525C"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480" w:type="dxa"/>
            <w:tcBorders>
              <w:top w:val="nil"/>
              <w:left w:val="single" w:sz="4" w:space="0" w:color="auto"/>
              <w:bottom w:val="nil"/>
              <w:right w:val="single" w:sz="4" w:space="0" w:color="auto"/>
            </w:tcBorders>
            <w:shd w:val="clear" w:color="auto" w:fill="auto"/>
            <w:noWrap/>
            <w:vAlign w:val="center"/>
            <w:hideMark/>
          </w:tcPr>
          <w:p w14:paraId="40527A26"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 </w:t>
            </w:r>
          </w:p>
        </w:tc>
      </w:tr>
      <w:tr w:rsidR="007C32C5" w:rsidRPr="007C32C5" w14:paraId="2E0BD82A" w14:textId="77777777" w:rsidTr="005A4D17">
        <w:trPr>
          <w:trHeight w:val="255"/>
        </w:trPr>
        <w:tc>
          <w:tcPr>
            <w:tcW w:w="1960" w:type="dxa"/>
            <w:tcBorders>
              <w:top w:val="nil"/>
              <w:left w:val="single" w:sz="4" w:space="0" w:color="000000"/>
              <w:bottom w:val="nil"/>
              <w:right w:val="nil"/>
            </w:tcBorders>
            <w:shd w:val="clear" w:color="C6D9F0" w:fill="C6D9F0"/>
            <w:noWrap/>
            <w:vAlign w:val="center"/>
            <w:hideMark/>
          </w:tcPr>
          <w:p w14:paraId="1C82F2AD"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Put</w:t>
            </w:r>
          </w:p>
        </w:tc>
        <w:tc>
          <w:tcPr>
            <w:tcW w:w="1182" w:type="dxa"/>
            <w:tcBorders>
              <w:top w:val="nil"/>
              <w:left w:val="single" w:sz="4" w:space="0" w:color="auto"/>
              <w:bottom w:val="nil"/>
              <w:right w:val="single" w:sz="4" w:space="0" w:color="auto"/>
            </w:tcBorders>
            <w:shd w:val="clear" w:color="auto" w:fill="auto"/>
            <w:noWrap/>
            <w:vAlign w:val="center"/>
            <w:hideMark/>
          </w:tcPr>
          <w:p w14:paraId="66A498C8"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30,65,66,670</w:t>
            </w:r>
          </w:p>
        </w:tc>
        <w:tc>
          <w:tcPr>
            <w:tcW w:w="1388" w:type="dxa"/>
            <w:tcBorders>
              <w:top w:val="nil"/>
              <w:left w:val="nil"/>
              <w:bottom w:val="nil"/>
              <w:right w:val="single" w:sz="4" w:space="0" w:color="auto"/>
            </w:tcBorders>
            <w:shd w:val="clear" w:color="auto" w:fill="auto"/>
            <w:noWrap/>
            <w:vAlign w:val="center"/>
            <w:hideMark/>
          </w:tcPr>
          <w:p w14:paraId="53862ADD"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24,87,76,124</w:t>
            </w:r>
          </w:p>
        </w:tc>
        <w:tc>
          <w:tcPr>
            <w:tcW w:w="1111" w:type="dxa"/>
            <w:tcBorders>
              <w:top w:val="nil"/>
              <w:left w:val="nil"/>
              <w:bottom w:val="nil"/>
              <w:right w:val="single" w:sz="4" w:space="0" w:color="auto"/>
            </w:tcBorders>
            <w:shd w:val="clear" w:color="auto" w:fill="auto"/>
            <w:noWrap/>
            <w:vAlign w:val="center"/>
            <w:hideMark/>
          </w:tcPr>
          <w:p w14:paraId="5D2743F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-18.9</w:t>
            </w:r>
          </w:p>
        </w:tc>
        <w:tc>
          <w:tcPr>
            <w:tcW w:w="1340" w:type="dxa"/>
            <w:tcBorders>
              <w:top w:val="nil"/>
              <w:left w:val="nil"/>
              <w:bottom w:val="nil"/>
              <w:right w:val="single" w:sz="4" w:space="0" w:color="auto"/>
            </w:tcBorders>
            <w:shd w:val="clear" w:color="auto" w:fill="auto"/>
            <w:noWrap/>
            <w:vAlign w:val="center"/>
            <w:hideMark/>
          </w:tcPr>
          <w:p w14:paraId="46663E5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38,93,948</w:t>
            </w:r>
          </w:p>
        </w:tc>
        <w:tc>
          <w:tcPr>
            <w:tcW w:w="1340" w:type="dxa"/>
            <w:tcBorders>
              <w:top w:val="nil"/>
              <w:left w:val="nil"/>
              <w:bottom w:val="nil"/>
              <w:right w:val="nil"/>
            </w:tcBorders>
            <w:shd w:val="clear" w:color="auto" w:fill="auto"/>
            <w:noWrap/>
            <w:vAlign w:val="center"/>
            <w:hideMark/>
          </w:tcPr>
          <w:p w14:paraId="5B72FFAD"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1,03,61,093</w:t>
            </w:r>
          </w:p>
        </w:tc>
        <w:tc>
          <w:tcPr>
            <w:tcW w:w="1480" w:type="dxa"/>
            <w:tcBorders>
              <w:top w:val="nil"/>
              <w:left w:val="single" w:sz="4" w:space="0" w:color="auto"/>
              <w:bottom w:val="nil"/>
              <w:right w:val="single" w:sz="4" w:space="0" w:color="auto"/>
            </w:tcBorders>
            <w:shd w:val="clear" w:color="auto" w:fill="auto"/>
            <w:noWrap/>
            <w:vAlign w:val="center"/>
            <w:hideMark/>
          </w:tcPr>
          <w:p w14:paraId="65C768C9"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166.1</w:t>
            </w:r>
          </w:p>
        </w:tc>
      </w:tr>
      <w:tr w:rsidR="007C32C5" w:rsidRPr="007C32C5" w14:paraId="177FD9E9" w14:textId="77777777" w:rsidTr="005A4D17">
        <w:trPr>
          <w:trHeight w:val="255"/>
        </w:trPr>
        <w:tc>
          <w:tcPr>
            <w:tcW w:w="1960" w:type="dxa"/>
            <w:tcBorders>
              <w:top w:val="nil"/>
              <w:left w:val="single" w:sz="4" w:space="0" w:color="000000"/>
              <w:bottom w:val="nil"/>
              <w:right w:val="nil"/>
            </w:tcBorders>
            <w:shd w:val="clear" w:color="C6D9F0" w:fill="C6D9F0"/>
            <w:noWrap/>
            <w:vAlign w:val="center"/>
            <w:hideMark/>
          </w:tcPr>
          <w:p w14:paraId="17708160"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Call</w:t>
            </w:r>
          </w:p>
        </w:tc>
        <w:tc>
          <w:tcPr>
            <w:tcW w:w="1182" w:type="dxa"/>
            <w:tcBorders>
              <w:top w:val="nil"/>
              <w:left w:val="single" w:sz="4" w:space="0" w:color="auto"/>
              <w:bottom w:val="nil"/>
              <w:right w:val="single" w:sz="4" w:space="0" w:color="auto"/>
            </w:tcBorders>
            <w:shd w:val="clear" w:color="auto" w:fill="auto"/>
            <w:noWrap/>
            <w:vAlign w:val="center"/>
            <w:hideMark/>
          </w:tcPr>
          <w:p w14:paraId="5220099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35,23,53,120</w:t>
            </w:r>
          </w:p>
        </w:tc>
        <w:tc>
          <w:tcPr>
            <w:tcW w:w="1388" w:type="dxa"/>
            <w:tcBorders>
              <w:top w:val="nil"/>
              <w:left w:val="nil"/>
              <w:bottom w:val="nil"/>
              <w:right w:val="single" w:sz="4" w:space="0" w:color="auto"/>
            </w:tcBorders>
            <w:shd w:val="clear" w:color="auto" w:fill="auto"/>
            <w:noWrap/>
            <w:vAlign w:val="center"/>
            <w:hideMark/>
          </w:tcPr>
          <w:p w14:paraId="321D4EF5"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27,29,55,256</w:t>
            </w:r>
          </w:p>
        </w:tc>
        <w:tc>
          <w:tcPr>
            <w:tcW w:w="1111" w:type="dxa"/>
            <w:tcBorders>
              <w:top w:val="nil"/>
              <w:left w:val="nil"/>
              <w:bottom w:val="nil"/>
              <w:right w:val="single" w:sz="4" w:space="0" w:color="auto"/>
            </w:tcBorders>
            <w:shd w:val="clear" w:color="auto" w:fill="auto"/>
            <w:noWrap/>
            <w:vAlign w:val="center"/>
            <w:hideMark/>
          </w:tcPr>
          <w:p w14:paraId="296AEA11"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-22.5</w:t>
            </w:r>
          </w:p>
        </w:tc>
        <w:tc>
          <w:tcPr>
            <w:tcW w:w="1340" w:type="dxa"/>
            <w:tcBorders>
              <w:top w:val="nil"/>
              <w:left w:val="nil"/>
              <w:bottom w:val="nil"/>
              <w:right w:val="single" w:sz="4" w:space="0" w:color="auto"/>
            </w:tcBorders>
            <w:shd w:val="clear" w:color="auto" w:fill="auto"/>
            <w:noWrap/>
            <w:vAlign w:val="center"/>
            <w:hideMark/>
          </w:tcPr>
          <w:p w14:paraId="05A25895"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32,56,827</w:t>
            </w:r>
          </w:p>
        </w:tc>
        <w:tc>
          <w:tcPr>
            <w:tcW w:w="1340" w:type="dxa"/>
            <w:tcBorders>
              <w:top w:val="nil"/>
              <w:left w:val="nil"/>
              <w:bottom w:val="nil"/>
              <w:right w:val="nil"/>
            </w:tcBorders>
            <w:shd w:val="clear" w:color="auto" w:fill="auto"/>
            <w:noWrap/>
            <w:vAlign w:val="center"/>
            <w:hideMark/>
          </w:tcPr>
          <w:p w14:paraId="402D0DC4"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1,10,23,986</w:t>
            </w:r>
          </w:p>
        </w:tc>
        <w:tc>
          <w:tcPr>
            <w:tcW w:w="1480" w:type="dxa"/>
            <w:tcBorders>
              <w:top w:val="nil"/>
              <w:left w:val="single" w:sz="4" w:space="0" w:color="auto"/>
              <w:bottom w:val="nil"/>
              <w:right w:val="single" w:sz="4" w:space="0" w:color="auto"/>
            </w:tcBorders>
            <w:shd w:val="clear" w:color="auto" w:fill="auto"/>
            <w:noWrap/>
            <w:vAlign w:val="center"/>
            <w:hideMark/>
          </w:tcPr>
          <w:p w14:paraId="1B75F68A"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238.5</w:t>
            </w:r>
          </w:p>
        </w:tc>
      </w:tr>
      <w:tr w:rsidR="007C32C5" w:rsidRPr="007C32C5" w14:paraId="67A8F892" w14:textId="77777777" w:rsidTr="005A4D17">
        <w:trPr>
          <w:trHeight w:val="255"/>
        </w:trPr>
        <w:tc>
          <w:tcPr>
            <w:tcW w:w="1960" w:type="dxa"/>
            <w:tcBorders>
              <w:top w:val="nil"/>
              <w:left w:val="single" w:sz="4" w:space="0" w:color="000000"/>
              <w:bottom w:val="nil"/>
              <w:right w:val="nil"/>
            </w:tcBorders>
            <w:shd w:val="clear" w:color="C6D9F0" w:fill="C6D9F0"/>
            <w:noWrap/>
            <w:vAlign w:val="center"/>
            <w:hideMark/>
          </w:tcPr>
          <w:p w14:paraId="1ED787F4"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xml:space="preserve">  (iii) Stock Futures</w:t>
            </w:r>
          </w:p>
        </w:tc>
        <w:tc>
          <w:tcPr>
            <w:tcW w:w="1182" w:type="dxa"/>
            <w:tcBorders>
              <w:top w:val="nil"/>
              <w:left w:val="single" w:sz="4" w:space="0" w:color="auto"/>
              <w:bottom w:val="nil"/>
              <w:right w:val="single" w:sz="4" w:space="0" w:color="auto"/>
            </w:tcBorders>
            <w:shd w:val="clear" w:color="auto" w:fill="auto"/>
            <w:noWrap/>
            <w:vAlign w:val="center"/>
            <w:hideMark/>
          </w:tcPr>
          <w:p w14:paraId="4D8759F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2,27,10,216</w:t>
            </w:r>
          </w:p>
        </w:tc>
        <w:tc>
          <w:tcPr>
            <w:tcW w:w="1388" w:type="dxa"/>
            <w:tcBorders>
              <w:top w:val="nil"/>
              <w:left w:val="nil"/>
              <w:bottom w:val="nil"/>
              <w:right w:val="single" w:sz="4" w:space="0" w:color="auto"/>
            </w:tcBorders>
            <w:shd w:val="clear" w:color="auto" w:fill="auto"/>
            <w:noWrap/>
            <w:vAlign w:val="center"/>
            <w:hideMark/>
          </w:tcPr>
          <w:p w14:paraId="5C93D0D1"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2,05,82,172</w:t>
            </w:r>
          </w:p>
        </w:tc>
        <w:tc>
          <w:tcPr>
            <w:tcW w:w="1111" w:type="dxa"/>
            <w:tcBorders>
              <w:top w:val="nil"/>
              <w:left w:val="nil"/>
              <w:bottom w:val="nil"/>
              <w:right w:val="single" w:sz="4" w:space="0" w:color="auto"/>
            </w:tcBorders>
            <w:shd w:val="clear" w:color="auto" w:fill="auto"/>
            <w:noWrap/>
            <w:vAlign w:val="center"/>
            <w:hideMark/>
          </w:tcPr>
          <w:p w14:paraId="2DBECB93"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-9.4</w:t>
            </w:r>
          </w:p>
        </w:tc>
        <w:tc>
          <w:tcPr>
            <w:tcW w:w="1340" w:type="dxa"/>
            <w:tcBorders>
              <w:top w:val="nil"/>
              <w:left w:val="nil"/>
              <w:bottom w:val="nil"/>
              <w:right w:val="single" w:sz="4" w:space="0" w:color="auto"/>
            </w:tcBorders>
            <w:shd w:val="clear" w:color="auto" w:fill="auto"/>
            <w:noWrap/>
            <w:vAlign w:val="center"/>
            <w:hideMark/>
          </w:tcPr>
          <w:p w14:paraId="0B94A49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340" w:type="dxa"/>
            <w:tcBorders>
              <w:top w:val="nil"/>
              <w:left w:val="nil"/>
              <w:bottom w:val="nil"/>
              <w:right w:val="nil"/>
            </w:tcBorders>
            <w:shd w:val="clear" w:color="auto" w:fill="auto"/>
            <w:noWrap/>
            <w:vAlign w:val="center"/>
            <w:hideMark/>
          </w:tcPr>
          <w:p w14:paraId="607AF4B1"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480" w:type="dxa"/>
            <w:tcBorders>
              <w:top w:val="nil"/>
              <w:left w:val="single" w:sz="4" w:space="0" w:color="auto"/>
              <w:bottom w:val="nil"/>
              <w:right w:val="single" w:sz="4" w:space="0" w:color="auto"/>
            </w:tcBorders>
            <w:shd w:val="clear" w:color="auto" w:fill="auto"/>
            <w:noWrap/>
            <w:vAlign w:val="center"/>
            <w:hideMark/>
          </w:tcPr>
          <w:p w14:paraId="680A2136"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0.0</w:t>
            </w:r>
          </w:p>
        </w:tc>
      </w:tr>
      <w:tr w:rsidR="007C32C5" w:rsidRPr="007C32C5" w14:paraId="1325A2B7" w14:textId="77777777" w:rsidTr="005A4D17">
        <w:trPr>
          <w:trHeight w:val="255"/>
        </w:trPr>
        <w:tc>
          <w:tcPr>
            <w:tcW w:w="1960" w:type="dxa"/>
            <w:tcBorders>
              <w:top w:val="nil"/>
              <w:left w:val="single" w:sz="4" w:space="0" w:color="000000"/>
              <w:bottom w:val="nil"/>
              <w:right w:val="nil"/>
            </w:tcBorders>
            <w:shd w:val="clear" w:color="C6D9F0" w:fill="C6D9F0"/>
            <w:noWrap/>
            <w:vAlign w:val="center"/>
            <w:hideMark/>
          </w:tcPr>
          <w:p w14:paraId="5854DEB7"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(iv) Options on Stock</w:t>
            </w:r>
          </w:p>
        </w:tc>
        <w:tc>
          <w:tcPr>
            <w:tcW w:w="1182" w:type="dxa"/>
            <w:tcBorders>
              <w:top w:val="nil"/>
              <w:left w:val="single" w:sz="4" w:space="0" w:color="auto"/>
              <w:bottom w:val="nil"/>
              <w:right w:val="single" w:sz="4" w:space="0" w:color="auto"/>
            </w:tcBorders>
            <w:shd w:val="clear" w:color="auto" w:fill="auto"/>
            <w:noWrap/>
            <w:vAlign w:val="center"/>
            <w:hideMark/>
          </w:tcPr>
          <w:p w14:paraId="4AF0FEFA"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88" w:type="dxa"/>
            <w:tcBorders>
              <w:top w:val="nil"/>
              <w:left w:val="nil"/>
              <w:bottom w:val="nil"/>
              <w:right w:val="single" w:sz="4" w:space="0" w:color="auto"/>
            </w:tcBorders>
            <w:shd w:val="clear" w:color="auto" w:fill="auto"/>
            <w:noWrap/>
            <w:vAlign w:val="center"/>
            <w:hideMark/>
          </w:tcPr>
          <w:p w14:paraId="1A729743"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111" w:type="dxa"/>
            <w:tcBorders>
              <w:top w:val="nil"/>
              <w:left w:val="nil"/>
              <w:bottom w:val="nil"/>
              <w:right w:val="single" w:sz="4" w:space="0" w:color="auto"/>
            </w:tcBorders>
            <w:shd w:val="clear" w:color="auto" w:fill="auto"/>
            <w:noWrap/>
            <w:vAlign w:val="center"/>
            <w:hideMark/>
          </w:tcPr>
          <w:p w14:paraId="3921A208"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single" w:sz="4" w:space="0" w:color="auto"/>
            </w:tcBorders>
            <w:shd w:val="clear" w:color="auto" w:fill="auto"/>
            <w:noWrap/>
            <w:vAlign w:val="center"/>
            <w:hideMark/>
          </w:tcPr>
          <w:p w14:paraId="5A51EBB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nil"/>
            </w:tcBorders>
            <w:shd w:val="clear" w:color="auto" w:fill="auto"/>
            <w:noWrap/>
            <w:vAlign w:val="center"/>
            <w:hideMark/>
          </w:tcPr>
          <w:p w14:paraId="13CBB68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480" w:type="dxa"/>
            <w:tcBorders>
              <w:top w:val="nil"/>
              <w:left w:val="single" w:sz="4" w:space="0" w:color="auto"/>
              <w:bottom w:val="nil"/>
              <w:right w:val="single" w:sz="4" w:space="0" w:color="auto"/>
            </w:tcBorders>
            <w:shd w:val="clear" w:color="auto" w:fill="auto"/>
            <w:noWrap/>
            <w:vAlign w:val="center"/>
            <w:hideMark/>
          </w:tcPr>
          <w:p w14:paraId="092608A0"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 </w:t>
            </w:r>
          </w:p>
        </w:tc>
      </w:tr>
      <w:tr w:rsidR="007C32C5" w:rsidRPr="007C32C5" w14:paraId="7EF2E0E4" w14:textId="77777777" w:rsidTr="005A4D17">
        <w:trPr>
          <w:trHeight w:val="255"/>
        </w:trPr>
        <w:tc>
          <w:tcPr>
            <w:tcW w:w="1960" w:type="dxa"/>
            <w:tcBorders>
              <w:top w:val="nil"/>
              <w:left w:val="single" w:sz="4" w:space="0" w:color="000000"/>
              <w:bottom w:val="nil"/>
              <w:right w:val="nil"/>
            </w:tcBorders>
            <w:shd w:val="clear" w:color="C6D9F0" w:fill="C6D9F0"/>
            <w:noWrap/>
            <w:vAlign w:val="center"/>
            <w:hideMark/>
          </w:tcPr>
          <w:p w14:paraId="25E00FFD"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Put</w:t>
            </w:r>
          </w:p>
        </w:tc>
        <w:tc>
          <w:tcPr>
            <w:tcW w:w="1182" w:type="dxa"/>
            <w:tcBorders>
              <w:top w:val="nil"/>
              <w:left w:val="single" w:sz="4" w:space="0" w:color="auto"/>
              <w:bottom w:val="nil"/>
              <w:right w:val="single" w:sz="4" w:space="0" w:color="auto"/>
            </w:tcBorders>
            <w:shd w:val="clear" w:color="auto" w:fill="auto"/>
            <w:noWrap/>
            <w:vAlign w:val="center"/>
            <w:hideMark/>
          </w:tcPr>
          <w:p w14:paraId="1FD217A8"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89,56,614</w:t>
            </w:r>
          </w:p>
        </w:tc>
        <w:tc>
          <w:tcPr>
            <w:tcW w:w="1388" w:type="dxa"/>
            <w:tcBorders>
              <w:top w:val="nil"/>
              <w:left w:val="nil"/>
              <w:bottom w:val="nil"/>
              <w:right w:val="single" w:sz="4" w:space="0" w:color="auto"/>
            </w:tcBorders>
            <w:shd w:val="clear" w:color="auto" w:fill="auto"/>
            <w:noWrap/>
            <w:vAlign w:val="center"/>
            <w:hideMark/>
          </w:tcPr>
          <w:p w14:paraId="59E24B1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81,10,037</w:t>
            </w:r>
          </w:p>
        </w:tc>
        <w:tc>
          <w:tcPr>
            <w:tcW w:w="1111" w:type="dxa"/>
            <w:tcBorders>
              <w:top w:val="nil"/>
              <w:left w:val="nil"/>
              <w:bottom w:val="nil"/>
              <w:right w:val="single" w:sz="4" w:space="0" w:color="auto"/>
            </w:tcBorders>
            <w:shd w:val="clear" w:color="auto" w:fill="auto"/>
            <w:noWrap/>
            <w:vAlign w:val="center"/>
            <w:hideMark/>
          </w:tcPr>
          <w:p w14:paraId="5967A0FF"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-9.5</w:t>
            </w:r>
          </w:p>
        </w:tc>
        <w:tc>
          <w:tcPr>
            <w:tcW w:w="1340" w:type="dxa"/>
            <w:tcBorders>
              <w:top w:val="nil"/>
              <w:left w:val="nil"/>
              <w:bottom w:val="nil"/>
              <w:right w:val="single" w:sz="4" w:space="0" w:color="auto"/>
            </w:tcBorders>
            <w:shd w:val="clear" w:color="auto" w:fill="auto"/>
            <w:noWrap/>
            <w:vAlign w:val="center"/>
            <w:hideMark/>
          </w:tcPr>
          <w:p w14:paraId="77984933"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340" w:type="dxa"/>
            <w:tcBorders>
              <w:top w:val="nil"/>
              <w:left w:val="nil"/>
              <w:bottom w:val="nil"/>
              <w:right w:val="single" w:sz="4" w:space="0" w:color="auto"/>
            </w:tcBorders>
            <w:shd w:val="clear" w:color="auto" w:fill="auto"/>
            <w:noWrap/>
            <w:vAlign w:val="center"/>
            <w:hideMark/>
          </w:tcPr>
          <w:p w14:paraId="283D1F51"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480" w:type="dxa"/>
            <w:tcBorders>
              <w:top w:val="nil"/>
              <w:left w:val="nil"/>
              <w:bottom w:val="nil"/>
              <w:right w:val="single" w:sz="4" w:space="0" w:color="auto"/>
            </w:tcBorders>
            <w:shd w:val="clear" w:color="auto" w:fill="auto"/>
            <w:noWrap/>
            <w:vAlign w:val="center"/>
            <w:hideMark/>
          </w:tcPr>
          <w:p w14:paraId="4BE72E95"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0.0</w:t>
            </w:r>
          </w:p>
        </w:tc>
      </w:tr>
      <w:tr w:rsidR="007C32C5" w:rsidRPr="007C32C5" w14:paraId="129155D7" w14:textId="77777777" w:rsidTr="005A4D17">
        <w:trPr>
          <w:trHeight w:val="255"/>
        </w:trPr>
        <w:tc>
          <w:tcPr>
            <w:tcW w:w="1960" w:type="dxa"/>
            <w:tcBorders>
              <w:top w:val="nil"/>
              <w:left w:val="single" w:sz="4" w:space="0" w:color="000000"/>
              <w:bottom w:val="single" w:sz="4" w:space="0" w:color="000000"/>
              <w:right w:val="nil"/>
            </w:tcBorders>
            <w:shd w:val="clear" w:color="C6D9F0" w:fill="C6D9F0"/>
            <w:noWrap/>
            <w:vAlign w:val="center"/>
            <w:hideMark/>
          </w:tcPr>
          <w:p w14:paraId="46AA9811"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lastRenderedPageBreak/>
              <w:t xml:space="preserve">          Call</w:t>
            </w:r>
          </w:p>
        </w:tc>
        <w:tc>
          <w:tcPr>
            <w:tcW w:w="1182" w:type="dxa"/>
            <w:tcBorders>
              <w:top w:val="nil"/>
              <w:left w:val="single" w:sz="4" w:space="0" w:color="auto"/>
              <w:bottom w:val="single" w:sz="4" w:space="0" w:color="auto"/>
              <w:right w:val="single" w:sz="4" w:space="0" w:color="auto"/>
            </w:tcBorders>
            <w:shd w:val="clear" w:color="auto" w:fill="auto"/>
            <w:noWrap/>
            <w:vAlign w:val="center"/>
            <w:hideMark/>
          </w:tcPr>
          <w:p w14:paraId="1998AD2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1,88,43,923</w:t>
            </w:r>
          </w:p>
        </w:tc>
        <w:tc>
          <w:tcPr>
            <w:tcW w:w="1388" w:type="dxa"/>
            <w:tcBorders>
              <w:top w:val="nil"/>
              <w:left w:val="nil"/>
              <w:bottom w:val="single" w:sz="4" w:space="0" w:color="auto"/>
              <w:right w:val="single" w:sz="4" w:space="0" w:color="auto"/>
            </w:tcBorders>
            <w:shd w:val="clear" w:color="auto" w:fill="auto"/>
            <w:noWrap/>
            <w:vAlign w:val="center"/>
            <w:hideMark/>
          </w:tcPr>
          <w:p w14:paraId="11377701"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1,75,35,138</w:t>
            </w:r>
          </w:p>
        </w:tc>
        <w:tc>
          <w:tcPr>
            <w:tcW w:w="1111" w:type="dxa"/>
            <w:tcBorders>
              <w:top w:val="nil"/>
              <w:left w:val="nil"/>
              <w:bottom w:val="single" w:sz="4" w:space="0" w:color="auto"/>
              <w:right w:val="single" w:sz="4" w:space="0" w:color="auto"/>
            </w:tcBorders>
            <w:shd w:val="clear" w:color="auto" w:fill="auto"/>
            <w:noWrap/>
            <w:vAlign w:val="center"/>
            <w:hideMark/>
          </w:tcPr>
          <w:p w14:paraId="17DD1FE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-6.9</w:t>
            </w:r>
          </w:p>
        </w:tc>
        <w:tc>
          <w:tcPr>
            <w:tcW w:w="1340" w:type="dxa"/>
            <w:tcBorders>
              <w:top w:val="nil"/>
              <w:left w:val="nil"/>
              <w:bottom w:val="single" w:sz="4" w:space="0" w:color="auto"/>
              <w:right w:val="single" w:sz="4" w:space="0" w:color="auto"/>
            </w:tcBorders>
            <w:shd w:val="clear" w:color="auto" w:fill="auto"/>
            <w:noWrap/>
            <w:vAlign w:val="center"/>
            <w:hideMark/>
          </w:tcPr>
          <w:p w14:paraId="191EBAA4"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14:paraId="4AEADC8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14:paraId="2F19F9CF"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0.0</w:t>
            </w:r>
          </w:p>
        </w:tc>
      </w:tr>
      <w:tr w:rsidR="007C32C5" w:rsidRPr="007C32C5" w14:paraId="3F8FB423" w14:textId="77777777" w:rsidTr="005A4D17">
        <w:trPr>
          <w:trHeight w:val="255"/>
        </w:trPr>
        <w:tc>
          <w:tcPr>
            <w:tcW w:w="1960" w:type="dxa"/>
            <w:tcBorders>
              <w:top w:val="nil"/>
              <w:left w:val="single" w:sz="4" w:space="0" w:color="000000"/>
              <w:bottom w:val="single" w:sz="4" w:space="0" w:color="000000"/>
              <w:right w:val="single" w:sz="4" w:space="0" w:color="000000"/>
            </w:tcBorders>
            <w:shd w:val="clear" w:color="C6D9F0" w:fill="95B3D7"/>
            <w:noWrap/>
            <w:vAlign w:val="center"/>
            <w:hideMark/>
          </w:tcPr>
          <w:p w14:paraId="6C96D233" w14:textId="77777777" w:rsidR="007C32C5" w:rsidRPr="007C32C5" w:rsidRDefault="007C32C5" w:rsidP="007C32C5">
            <w:pP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 xml:space="preserve">         Total</w:t>
            </w:r>
          </w:p>
        </w:tc>
        <w:tc>
          <w:tcPr>
            <w:tcW w:w="1182" w:type="dxa"/>
            <w:tcBorders>
              <w:top w:val="nil"/>
              <w:left w:val="nil"/>
              <w:bottom w:val="single" w:sz="4" w:space="0" w:color="000000"/>
              <w:right w:val="single" w:sz="4" w:space="0" w:color="000000"/>
            </w:tcBorders>
            <w:shd w:val="clear" w:color="C6D9F0" w:fill="95B3D7"/>
            <w:noWrap/>
            <w:vAlign w:val="center"/>
            <w:hideMark/>
          </w:tcPr>
          <w:p w14:paraId="710AD819"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72,12,02,791</w:t>
            </w:r>
          </w:p>
        </w:tc>
        <w:tc>
          <w:tcPr>
            <w:tcW w:w="1388" w:type="dxa"/>
            <w:tcBorders>
              <w:top w:val="nil"/>
              <w:left w:val="nil"/>
              <w:bottom w:val="single" w:sz="4" w:space="0" w:color="000000"/>
              <w:right w:val="single" w:sz="4" w:space="0" w:color="000000"/>
            </w:tcBorders>
            <w:shd w:val="clear" w:color="C6D9F0" w:fill="95B3D7"/>
            <w:noWrap/>
            <w:vAlign w:val="center"/>
            <w:hideMark/>
          </w:tcPr>
          <w:p w14:paraId="481134BD"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57,71,69,798</w:t>
            </w:r>
          </w:p>
        </w:tc>
        <w:tc>
          <w:tcPr>
            <w:tcW w:w="1111" w:type="dxa"/>
            <w:tcBorders>
              <w:top w:val="nil"/>
              <w:left w:val="nil"/>
              <w:bottom w:val="single" w:sz="4" w:space="0" w:color="000000"/>
              <w:right w:val="single" w:sz="4" w:space="0" w:color="000000"/>
            </w:tcBorders>
            <w:shd w:val="clear" w:color="C6D9F0" w:fill="95B3D7"/>
            <w:noWrap/>
            <w:vAlign w:val="center"/>
            <w:hideMark/>
          </w:tcPr>
          <w:p w14:paraId="572101AA"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-20.0</w:t>
            </w:r>
          </w:p>
        </w:tc>
        <w:tc>
          <w:tcPr>
            <w:tcW w:w="1340" w:type="dxa"/>
            <w:tcBorders>
              <w:top w:val="nil"/>
              <w:left w:val="nil"/>
              <w:bottom w:val="single" w:sz="4" w:space="0" w:color="000000"/>
              <w:right w:val="single" w:sz="4" w:space="0" w:color="000000"/>
            </w:tcBorders>
            <w:shd w:val="clear" w:color="C6D9F0" w:fill="95B3D7"/>
            <w:noWrap/>
            <w:vAlign w:val="center"/>
            <w:hideMark/>
          </w:tcPr>
          <w:p w14:paraId="2849A9C8"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71,58,510</w:t>
            </w:r>
          </w:p>
        </w:tc>
        <w:tc>
          <w:tcPr>
            <w:tcW w:w="1340" w:type="dxa"/>
            <w:tcBorders>
              <w:top w:val="nil"/>
              <w:left w:val="nil"/>
              <w:bottom w:val="single" w:sz="4" w:space="0" w:color="000000"/>
              <w:right w:val="nil"/>
            </w:tcBorders>
            <w:shd w:val="clear" w:color="C6D9F0" w:fill="95B3D7"/>
            <w:noWrap/>
            <w:vAlign w:val="center"/>
            <w:hideMark/>
          </w:tcPr>
          <w:p w14:paraId="2D031B06"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2,13,91,104</w:t>
            </w:r>
          </w:p>
        </w:tc>
        <w:tc>
          <w:tcPr>
            <w:tcW w:w="1480" w:type="dxa"/>
            <w:tcBorders>
              <w:top w:val="nil"/>
              <w:left w:val="single" w:sz="4" w:space="0" w:color="auto"/>
              <w:bottom w:val="single" w:sz="4" w:space="0" w:color="auto"/>
              <w:right w:val="single" w:sz="4" w:space="0" w:color="auto"/>
            </w:tcBorders>
            <w:shd w:val="clear" w:color="000000" w:fill="95B3D7"/>
            <w:noWrap/>
            <w:vAlign w:val="center"/>
            <w:hideMark/>
          </w:tcPr>
          <w:p w14:paraId="6B3085F3" w14:textId="77777777" w:rsidR="007C32C5" w:rsidRPr="007C32C5" w:rsidRDefault="007C32C5" w:rsidP="007C32C5">
            <w:pPr>
              <w:jc w:val="right"/>
              <w:rPr>
                <w:rFonts w:ascii="Garamond" w:eastAsia="Times New Roman" w:hAnsi="Garamond"/>
                <w:b/>
                <w:bCs/>
                <w:color w:val="000000"/>
                <w:sz w:val="20"/>
                <w:szCs w:val="20"/>
                <w:lang w:val="en-IN" w:eastAsia="en-IN" w:bidi="hi-IN"/>
              </w:rPr>
            </w:pPr>
            <w:r w:rsidRPr="007C32C5">
              <w:rPr>
                <w:rFonts w:ascii="Garamond" w:eastAsia="Times New Roman" w:hAnsi="Garamond"/>
                <w:b/>
                <w:bCs/>
                <w:color w:val="000000"/>
                <w:sz w:val="20"/>
                <w:szCs w:val="20"/>
                <w:lang w:val="en-IN" w:eastAsia="en-IN" w:bidi="hi-IN"/>
              </w:rPr>
              <w:t>198.8</w:t>
            </w:r>
          </w:p>
        </w:tc>
      </w:tr>
      <w:tr w:rsidR="007C32C5" w:rsidRPr="007C32C5" w14:paraId="6BEBE608" w14:textId="77777777" w:rsidTr="005A4D17">
        <w:trPr>
          <w:trHeight w:val="255"/>
        </w:trPr>
        <w:tc>
          <w:tcPr>
            <w:tcW w:w="9801" w:type="dxa"/>
            <w:gridSpan w:val="7"/>
            <w:tcBorders>
              <w:top w:val="single" w:sz="4" w:space="0" w:color="000000"/>
              <w:left w:val="single" w:sz="4" w:space="0" w:color="000000"/>
              <w:bottom w:val="single" w:sz="4" w:space="0" w:color="000000"/>
              <w:right w:val="single" w:sz="4" w:space="0" w:color="000000"/>
            </w:tcBorders>
            <w:shd w:val="clear" w:color="FFFFCC" w:fill="FFFFCC"/>
            <w:vAlign w:val="center"/>
            <w:hideMark/>
          </w:tcPr>
          <w:p w14:paraId="06FE7C1C" w14:textId="77777777" w:rsidR="007C32C5" w:rsidRPr="007C32C5" w:rsidRDefault="007C32C5" w:rsidP="007C32C5">
            <w:pP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 xml:space="preserve">C.  Open Interest in Terms of Value ( </w:t>
            </w:r>
            <w:r w:rsidRPr="007C32C5">
              <w:rPr>
                <w:rFonts w:ascii="Arial" w:eastAsia="Times New Roman" w:hAnsi="Arial" w:cs="Arial"/>
                <w:b/>
                <w:bCs/>
                <w:sz w:val="20"/>
                <w:szCs w:val="20"/>
                <w:lang w:val="en-IN" w:eastAsia="en-IN" w:bidi="hi-IN"/>
              </w:rPr>
              <w:t>`</w:t>
            </w:r>
            <w:r w:rsidRPr="007C32C5">
              <w:rPr>
                <w:rFonts w:ascii="Garamond" w:eastAsia="Times New Roman" w:hAnsi="Garamond"/>
                <w:b/>
                <w:bCs/>
                <w:sz w:val="20"/>
                <w:szCs w:val="20"/>
                <w:lang w:val="en-IN" w:eastAsia="en-IN" w:bidi="hi-IN"/>
              </w:rPr>
              <w:t xml:space="preserve"> crore)</w:t>
            </w:r>
          </w:p>
        </w:tc>
      </w:tr>
      <w:tr w:rsidR="007C32C5" w:rsidRPr="007C32C5" w14:paraId="38DD6B51" w14:textId="77777777" w:rsidTr="005A4D17">
        <w:trPr>
          <w:trHeight w:val="255"/>
        </w:trPr>
        <w:tc>
          <w:tcPr>
            <w:tcW w:w="1960" w:type="dxa"/>
            <w:tcBorders>
              <w:top w:val="single" w:sz="4" w:space="0" w:color="000000"/>
              <w:left w:val="single" w:sz="4" w:space="0" w:color="000000"/>
              <w:bottom w:val="nil"/>
              <w:right w:val="single" w:sz="4" w:space="0" w:color="000000"/>
            </w:tcBorders>
            <w:shd w:val="clear" w:color="C6D9F0" w:fill="C6D9F0"/>
            <w:noWrap/>
            <w:vAlign w:val="center"/>
            <w:hideMark/>
          </w:tcPr>
          <w:p w14:paraId="53E4B305"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xml:space="preserve">   (i) Index  Futures</w:t>
            </w:r>
          </w:p>
        </w:tc>
        <w:tc>
          <w:tcPr>
            <w:tcW w:w="1182" w:type="dxa"/>
            <w:tcBorders>
              <w:top w:val="single" w:sz="4" w:space="0" w:color="000000"/>
              <w:left w:val="nil"/>
              <w:bottom w:val="nil"/>
              <w:right w:val="single" w:sz="4" w:space="0" w:color="000000"/>
            </w:tcBorders>
            <w:shd w:val="clear" w:color="auto" w:fill="auto"/>
            <w:noWrap/>
            <w:vAlign w:val="center"/>
            <w:hideMark/>
          </w:tcPr>
          <w:p w14:paraId="07B4B93C"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15,295</w:t>
            </w:r>
          </w:p>
        </w:tc>
        <w:tc>
          <w:tcPr>
            <w:tcW w:w="1388" w:type="dxa"/>
            <w:tcBorders>
              <w:top w:val="single" w:sz="4" w:space="0" w:color="000000"/>
              <w:left w:val="nil"/>
              <w:bottom w:val="nil"/>
              <w:right w:val="single" w:sz="4" w:space="0" w:color="000000"/>
            </w:tcBorders>
            <w:shd w:val="clear" w:color="auto" w:fill="auto"/>
            <w:noWrap/>
            <w:vAlign w:val="center"/>
            <w:hideMark/>
          </w:tcPr>
          <w:p w14:paraId="3B32F449"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17,073</w:t>
            </w:r>
          </w:p>
        </w:tc>
        <w:tc>
          <w:tcPr>
            <w:tcW w:w="1111" w:type="dxa"/>
            <w:tcBorders>
              <w:top w:val="single" w:sz="4" w:space="0" w:color="000000"/>
              <w:left w:val="nil"/>
              <w:bottom w:val="nil"/>
              <w:right w:val="single" w:sz="4" w:space="0" w:color="000000"/>
            </w:tcBorders>
            <w:shd w:val="clear" w:color="auto" w:fill="auto"/>
            <w:noWrap/>
            <w:vAlign w:val="center"/>
            <w:hideMark/>
          </w:tcPr>
          <w:p w14:paraId="2CD264E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11.6</w:t>
            </w:r>
          </w:p>
        </w:tc>
        <w:tc>
          <w:tcPr>
            <w:tcW w:w="1340" w:type="dxa"/>
            <w:tcBorders>
              <w:top w:val="single" w:sz="4" w:space="0" w:color="000000"/>
              <w:left w:val="nil"/>
              <w:bottom w:val="nil"/>
              <w:right w:val="single" w:sz="4" w:space="0" w:color="000000"/>
            </w:tcBorders>
            <w:shd w:val="clear" w:color="auto" w:fill="auto"/>
            <w:noWrap/>
            <w:vAlign w:val="center"/>
            <w:hideMark/>
          </w:tcPr>
          <w:p w14:paraId="1E766164"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15</w:t>
            </w:r>
          </w:p>
        </w:tc>
        <w:tc>
          <w:tcPr>
            <w:tcW w:w="1340" w:type="dxa"/>
            <w:tcBorders>
              <w:top w:val="single" w:sz="4" w:space="0" w:color="auto"/>
              <w:left w:val="nil"/>
              <w:bottom w:val="nil"/>
              <w:right w:val="nil"/>
            </w:tcBorders>
            <w:shd w:val="clear" w:color="auto" w:fill="auto"/>
            <w:hideMark/>
          </w:tcPr>
          <w:p w14:paraId="3E8300E3"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10</w:t>
            </w:r>
          </w:p>
        </w:tc>
        <w:tc>
          <w:tcPr>
            <w:tcW w:w="1480" w:type="dxa"/>
            <w:tcBorders>
              <w:top w:val="single" w:sz="4" w:space="0" w:color="auto"/>
              <w:left w:val="single" w:sz="4" w:space="0" w:color="auto"/>
              <w:bottom w:val="nil"/>
              <w:right w:val="single" w:sz="4" w:space="0" w:color="auto"/>
            </w:tcBorders>
            <w:shd w:val="clear" w:color="auto" w:fill="auto"/>
            <w:noWrap/>
            <w:vAlign w:val="center"/>
            <w:hideMark/>
          </w:tcPr>
          <w:p w14:paraId="42C5C9D9"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-33.9</w:t>
            </w:r>
          </w:p>
        </w:tc>
      </w:tr>
      <w:tr w:rsidR="007C32C5" w:rsidRPr="007C32C5" w14:paraId="307B7341" w14:textId="77777777" w:rsidTr="005A4D17">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14:paraId="216AC1F8"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xml:space="preserve">   (ii) Options on Index</w:t>
            </w:r>
          </w:p>
        </w:tc>
        <w:tc>
          <w:tcPr>
            <w:tcW w:w="1182" w:type="dxa"/>
            <w:tcBorders>
              <w:top w:val="nil"/>
              <w:left w:val="nil"/>
              <w:bottom w:val="nil"/>
              <w:right w:val="single" w:sz="4" w:space="0" w:color="auto"/>
            </w:tcBorders>
            <w:shd w:val="clear" w:color="auto" w:fill="auto"/>
            <w:noWrap/>
            <w:vAlign w:val="center"/>
            <w:hideMark/>
          </w:tcPr>
          <w:p w14:paraId="179FFBC5"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88" w:type="dxa"/>
            <w:tcBorders>
              <w:top w:val="nil"/>
              <w:left w:val="nil"/>
              <w:bottom w:val="nil"/>
              <w:right w:val="single" w:sz="4" w:space="0" w:color="auto"/>
            </w:tcBorders>
            <w:shd w:val="clear" w:color="auto" w:fill="auto"/>
            <w:noWrap/>
            <w:vAlign w:val="center"/>
            <w:hideMark/>
          </w:tcPr>
          <w:p w14:paraId="6F8A82A4"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111" w:type="dxa"/>
            <w:tcBorders>
              <w:top w:val="nil"/>
              <w:left w:val="nil"/>
              <w:bottom w:val="nil"/>
              <w:right w:val="single" w:sz="4" w:space="0" w:color="000000"/>
            </w:tcBorders>
            <w:shd w:val="clear" w:color="auto" w:fill="auto"/>
            <w:noWrap/>
            <w:vAlign w:val="center"/>
            <w:hideMark/>
          </w:tcPr>
          <w:p w14:paraId="2FC2B1C2"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single" w:sz="4" w:space="0" w:color="000000"/>
            </w:tcBorders>
            <w:shd w:val="clear" w:color="auto" w:fill="auto"/>
            <w:noWrap/>
            <w:vAlign w:val="center"/>
            <w:hideMark/>
          </w:tcPr>
          <w:p w14:paraId="5B2A33C5"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nil"/>
            </w:tcBorders>
            <w:shd w:val="clear" w:color="auto" w:fill="auto"/>
            <w:noWrap/>
            <w:vAlign w:val="center"/>
            <w:hideMark/>
          </w:tcPr>
          <w:p w14:paraId="7D10F3AA"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480" w:type="dxa"/>
            <w:tcBorders>
              <w:top w:val="nil"/>
              <w:left w:val="single" w:sz="4" w:space="0" w:color="auto"/>
              <w:bottom w:val="nil"/>
              <w:right w:val="single" w:sz="4" w:space="0" w:color="auto"/>
            </w:tcBorders>
            <w:shd w:val="clear" w:color="auto" w:fill="auto"/>
            <w:noWrap/>
            <w:vAlign w:val="center"/>
            <w:hideMark/>
          </w:tcPr>
          <w:p w14:paraId="0E60BE91"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 </w:t>
            </w:r>
          </w:p>
        </w:tc>
      </w:tr>
      <w:tr w:rsidR="007C32C5" w:rsidRPr="007C32C5" w14:paraId="0BE3F362" w14:textId="77777777" w:rsidTr="005A4D17">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14:paraId="0B014F65"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Put</w:t>
            </w:r>
          </w:p>
        </w:tc>
        <w:tc>
          <w:tcPr>
            <w:tcW w:w="1182" w:type="dxa"/>
            <w:tcBorders>
              <w:top w:val="nil"/>
              <w:left w:val="nil"/>
              <w:bottom w:val="nil"/>
              <w:right w:val="single" w:sz="4" w:space="0" w:color="auto"/>
            </w:tcBorders>
            <w:shd w:val="clear" w:color="auto" w:fill="auto"/>
            <w:noWrap/>
            <w:vAlign w:val="center"/>
            <w:hideMark/>
          </w:tcPr>
          <w:p w14:paraId="4C4F93C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80,026</w:t>
            </w:r>
          </w:p>
        </w:tc>
        <w:tc>
          <w:tcPr>
            <w:tcW w:w="1388" w:type="dxa"/>
            <w:tcBorders>
              <w:top w:val="nil"/>
              <w:left w:val="nil"/>
              <w:bottom w:val="nil"/>
              <w:right w:val="single" w:sz="4" w:space="0" w:color="auto"/>
            </w:tcBorders>
            <w:shd w:val="clear" w:color="auto" w:fill="auto"/>
            <w:noWrap/>
            <w:vAlign w:val="center"/>
            <w:hideMark/>
          </w:tcPr>
          <w:p w14:paraId="23E635E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90,472</w:t>
            </w:r>
          </w:p>
        </w:tc>
        <w:tc>
          <w:tcPr>
            <w:tcW w:w="1111" w:type="dxa"/>
            <w:tcBorders>
              <w:top w:val="nil"/>
              <w:left w:val="nil"/>
              <w:bottom w:val="nil"/>
              <w:right w:val="single" w:sz="4" w:space="0" w:color="000000"/>
            </w:tcBorders>
            <w:shd w:val="clear" w:color="auto" w:fill="auto"/>
            <w:noWrap/>
            <w:vAlign w:val="center"/>
            <w:hideMark/>
          </w:tcPr>
          <w:p w14:paraId="51AFBB1C"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13.1</w:t>
            </w:r>
          </w:p>
        </w:tc>
        <w:tc>
          <w:tcPr>
            <w:tcW w:w="1340" w:type="dxa"/>
            <w:tcBorders>
              <w:top w:val="nil"/>
              <w:left w:val="nil"/>
              <w:bottom w:val="nil"/>
              <w:right w:val="single" w:sz="4" w:space="0" w:color="000000"/>
            </w:tcBorders>
            <w:shd w:val="clear" w:color="auto" w:fill="auto"/>
            <w:noWrap/>
            <w:vAlign w:val="center"/>
            <w:hideMark/>
          </w:tcPr>
          <w:p w14:paraId="5DA9FE3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117</w:t>
            </w:r>
          </w:p>
        </w:tc>
        <w:tc>
          <w:tcPr>
            <w:tcW w:w="1340" w:type="dxa"/>
            <w:tcBorders>
              <w:top w:val="nil"/>
              <w:left w:val="nil"/>
              <w:bottom w:val="nil"/>
              <w:right w:val="nil"/>
            </w:tcBorders>
            <w:shd w:val="clear" w:color="auto" w:fill="auto"/>
            <w:noWrap/>
            <w:vAlign w:val="center"/>
            <w:hideMark/>
          </w:tcPr>
          <w:p w14:paraId="5D8B0E33"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358</w:t>
            </w:r>
          </w:p>
        </w:tc>
        <w:tc>
          <w:tcPr>
            <w:tcW w:w="1480" w:type="dxa"/>
            <w:tcBorders>
              <w:top w:val="nil"/>
              <w:left w:val="single" w:sz="4" w:space="0" w:color="auto"/>
              <w:bottom w:val="nil"/>
              <w:right w:val="single" w:sz="4" w:space="0" w:color="auto"/>
            </w:tcBorders>
            <w:shd w:val="clear" w:color="auto" w:fill="auto"/>
            <w:noWrap/>
            <w:vAlign w:val="center"/>
            <w:hideMark/>
          </w:tcPr>
          <w:p w14:paraId="3AACA28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206.1</w:t>
            </w:r>
          </w:p>
        </w:tc>
      </w:tr>
      <w:tr w:rsidR="007C32C5" w:rsidRPr="007C32C5" w14:paraId="5A4D6C4C" w14:textId="77777777" w:rsidTr="005A4D17">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14:paraId="42FC9E04"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Call</w:t>
            </w:r>
          </w:p>
        </w:tc>
        <w:tc>
          <w:tcPr>
            <w:tcW w:w="1182" w:type="dxa"/>
            <w:tcBorders>
              <w:top w:val="nil"/>
              <w:left w:val="nil"/>
              <w:bottom w:val="nil"/>
              <w:right w:val="single" w:sz="4" w:space="0" w:color="auto"/>
            </w:tcBorders>
            <w:shd w:val="clear" w:color="auto" w:fill="auto"/>
            <w:noWrap/>
            <w:vAlign w:val="center"/>
            <w:hideMark/>
          </w:tcPr>
          <w:p w14:paraId="7046C7C2"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68,536</w:t>
            </w:r>
          </w:p>
        </w:tc>
        <w:tc>
          <w:tcPr>
            <w:tcW w:w="1388" w:type="dxa"/>
            <w:tcBorders>
              <w:top w:val="nil"/>
              <w:left w:val="nil"/>
              <w:bottom w:val="nil"/>
              <w:right w:val="single" w:sz="4" w:space="0" w:color="auto"/>
            </w:tcBorders>
            <w:shd w:val="clear" w:color="auto" w:fill="auto"/>
            <w:noWrap/>
            <w:vAlign w:val="center"/>
            <w:hideMark/>
          </w:tcPr>
          <w:p w14:paraId="666A422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87,794</w:t>
            </w:r>
          </w:p>
        </w:tc>
        <w:tc>
          <w:tcPr>
            <w:tcW w:w="1111" w:type="dxa"/>
            <w:tcBorders>
              <w:top w:val="nil"/>
              <w:left w:val="nil"/>
              <w:bottom w:val="nil"/>
              <w:right w:val="single" w:sz="4" w:space="0" w:color="000000"/>
            </w:tcBorders>
            <w:shd w:val="clear" w:color="auto" w:fill="auto"/>
            <w:noWrap/>
            <w:vAlign w:val="center"/>
            <w:hideMark/>
          </w:tcPr>
          <w:p w14:paraId="1579BD59"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28.1</w:t>
            </w:r>
          </w:p>
        </w:tc>
        <w:tc>
          <w:tcPr>
            <w:tcW w:w="1340" w:type="dxa"/>
            <w:tcBorders>
              <w:top w:val="nil"/>
              <w:left w:val="nil"/>
              <w:bottom w:val="nil"/>
              <w:right w:val="single" w:sz="4" w:space="0" w:color="000000"/>
            </w:tcBorders>
            <w:shd w:val="clear" w:color="auto" w:fill="auto"/>
            <w:noWrap/>
            <w:vAlign w:val="center"/>
            <w:hideMark/>
          </w:tcPr>
          <w:p w14:paraId="7A61C29D"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220</w:t>
            </w:r>
          </w:p>
        </w:tc>
        <w:tc>
          <w:tcPr>
            <w:tcW w:w="1340" w:type="dxa"/>
            <w:tcBorders>
              <w:top w:val="nil"/>
              <w:left w:val="nil"/>
              <w:bottom w:val="nil"/>
              <w:right w:val="nil"/>
            </w:tcBorders>
            <w:shd w:val="clear" w:color="auto" w:fill="auto"/>
            <w:noWrap/>
            <w:vAlign w:val="center"/>
            <w:hideMark/>
          </w:tcPr>
          <w:p w14:paraId="13740596"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367</w:t>
            </w:r>
          </w:p>
        </w:tc>
        <w:tc>
          <w:tcPr>
            <w:tcW w:w="1480" w:type="dxa"/>
            <w:tcBorders>
              <w:top w:val="nil"/>
              <w:left w:val="single" w:sz="4" w:space="0" w:color="auto"/>
              <w:bottom w:val="nil"/>
              <w:right w:val="single" w:sz="4" w:space="0" w:color="auto"/>
            </w:tcBorders>
            <w:shd w:val="clear" w:color="auto" w:fill="auto"/>
            <w:noWrap/>
            <w:vAlign w:val="center"/>
            <w:hideMark/>
          </w:tcPr>
          <w:p w14:paraId="65070B6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67.0</w:t>
            </w:r>
          </w:p>
        </w:tc>
      </w:tr>
      <w:tr w:rsidR="007C32C5" w:rsidRPr="007C32C5" w14:paraId="511AAAB0" w14:textId="77777777" w:rsidTr="005A4D17">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14:paraId="67407F71"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xml:space="preserve">  (iii) Stock Futures</w:t>
            </w:r>
          </w:p>
        </w:tc>
        <w:tc>
          <w:tcPr>
            <w:tcW w:w="1182" w:type="dxa"/>
            <w:tcBorders>
              <w:top w:val="nil"/>
              <w:left w:val="nil"/>
              <w:bottom w:val="nil"/>
              <w:right w:val="single" w:sz="4" w:space="0" w:color="auto"/>
            </w:tcBorders>
            <w:shd w:val="clear" w:color="auto" w:fill="auto"/>
            <w:noWrap/>
            <w:vAlign w:val="center"/>
            <w:hideMark/>
          </w:tcPr>
          <w:p w14:paraId="3065F81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98,074</w:t>
            </w:r>
          </w:p>
        </w:tc>
        <w:tc>
          <w:tcPr>
            <w:tcW w:w="1388" w:type="dxa"/>
            <w:tcBorders>
              <w:top w:val="nil"/>
              <w:left w:val="nil"/>
              <w:bottom w:val="nil"/>
              <w:right w:val="single" w:sz="4" w:space="0" w:color="auto"/>
            </w:tcBorders>
            <w:shd w:val="clear" w:color="auto" w:fill="auto"/>
            <w:noWrap/>
            <w:vAlign w:val="center"/>
            <w:hideMark/>
          </w:tcPr>
          <w:p w14:paraId="52EBE66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xml:space="preserve">          1,02,148 </w:t>
            </w:r>
          </w:p>
        </w:tc>
        <w:tc>
          <w:tcPr>
            <w:tcW w:w="1111" w:type="dxa"/>
            <w:tcBorders>
              <w:top w:val="nil"/>
              <w:left w:val="nil"/>
              <w:bottom w:val="nil"/>
              <w:right w:val="single" w:sz="4" w:space="0" w:color="000000"/>
            </w:tcBorders>
            <w:shd w:val="clear" w:color="auto" w:fill="auto"/>
            <w:noWrap/>
            <w:vAlign w:val="center"/>
            <w:hideMark/>
          </w:tcPr>
          <w:p w14:paraId="3EF38311"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4.2</w:t>
            </w:r>
          </w:p>
        </w:tc>
        <w:tc>
          <w:tcPr>
            <w:tcW w:w="1340" w:type="dxa"/>
            <w:tcBorders>
              <w:top w:val="nil"/>
              <w:left w:val="nil"/>
              <w:bottom w:val="nil"/>
              <w:right w:val="single" w:sz="4" w:space="0" w:color="000000"/>
            </w:tcBorders>
            <w:shd w:val="clear" w:color="auto" w:fill="auto"/>
            <w:noWrap/>
            <w:vAlign w:val="center"/>
            <w:hideMark/>
          </w:tcPr>
          <w:p w14:paraId="1EF8081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340" w:type="dxa"/>
            <w:tcBorders>
              <w:top w:val="nil"/>
              <w:left w:val="nil"/>
              <w:bottom w:val="nil"/>
              <w:right w:val="single" w:sz="4" w:space="0" w:color="000000"/>
            </w:tcBorders>
            <w:shd w:val="clear" w:color="auto" w:fill="auto"/>
            <w:noWrap/>
            <w:vAlign w:val="center"/>
            <w:hideMark/>
          </w:tcPr>
          <w:p w14:paraId="2C5BC0FC"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480" w:type="dxa"/>
            <w:tcBorders>
              <w:top w:val="nil"/>
              <w:left w:val="nil"/>
              <w:bottom w:val="nil"/>
              <w:right w:val="single" w:sz="4" w:space="0" w:color="auto"/>
            </w:tcBorders>
            <w:shd w:val="clear" w:color="auto" w:fill="auto"/>
            <w:noWrap/>
            <w:vAlign w:val="center"/>
            <w:hideMark/>
          </w:tcPr>
          <w:p w14:paraId="570760D5"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0.0</w:t>
            </w:r>
          </w:p>
        </w:tc>
      </w:tr>
      <w:tr w:rsidR="007C32C5" w:rsidRPr="007C32C5" w14:paraId="0E5D055A" w14:textId="77777777" w:rsidTr="005A4D17">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14:paraId="0712FD94"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(iv) Options on Stock</w:t>
            </w:r>
          </w:p>
        </w:tc>
        <w:tc>
          <w:tcPr>
            <w:tcW w:w="1182" w:type="dxa"/>
            <w:tcBorders>
              <w:top w:val="nil"/>
              <w:left w:val="nil"/>
              <w:bottom w:val="nil"/>
              <w:right w:val="single" w:sz="4" w:space="0" w:color="auto"/>
            </w:tcBorders>
            <w:shd w:val="clear" w:color="auto" w:fill="auto"/>
            <w:noWrap/>
            <w:vAlign w:val="center"/>
            <w:hideMark/>
          </w:tcPr>
          <w:p w14:paraId="7E96CFDC"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88" w:type="dxa"/>
            <w:tcBorders>
              <w:top w:val="nil"/>
              <w:left w:val="nil"/>
              <w:bottom w:val="nil"/>
              <w:right w:val="single" w:sz="4" w:space="0" w:color="auto"/>
            </w:tcBorders>
            <w:shd w:val="clear" w:color="auto" w:fill="auto"/>
            <w:noWrap/>
            <w:vAlign w:val="center"/>
            <w:hideMark/>
          </w:tcPr>
          <w:p w14:paraId="7AB1147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111" w:type="dxa"/>
            <w:tcBorders>
              <w:top w:val="nil"/>
              <w:left w:val="nil"/>
              <w:bottom w:val="nil"/>
              <w:right w:val="single" w:sz="4" w:space="0" w:color="000000"/>
            </w:tcBorders>
            <w:shd w:val="clear" w:color="auto" w:fill="auto"/>
            <w:noWrap/>
            <w:vAlign w:val="center"/>
            <w:hideMark/>
          </w:tcPr>
          <w:p w14:paraId="766C236D"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single" w:sz="4" w:space="0" w:color="000000"/>
            </w:tcBorders>
            <w:shd w:val="clear" w:color="auto" w:fill="auto"/>
            <w:noWrap/>
            <w:vAlign w:val="center"/>
            <w:hideMark/>
          </w:tcPr>
          <w:p w14:paraId="2D97FDF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nil"/>
            </w:tcBorders>
            <w:shd w:val="clear" w:color="auto" w:fill="auto"/>
            <w:noWrap/>
            <w:vAlign w:val="center"/>
            <w:hideMark/>
          </w:tcPr>
          <w:p w14:paraId="3AF6BFD4"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480" w:type="dxa"/>
            <w:tcBorders>
              <w:top w:val="nil"/>
              <w:left w:val="single" w:sz="4" w:space="0" w:color="auto"/>
              <w:bottom w:val="nil"/>
              <w:right w:val="single" w:sz="4" w:space="0" w:color="auto"/>
            </w:tcBorders>
            <w:shd w:val="clear" w:color="auto" w:fill="auto"/>
            <w:noWrap/>
            <w:vAlign w:val="center"/>
            <w:hideMark/>
          </w:tcPr>
          <w:p w14:paraId="2729EC5A"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 </w:t>
            </w:r>
          </w:p>
        </w:tc>
      </w:tr>
      <w:tr w:rsidR="007C32C5" w:rsidRPr="007C32C5" w14:paraId="46FA082B" w14:textId="77777777" w:rsidTr="005A4D17">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14:paraId="21A2FA34"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Put</w:t>
            </w:r>
          </w:p>
        </w:tc>
        <w:tc>
          <w:tcPr>
            <w:tcW w:w="1182" w:type="dxa"/>
            <w:tcBorders>
              <w:top w:val="nil"/>
              <w:left w:val="nil"/>
              <w:bottom w:val="nil"/>
              <w:right w:val="single" w:sz="4" w:space="0" w:color="auto"/>
            </w:tcBorders>
            <w:shd w:val="clear" w:color="auto" w:fill="auto"/>
            <w:noWrap/>
            <w:vAlign w:val="center"/>
            <w:hideMark/>
          </w:tcPr>
          <w:p w14:paraId="046572B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12,894</w:t>
            </w:r>
          </w:p>
        </w:tc>
        <w:tc>
          <w:tcPr>
            <w:tcW w:w="1388" w:type="dxa"/>
            <w:tcBorders>
              <w:top w:val="nil"/>
              <w:left w:val="nil"/>
              <w:bottom w:val="nil"/>
              <w:right w:val="single" w:sz="4" w:space="0" w:color="auto"/>
            </w:tcBorders>
            <w:shd w:val="clear" w:color="auto" w:fill="auto"/>
            <w:noWrap/>
            <w:vAlign w:val="center"/>
            <w:hideMark/>
          </w:tcPr>
          <w:p w14:paraId="42ED7C9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15,317</w:t>
            </w:r>
          </w:p>
        </w:tc>
        <w:tc>
          <w:tcPr>
            <w:tcW w:w="1111" w:type="dxa"/>
            <w:tcBorders>
              <w:top w:val="nil"/>
              <w:left w:val="nil"/>
              <w:bottom w:val="nil"/>
              <w:right w:val="single" w:sz="4" w:space="0" w:color="000000"/>
            </w:tcBorders>
            <w:shd w:val="clear" w:color="auto" w:fill="auto"/>
            <w:noWrap/>
            <w:vAlign w:val="center"/>
            <w:hideMark/>
          </w:tcPr>
          <w:p w14:paraId="2BD17E9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18.8</w:t>
            </w:r>
          </w:p>
        </w:tc>
        <w:tc>
          <w:tcPr>
            <w:tcW w:w="1340" w:type="dxa"/>
            <w:tcBorders>
              <w:top w:val="nil"/>
              <w:left w:val="nil"/>
              <w:bottom w:val="nil"/>
              <w:right w:val="single" w:sz="4" w:space="0" w:color="000000"/>
            </w:tcBorders>
            <w:shd w:val="clear" w:color="auto" w:fill="auto"/>
            <w:noWrap/>
            <w:vAlign w:val="center"/>
            <w:hideMark/>
          </w:tcPr>
          <w:p w14:paraId="1EF2BA4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340" w:type="dxa"/>
            <w:tcBorders>
              <w:top w:val="nil"/>
              <w:left w:val="nil"/>
              <w:bottom w:val="nil"/>
              <w:right w:val="single" w:sz="4" w:space="0" w:color="000000"/>
            </w:tcBorders>
            <w:shd w:val="clear" w:color="auto" w:fill="auto"/>
            <w:noWrap/>
            <w:vAlign w:val="center"/>
            <w:hideMark/>
          </w:tcPr>
          <w:p w14:paraId="60E20C7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480" w:type="dxa"/>
            <w:tcBorders>
              <w:top w:val="nil"/>
              <w:left w:val="nil"/>
              <w:bottom w:val="nil"/>
              <w:right w:val="single" w:sz="4" w:space="0" w:color="auto"/>
            </w:tcBorders>
            <w:shd w:val="clear" w:color="auto" w:fill="auto"/>
            <w:noWrap/>
            <w:vAlign w:val="center"/>
            <w:hideMark/>
          </w:tcPr>
          <w:p w14:paraId="5B04172D"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0.0</w:t>
            </w:r>
          </w:p>
        </w:tc>
      </w:tr>
      <w:tr w:rsidR="007C32C5" w:rsidRPr="007C32C5" w14:paraId="32CFD83F" w14:textId="77777777" w:rsidTr="005A4D17">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14:paraId="011825E7"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Call</w:t>
            </w:r>
          </w:p>
        </w:tc>
        <w:tc>
          <w:tcPr>
            <w:tcW w:w="1182" w:type="dxa"/>
            <w:tcBorders>
              <w:top w:val="nil"/>
              <w:left w:val="nil"/>
              <w:bottom w:val="nil"/>
              <w:right w:val="single" w:sz="4" w:space="0" w:color="auto"/>
            </w:tcBorders>
            <w:shd w:val="clear" w:color="auto" w:fill="auto"/>
            <w:noWrap/>
            <w:vAlign w:val="center"/>
            <w:hideMark/>
          </w:tcPr>
          <w:p w14:paraId="1672BEF3"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20,450</w:t>
            </w:r>
          </w:p>
        </w:tc>
        <w:tc>
          <w:tcPr>
            <w:tcW w:w="1388" w:type="dxa"/>
            <w:tcBorders>
              <w:top w:val="nil"/>
              <w:left w:val="nil"/>
              <w:bottom w:val="nil"/>
              <w:right w:val="single" w:sz="4" w:space="0" w:color="auto"/>
            </w:tcBorders>
            <w:shd w:val="clear" w:color="auto" w:fill="auto"/>
            <w:noWrap/>
            <w:vAlign w:val="center"/>
            <w:hideMark/>
          </w:tcPr>
          <w:p w14:paraId="4B14345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27,760</w:t>
            </w:r>
          </w:p>
        </w:tc>
        <w:tc>
          <w:tcPr>
            <w:tcW w:w="1111" w:type="dxa"/>
            <w:tcBorders>
              <w:top w:val="nil"/>
              <w:left w:val="nil"/>
              <w:bottom w:val="nil"/>
              <w:right w:val="single" w:sz="4" w:space="0" w:color="000000"/>
            </w:tcBorders>
            <w:shd w:val="clear" w:color="auto" w:fill="auto"/>
            <w:noWrap/>
            <w:vAlign w:val="center"/>
            <w:hideMark/>
          </w:tcPr>
          <w:p w14:paraId="6127C3B4"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35.7</w:t>
            </w:r>
          </w:p>
        </w:tc>
        <w:tc>
          <w:tcPr>
            <w:tcW w:w="1340" w:type="dxa"/>
            <w:tcBorders>
              <w:top w:val="nil"/>
              <w:left w:val="nil"/>
              <w:bottom w:val="nil"/>
              <w:right w:val="single" w:sz="4" w:space="0" w:color="000000"/>
            </w:tcBorders>
            <w:shd w:val="clear" w:color="auto" w:fill="auto"/>
            <w:noWrap/>
            <w:vAlign w:val="center"/>
            <w:hideMark/>
          </w:tcPr>
          <w:p w14:paraId="4D8BC26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340" w:type="dxa"/>
            <w:tcBorders>
              <w:top w:val="nil"/>
              <w:left w:val="nil"/>
              <w:bottom w:val="nil"/>
              <w:right w:val="single" w:sz="4" w:space="0" w:color="000000"/>
            </w:tcBorders>
            <w:shd w:val="clear" w:color="auto" w:fill="auto"/>
            <w:noWrap/>
            <w:vAlign w:val="center"/>
            <w:hideMark/>
          </w:tcPr>
          <w:p w14:paraId="05AEE156"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14:paraId="21075EE2" w14:textId="77777777" w:rsidR="007C32C5" w:rsidRPr="007C32C5" w:rsidRDefault="007C32C5" w:rsidP="007C32C5">
            <w:pPr>
              <w:jc w:val="right"/>
              <w:rPr>
                <w:rFonts w:ascii="Garamond" w:eastAsia="Times New Roman" w:hAnsi="Garamond"/>
                <w:color w:val="000000"/>
                <w:sz w:val="20"/>
                <w:szCs w:val="20"/>
                <w:lang w:val="en-IN" w:eastAsia="en-IN" w:bidi="hi-IN"/>
              </w:rPr>
            </w:pPr>
            <w:r w:rsidRPr="007C32C5">
              <w:rPr>
                <w:rFonts w:ascii="Garamond" w:eastAsia="Times New Roman" w:hAnsi="Garamond"/>
                <w:color w:val="000000"/>
                <w:sz w:val="20"/>
                <w:szCs w:val="20"/>
                <w:lang w:val="en-IN" w:eastAsia="en-IN" w:bidi="hi-IN"/>
              </w:rPr>
              <w:t>0.0</w:t>
            </w:r>
          </w:p>
        </w:tc>
      </w:tr>
      <w:tr w:rsidR="007C32C5" w:rsidRPr="007C32C5" w14:paraId="6589C88E" w14:textId="77777777" w:rsidTr="005A4D17">
        <w:trPr>
          <w:trHeight w:val="255"/>
        </w:trPr>
        <w:tc>
          <w:tcPr>
            <w:tcW w:w="1960" w:type="dxa"/>
            <w:tcBorders>
              <w:top w:val="single" w:sz="4" w:space="0" w:color="000000"/>
              <w:left w:val="single" w:sz="4" w:space="0" w:color="000000"/>
              <w:bottom w:val="single" w:sz="4" w:space="0" w:color="000000"/>
              <w:right w:val="single" w:sz="4" w:space="0" w:color="000000"/>
            </w:tcBorders>
            <w:shd w:val="clear" w:color="C6D9F0" w:fill="95B3D7"/>
            <w:noWrap/>
            <w:vAlign w:val="center"/>
            <w:hideMark/>
          </w:tcPr>
          <w:p w14:paraId="6AA7C20D" w14:textId="77777777" w:rsidR="007C32C5" w:rsidRPr="007C32C5" w:rsidRDefault="007C32C5" w:rsidP="007C32C5">
            <w:pP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 xml:space="preserve">         Total</w:t>
            </w:r>
          </w:p>
        </w:tc>
        <w:tc>
          <w:tcPr>
            <w:tcW w:w="1182" w:type="dxa"/>
            <w:tcBorders>
              <w:top w:val="single" w:sz="4" w:space="0" w:color="000000"/>
              <w:left w:val="nil"/>
              <w:bottom w:val="single" w:sz="4" w:space="0" w:color="000000"/>
              <w:right w:val="single" w:sz="4" w:space="0" w:color="000000"/>
            </w:tcBorders>
            <w:shd w:val="clear" w:color="C6D9F0" w:fill="95B3D7"/>
            <w:noWrap/>
            <w:vAlign w:val="center"/>
            <w:hideMark/>
          </w:tcPr>
          <w:p w14:paraId="40CC4C68"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2,95,274</w:t>
            </w:r>
          </w:p>
        </w:tc>
        <w:tc>
          <w:tcPr>
            <w:tcW w:w="1388" w:type="dxa"/>
            <w:tcBorders>
              <w:top w:val="single" w:sz="4" w:space="0" w:color="000000"/>
              <w:left w:val="nil"/>
              <w:bottom w:val="single" w:sz="4" w:space="0" w:color="000000"/>
              <w:right w:val="single" w:sz="4" w:space="0" w:color="000000"/>
            </w:tcBorders>
            <w:shd w:val="clear" w:color="C6D9F0" w:fill="95B3D7"/>
            <w:noWrap/>
            <w:vAlign w:val="center"/>
            <w:hideMark/>
          </w:tcPr>
          <w:p w14:paraId="789C09E5"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3,40,564</w:t>
            </w:r>
          </w:p>
        </w:tc>
        <w:tc>
          <w:tcPr>
            <w:tcW w:w="1111" w:type="dxa"/>
            <w:tcBorders>
              <w:top w:val="single" w:sz="4" w:space="0" w:color="000000"/>
              <w:left w:val="nil"/>
              <w:bottom w:val="single" w:sz="4" w:space="0" w:color="000000"/>
              <w:right w:val="single" w:sz="4" w:space="0" w:color="000000"/>
            </w:tcBorders>
            <w:shd w:val="clear" w:color="C6D9F0" w:fill="95B3D7"/>
            <w:noWrap/>
            <w:vAlign w:val="center"/>
            <w:hideMark/>
          </w:tcPr>
          <w:p w14:paraId="15348769"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15.3</w:t>
            </w:r>
          </w:p>
        </w:tc>
        <w:tc>
          <w:tcPr>
            <w:tcW w:w="1340" w:type="dxa"/>
            <w:tcBorders>
              <w:top w:val="single" w:sz="4" w:space="0" w:color="000000"/>
              <w:left w:val="nil"/>
              <w:bottom w:val="single" w:sz="4" w:space="0" w:color="000000"/>
              <w:right w:val="single" w:sz="4" w:space="0" w:color="000000"/>
            </w:tcBorders>
            <w:shd w:val="clear" w:color="C6D9F0" w:fill="95B3D7"/>
            <w:noWrap/>
            <w:vAlign w:val="center"/>
            <w:hideMark/>
          </w:tcPr>
          <w:p w14:paraId="1B3B8C4E"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352.0</w:t>
            </w:r>
          </w:p>
        </w:tc>
        <w:tc>
          <w:tcPr>
            <w:tcW w:w="1340" w:type="dxa"/>
            <w:tcBorders>
              <w:top w:val="single" w:sz="4" w:space="0" w:color="000000"/>
              <w:left w:val="nil"/>
              <w:bottom w:val="single" w:sz="4" w:space="0" w:color="000000"/>
              <w:right w:val="single" w:sz="4" w:space="0" w:color="000000"/>
            </w:tcBorders>
            <w:shd w:val="clear" w:color="C6D9F0" w:fill="95B3D7"/>
            <w:noWrap/>
            <w:vAlign w:val="center"/>
            <w:hideMark/>
          </w:tcPr>
          <w:p w14:paraId="568258E9"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735.1</w:t>
            </w:r>
          </w:p>
        </w:tc>
        <w:tc>
          <w:tcPr>
            <w:tcW w:w="1480" w:type="dxa"/>
            <w:tcBorders>
              <w:top w:val="nil"/>
              <w:left w:val="nil"/>
              <w:bottom w:val="single" w:sz="4" w:space="0" w:color="000000"/>
              <w:right w:val="single" w:sz="4" w:space="0" w:color="000000"/>
            </w:tcBorders>
            <w:shd w:val="clear" w:color="C6D9F0" w:fill="95B3D7"/>
            <w:noWrap/>
            <w:vAlign w:val="center"/>
            <w:hideMark/>
          </w:tcPr>
          <w:p w14:paraId="6199D4E9"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108.8</w:t>
            </w:r>
          </w:p>
        </w:tc>
      </w:tr>
      <w:tr w:rsidR="007C32C5" w:rsidRPr="007C32C5" w14:paraId="36D0EC20" w14:textId="77777777" w:rsidTr="005A4D17">
        <w:trPr>
          <w:trHeight w:val="255"/>
        </w:trPr>
        <w:tc>
          <w:tcPr>
            <w:tcW w:w="9801" w:type="dxa"/>
            <w:gridSpan w:val="7"/>
            <w:tcBorders>
              <w:top w:val="single" w:sz="4" w:space="0" w:color="000000"/>
              <w:left w:val="single" w:sz="4" w:space="0" w:color="000000"/>
              <w:bottom w:val="single" w:sz="4" w:space="0" w:color="000000"/>
              <w:right w:val="single" w:sz="4" w:space="0" w:color="000000"/>
            </w:tcBorders>
            <w:shd w:val="clear" w:color="FFFFCC" w:fill="FFFFCC"/>
            <w:vAlign w:val="center"/>
            <w:hideMark/>
          </w:tcPr>
          <w:p w14:paraId="71DFEE96" w14:textId="77777777" w:rsidR="007C32C5" w:rsidRPr="007C32C5" w:rsidRDefault="007C32C5" w:rsidP="007C32C5">
            <w:pP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D.  Open Interest in Terms of No of Contracts</w:t>
            </w:r>
          </w:p>
        </w:tc>
      </w:tr>
      <w:tr w:rsidR="007C32C5" w:rsidRPr="007C32C5" w14:paraId="39D964D9" w14:textId="77777777" w:rsidTr="005A4D17">
        <w:trPr>
          <w:trHeight w:val="255"/>
        </w:trPr>
        <w:tc>
          <w:tcPr>
            <w:tcW w:w="1960" w:type="dxa"/>
            <w:tcBorders>
              <w:top w:val="single" w:sz="4" w:space="0" w:color="000000"/>
              <w:left w:val="single" w:sz="4" w:space="0" w:color="000000"/>
              <w:bottom w:val="nil"/>
              <w:right w:val="single" w:sz="4" w:space="0" w:color="000000"/>
            </w:tcBorders>
            <w:shd w:val="clear" w:color="C6D9F0" w:fill="C6D9F0"/>
            <w:noWrap/>
            <w:vAlign w:val="center"/>
            <w:hideMark/>
          </w:tcPr>
          <w:p w14:paraId="07FF5661"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xml:space="preserve">   (i) Index  Futures</w:t>
            </w:r>
          </w:p>
        </w:tc>
        <w:tc>
          <w:tcPr>
            <w:tcW w:w="1182" w:type="dxa"/>
            <w:tcBorders>
              <w:top w:val="single" w:sz="4" w:space="0" w:color="auto"/>
              <w:left w:val="nil"/>
              <w:bottom w:val="nil"/>
              <w:right w:val="nil"/>
            </w:tcBorders>
            <w:shd w:val="clear" w:color="auto" w:fill="auto"/>
            <w:noWrap/>
            <w:vAlign w:val="center"/>
            <w:hideMark/>
          </w:tcPr>
          <w:p w14:paraId="69A1770A"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2,03,834</w:t>
            </w:r>
          </w:p>
        </w:tc>
        <w:tc>
          <w:tcPr>
            <w:tcW w:w="1388" w:type="dxa"/>
            <w:tcBorders>
              <w:top w:val="single" w:sz="4" w:space="0" w:color="auto"/>
              <w:left w:val="single" w:sz="4" w:space="0" w:color="auto"/>
              <w:bottom w:val="nil"/>
              <w:right w:val="nil"/>
            </w:tcBorders>
            <w:shd w:val="clear" w:color="auto" w:fill="auto"/>
            <w:noWrap/>
            <w:vAlign w:val="center"/>
            <w:hideMark/>
          </w:tcPr>
          <w:p w14:paraId="7260B67D"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2,18,651</w:t>
            </w:r>
          </w:p>
        </w:tc>
        <w:tc>
          <w:tcPr>
            <w:tcW w:w="1111" w:type="dxa"/>
            <w:tcBorders>
              <w:top w:val="single" w:sz="4" w:space="0" w:color="auto"/>
              <w:left w:val="single" w:sz="4" w:space="0" w:color="auto"/>
              <w:bottom w:val="nil"/>
              <w:right w:val="single" w:sz="4" w:space="0" w:color="auto"/>
            </w:tcBorders>
            <w:shd w:val="clear" w:color="auto" w:fill="auto"/>
            <w:noWrap/>
            <w:vAlign w:val="center"/>
            <w:hideMark/>
          </w:tcPr>
          <w:p w14:paraId="0345BCE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7.3</w:t>
            </w:r>
          </w:p>
        </w:tc>
        <w:tc>
          <w:tcPr>
            <w:tcW w:w="1340" w:type="dxa"/>
            <w:tcBorders>
              <w:top w:val="single" w:sz="4" w:space="0" w:color="auto"/>
              <w:left w:val="nil"/>
              <w:bottom w:val="nil"/>
              <w:right w:val="nil"/>
            </w:tcBorders>
            <w:shd w:val="clear" w:color="auto" w:fill="auto"/>
            <w:hideMark/>
          </w:tcPr>
          <w:p w14:paraId="256D3F3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177</w:t>
            </w:r>
          </w:p>
        </w:tc>
        <w:tc>
          <w:tcPr>
            <w:tcW w:w="1340" w:type="dxa"/>
            <w:tcBorders>
              <w:top w:val="single" w:sz="4" w:space="0" w:color="auto"/>
              <w:left w:val="nil"/>
              <w:bottom w:val="nil"/>
              <w:right w:val="nil"/>
            </w:tcBorders>
            <w:shd w:val="clear" w:color="auto" w:fill="auto"/>
            <w:hideMark/>
          </w:tcPr>
          <w:p w14:paraId="6B1FE605"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114</w:t>
            </w:r>
          </w:p>
        </w:tc>
        <w:tc>
          <w:tcPr>
            <w:tcW w:w="1480" w:type="dxa"/>
            <w:tcBorders>
              <w:top w:val="single" w:sz="4" w:space="0" w:color="auto"/>
              <w:left w:val="single" w:sz="4" w:space="0" w:color="auto"/>
              <w:bottom w:val="nil"/>
              <w:right w:val="single" w:sz="4" w:space="0" w:color="auto"/>
            </w:tcBorders>
            <w:shd w:val="clear" w:color="auto" w:fill="auto"/>
            <w:noWrap/>
            <w:vAlign w:val="center"/>
            <w:hideMark/>
          </w:tcPr>
          <w:p w14:paraId="41C83D03"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-35.6</w:t>
            </w:r>
          </w:p>
        </w:tc>
      </w:tr>
      <w:tr w:rsidR="007C32C5" w:rsidRPr="007C32C5" w14:paraId="46DCE8FB" w14:textId="77777777" w:rsidTr="005A4D17">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14:paraId="63FE9A9E"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xml:space="preserve">   (ii) Options on Index</w:t>
            </w:r>
          </w:p>
        </w:tc>
        <w:tc>
          <w:tcPr>
            <w:tcW w:w="1182" w:type="dxa"/>
            <w:tcBorders>
              <w:top w:val="nil"/>
              <w:left w:val="nil"/>
              <w:bottom w:val="nil"/>
              <w:right w:val="nil"/>
            </w:tcBorders>
            <w:shd w:val="clear" w:color="auto" w:fill="auto"/>
            <w:noWrap/>
            <w:vAlign w:val="center"/>
            <w:hideMark/>
          </w:tcPr>
          <w:p w14:paraId="397E8BAC"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88" w:type="dxa"/>
            <w:tcBorders>
              <w:top w:val="nil"/>
              <w:left w:val="single" w:sz="4" w:space="0" w:color="auto"/>
              <w:bottom w:val="nil"/>
              <w:right w:val="nil"/>
            </w:tcBorders>
            <w:shd w:val="clear" w:color="auto" w:fill="auto"/>
            <w:noWrap/>
            <w:vAlign w:val="center"/>
            <w:hideMark/>
          </w:tcPr>
          <w:p w14:paraId="46C10B05"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111" w:type="dxa"/>
            <w:tcBorders>
              <w:top w:val="nil"/>
              <w:left w:val="single" w:sz="4" w:space="0" w:color="auto"/>
              <w:bottom w:val="nil"/>
              <w:right w:val="single" w:sz="4" w:space="0" w:color="auto"/>
            </w:tcBorders>
            <w:shd w:val="clear" w:color="auto" w:fill="auto"/>
            <w:noWrap/>
            <w:vAlign w:val="center"/>
            <w:hideMark/>
          </w:tcPr>
          <w:p w14:paraId="76D087D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nil"/>
            </w:tcBorders>
            <w:shd w:val="clear" w:color="auto" w:fill="auto"/>
            <w:noWrap/>
            <w:vAlign w:val="center"/>
            <w:hideMark/>
          </w:tcPr>
          <w:p w14:paraId="38F953AC"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nil"/>
            </w:tcBorders>
            <w:shd w:val="clear" w:color="auto" w:fill="auto"/>
            <w:noWrap/>
            <w:vAlign w:val="center"/>
            <w:hideMark/>
          </w:tcPr>
          <w:p w14:paraId="500BC96C"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480" w:type="dxa"/>
            <w:tcBorders>
              <w:top w:val="nil"/>
              <w:left w:val="single" w:sz="4" w:space="0" w:color="auto"/>
              <w:bottom w:val="nil"/>
              <w:right w:val="single" w:sz="4" w:space="0" w:color="auto"/>
            </w:tcBorders>
            <w:shd w:val="clear" w:color="auto" w:fill="auto"/>
            <w:noWrap/>
            <w:vAlign w:val="center"/>
            <w:hideMark/>
          </w:tcPr>
          <w:p w14:paraId="6F3B0933"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r>
      <w:tr w:rsidR="007C32C5" w:rsidRPr="007C32C5" w14:paraId="22A13DFA" w14:textId="77777777" w:rsidTr="005A4D17">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14:paraId="23E2BDFA"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Put</w:t>
            </w:r>
          </w:p>
        </w:tc>
        <w:tc>
          <w:tcPr>
            <w:tcW w:w="1182" w:type="dxa"/>
            <w:tcBorders>
              <w:top w:val="nil"/>
              <w:left w:val="nil"/>
              <w:bottom w:val="nil"/>
              <w:right w:val="nil"/>
            </w:tcBorders>
            <w:shd w:val="clear" w:color="auto" w:fill="auto"/>
            <w:noWrap/>
            <w:vAlign w:val="center"/>
            <w:hideMark/>
          </w:tcPr>
          <w:p w14:paraId="4C9EDCA9"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10,43,373</w:t>
            </w:r>
          </w:p>
        </w:tc>
        <w:tc>
          <w:tcPr>
            <w:tcW w:w="1388" w:type="dxa"/>
            <w:tcBorders>
              <w:top w:val="nil"/>
              <w:left w:val="single" w:sz="4" w:space="0" w:color="auto"/>
              <w:bottom w:val="nil"/>
              <w:right w:val="nil"/>
            </w:tcBorders>
            <w:shd w:val="clear" w:color="auto" w:fill="auto"/>
            <w:noWrap/>
            <w:vAlign w:val="center"/>
            <w:hideMark/>
          </w:tcPr>
          <w:p w14:paraId="05842C1F"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11,63,121</w:t>
            </w:r>
          </w:p>
        </w:tc>
        <w:tc>
          <w:tcPr>
            <w:tcW w:w="1111" w:type="dxa"/>
            <w:tcBorders>
              <w:top w:val="nil"/>
              <w:left w:val="single" w:sz="4" w:space="0" w:color="auto"/>
              <w:bottom w:val="nil"/>
              <w:right w:val="single" w:sz="4" w:space="0" w:color="auto"/>
            </w:tcBorders>
            <w:shd w:val="clear" w:color="auto" w:fill="auto"/>
            <w:noWrap/>
            <w:vAlign w:val="center"/>
            <w:hideMark/>
          </w:tcPr>
          <w:p w14:paraId="3A9D43E1"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11.5</w:t>
            </w:r>
          </w:p>
        </w:tc>
        <w:tc>
          <w:tcPr>
            <w:tcW w:w="1340" w:type="dxa"/>
            <w:tcBorders>
              <w:top w:val="nil"/>
              <w:left w:val="nil"/>
              <w:bottom w:val="nil"/>
              <w:right w:val="nil"/>
            </w:tcBorders>
            <w:shd w:val="clear" w:color="auto" w:fill="auto"/>
            <w:noWrap/>
            <w:vAlign w:val="center"/>
            <w:hideMark/>
          </w:tcPr>
          <w:p w14:paraId="3E41E56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1,348</w:t>
            </w:r>
          </w:p>
        </w:tc>
        <w:tc>
          <w:tcPr>
            <w:tcW w:w="1340" w:type="dxa"/>
            <w:tcBorders>
              <w:top w:val="nil"/>
              <w:left w:val="nil"/>
              <w:bottom w:val="nil"/>
              <w:right w:val="nil"/>
            </w:tcBorders>
            <w:shd w:val="clear" w:color="auto" w:fill="auto"/>
            <w:noWrap/>
            <w:vAlign w:val="center"/>
            <w:hideMark/>
          </w:tcPr>
          <w:p w14:paraId="010B8CE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4,004</w:t>
            </w:r>
          </w:p>
        </w:tc>
        <w:tc>
          <w:tcPr>
            <w:tcW w:w="1480" w:type="dxa"/>
            <w:tcBorders>
              <w:top w:val="nil"/>
              <w:left w:val="single" w:sz="4" w:space="0" w:color="auto"/>
              <w:bottom w:val="nil"/>
              <w:right w:val="single" w:sz="4" w:space="0" w:color="auto"/>
            </w:tcBorders>
            <w:shd w:val="clear" w:color="auto" w:fill="auto"/>
            <w:noWrap/>
            <w:vAlign w:val="center"/>
            <w:hideMark/>
          </w:tcPr>
          <w:p w14:paraId="33280DAC"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197.0</w:t>
            </w:r>
          </w:p>
        </w:tc>
      </w:tr>
      <w:tr w:rsidR="007C32C5" w:rsidRPr="007C32C5" w14:paraId="3ADB6CF5" w14:textId="77777777" w:rsidTr="005A4D17">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14:paraId="1ED37188"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Call</w:t>
            </w:r>
          </w:p>
        </w:tc>
        <w:tc>
          <w:tcPr>
            <w:tcW w:w="1182" w:type="dxa"/>
            <w:tcBorders>
              <w:top w:val="nil"/>
              <w:left w:val="nil"/>
              <w:bottom w:val="nil"/>
              <w:right w:val="nil"/>
            </w:tcBorders>
            <w:shd w:val="clear" w:color="auto" w:fill="auto"/>
            <w:noWrap/>
            <w:vAlign w:val="center"/>
            <w:hideMark/>
          </w:tcPr>
          <w:p w14:paraId="30B73819"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9,34,443</w:t>
            </w:r>
          </w:p>
        </w:tc>
        <w:tc>
          <w:tcPr>
            <w:tcW w:w="1388" w:type="dxa"/>
            <w:tcBorders>
              <w:top w:val="nil"/>
              <w:left w:val="single" w:sz="4" w:space="0" w:color="auto"/>
              <w:bottom w:val="nil"/>
              <w:right w:val="nil"/>
            </w:tcBorders>
            <w:shd w:val="clear" w:color="auto" w:fill="auto"/>
            <w:noWrap/>
            <w:vAlign w:val="center"/>
            <w:hideMark/>
          </w:tcPr>
          <w:p w14:paraId="7FEFF66D"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11,71,102</w:t>
            </w:r>
          </w:p>
        </w:tc>
        <w:tc>
          <w:tcPr>
            <w:tcW w:w="1111" w:type="dxa"/>
            <w:tcBorders>
              <w:top w:val="nil"/>
              <w:left w:val="single" w:sz="4" w:space="0" w:color="auto"/>
              <w:bottom w:val="nil"/>
              <w:right w:val="single" w:sz="4" w:space="0" w:color="auto"/>
            </w:tcBorders>
            <w:shd w:val="clear" w:color="auto" w:fill="auto"/>
            <w:noWrap/>
            <w:vAlign w:val="center"/>
            <w:hideMark/>
          </w:tcPr>
          <w:p w14:paraId="33CDA5E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25.3</w:t>
            </w:r>
          </w:p>
        </w:tc>
        <w:tc>
          <w:tcPr>
            <w:tcW w:w="1340" w:type="dxa"/>
            <w:tcBorders>
              <w:top w:val="nil"/>
              <w:left w:val="nil"/>
              <w:bottom w:val="nil"/>
              <w:right w:val="nil"/>
            </w:tcBorders>
            <w:shd w:val="clear" w:color="auto" w:fill="auto"/>
            <w:noWrap/>
            <w:vAlign w:val="center"/>
            <w:hideMark/>
          </w:tcPr>
          <w:p w14:paraId="7362592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2,520</w:t>
            </w:r>
          </w:p>
        </w:tc>
        <w:tc>
          <w:tcPr>
            <w:tcW w:w="1340" w:type="dxa"/>
            <w:tcBorders>
              <w:top w:val="nil"/>
              <w:left w:val="nil"/>
              <w:bottom w:val="nil"/>
              <w:right w:val="nil"/>
            </w:tcBorders>
            <w:shd w:val="clear" w:color="auto" w:fill="auto"/>
            <w:noWrap/>
            <w:vAlign w:val="center"/>
            <w:hideMark/>
          </w:tcPr>
          <w:p w14:paraId="1F03C70D"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4,099</w:t>
            </w:r>
          </w:p>
        </w:tc>
        <w:tc>
          <w:tcPr>
            <w:tcW w:w="1480" w:type="dxa"/>
            <w:tcBorders>
              <w:top w:val="nil"/>
              <w:left w:val="single" w:sz="4" w:space="0" w:color="auto"/>
              <w:bottom w:val="nil"/>
              <w:right w:val="single" w:sz="4" w:space="0" w:color="auto"/>
            </w:tcBorders>
            <w:shd w:val="clear" w:color="auto" w:fill="auto"/>
            <w:noWrap/>
            <w:vAlign w:val="center"/>
            <w:hideMark/>
          </w:tcPr>
          <w:p w14:paraId="6EF7FE15"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62.7</w:t>
            </w:r>
          </w:p>
        </w:tc>
      </w:tr>
      <w:tr w:rsidR="007C32C5" w:rsidRPr="007C32C5" w14:paraId="60A31E31" w14:textId="77777777" w:rsidTr="005A4D17">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14:paraId="0EEFBA44"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xml:space="preserve">  (iii) Stock Futures</w:t>
            </w:r>
          </w:p>
        </w:tc>
        <w:tc>
          <w:tcPr>
            <w:tcW w:w="1182" w:type="dxa"/>
            <w:tcBorders>
              <w:top w:val="nil"/>
              <w:left w:val="nil"/>
              <w:bottom w:val="nil"/>
              <w:right w:val="nil"/>
            </w:tcBorders>
            <w:shd w:val="clear" w:color="auto" w:fill="auto"/>
            <w:noWrap/>
            <w:vAlign w:val="center"/>
            <w:hideMark/>
          </w:tcPr>
          <w:p w14:paraId="1DC96C3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14,27,389</w:t>
            </w:r>
          </w:p>
        </w:tc>
        <w:tc>
          <w:tcPr>
            <w:tcW w:w="1388" w:type="dxa"/>
            <w:tcBorders>
              <w:top w:val="nil"/>
              <w:left w:val="single" w:sz="4" w:space="0" w:color="auto"/>
              <w:bottom w:val="nil"/>
              <w:right w:val="nil"/>
            </w:tcBorders>
            <w:shd w:val="clear" w:color="auto" w:fill="auto"/>
            <w:noWrap/>
            <w:vAlign w:val="center"/>
            <w:hideMark/>
          </w:tcPr>
          <w:p w14:paraId="53494595"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14,33,181</w:t>
            </w:r>
          </w:p>
        </w:tc>
        <w:tc>
          <w:tcPr>
            <w:tcW w:w="1111" w:type="dxa"/>
            <w:tcBorders>
              <w:top w:val="nil"/>
              <w:left w:val="single" w:sz="4" w:space="0" w:color="auto"/>
              <w:bottom w:val="nil"/>
              <w:right w:val="single" w:sz="4" w:space="0" w:color="auto"/>
            </w:tcBorders>
            <w:shd w:val="clear" w:color="auto" w:fill="auto"/>
            <w:noWrap/>
            <w:vAlign w:val="center"/>
            <w:hideMark/>
          </w:tcPr>
          <w:p w14:paraId="3CFF4989"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0.4</w:t>
            </w:r>
          </w:p>
        </w:tc>
        <w:tc>
          <w:tcPr>
            <w:tcW w:w="1340" w:type="dxa"/>
            <w:tcBorders>
              <w:top w:val="nil"/>
              <w:left w:val="nil"/>
              <w:bottom w:val="nil"/>
              <w:right w:val="nil"/>
            </w:tcBorders>
            <w:shd w:val="clear" w:color="auto" w:fill="auto"/>
            <w:noWrap/>
            <w:vAlign w:val="center"/>
            <w:hideMark/>
          </w:tcPr>
          <w:p w14:paraId="28B4CF88"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340" w:type="dxa"/>
            <w:tcBorders>
              <w:top w:val="nil"/>
              <w:left w:val="nil"/>
              <w:bottom w:val="nil"/>
              <w:right w:val="nil"/>
            </w:tcBorders>
            <w:shd w:val="clear" w:color="auto" w:fill="auto"/>
            <w:noWrap/>
            <w:vAlign w:val="center"/>
            <w:hideMark/>
          </w:tcPr>
          <w:p w14:paraId="3B8A682D"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480" w:type="dxa"/>
            <w:tcBorders>
              <w:top w:val="nil"/>
              <w:left w:val="single" w:sz="4" w:space="0" w:color="auto"/>
              <w:bottom w:val="nil"/>
              <w:right w:val="single" w:sz="4" w:space="0" w:color="auto"/>
            </w:tcBorders>
            <w:shd w:val="clear" w:color="auto" w:fill="auto"/>
            <w:noWrap/>
            <w:vAlign w:val="center"/>
            <w:hideMark/>
          </w:tcPr>
          <w:p w14:paraId="47CB6309"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0.0</w:t>
            </w:r>
          </w:p>
        </w:tc>
      </w:tr>
      <w:tr w:rsidR="007C32C5" w:rsidRPr="007C32C5" w14:paraId="454C15E2" w14:textId="77777777" w:rsidTr="005A4D17">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14:paraId="6CCA3A67" w14:textId="77777777" w:rsidR="007C32C5" w:rsidRPr="007C32C5" w:rsidRDefault="007C32C5" w:rsidP="007C32C5">
            <w:pPr>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(iv) Options on Stock</w:t>
            </w:r>
          </w:p>
        </w:tc>
        <w:tc>
          <w:tcPr>
            <w:tcW w:w="1182" w:type="dxa"/>
            <w:tcBorders>
              <w:top w:val="nil"/>
              <w:left w:val="nil"/>
              <w:bottom w:val="nil"/>
              <w:right w:val="nil"/>
            </w:tcBorders>
            <w:shd w:val="clear" w:color="auto" w:fill="auto"/>
            <w:noWrap/>
            <w:vAlign w:val="center"/>
            <w:hideMark/>
          </w:tcPr>
          <w:p w14:paraId="252F843F"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88" w:type="dxa"/>
            <w:tcBorders>
              <w:top w:val="nil"/>
              <w:left w:val="single" w:sz="4" w:space="0" w:color="auto"/>
              <w:bottom w:val="nil"/>
              <w:right w:val="nil"/>
            </w:tcBorders>
            <w:shd w:val="clear" w:color="auto" w:fill="auto"/>
            <w:noWrap/>
            <w:vAlign w:val="center"/>
            <w:hideMark/>
          </w:tcPr>
          <w:p w14:paraId="2AF11E0F"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111" w:type="dxa"/>
            <w:tcBorders>
              <w:top w:val="nil"/>
              <w:left w:val="single" w:sz="4" w:space="0" w:color="auto"/>
              <w:bottom w:val="nil"/>
              <w:right w:val="single" w:sz="4" w:space="0" w:color="auto"/>
            </w:tcBorders>
            <w:shd w:val="clear" w:color="auto" w:fill="auto"/>
            <w:noWrap/>
            <w:vAlign w:val="center"/>
            <w:hideMark/>
          </w:tcPr>
          <w:p w14:paraId="7F1AEFA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nil"/>
            </w:tcBorders>
            <w:shd w:val="clear" w:color="auto" w:fill="auto"/>
            <w:noWrap/>
            <w:vAlign w:val="center"/>
            <w:hideMark/>
          </w:tcPr>
          <w:p w14:paraId="4767C695"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340" w:type="dxa"/>
            <w:tcBorders>
              <w:top w:val="nil"/>
              <w:left w:val="nil"/>
              <w:bottom w:val="nil"/>
              <w:right w:val="nil"/>
            </w:tcBorders>
            <w:shd w:val="clear" w:color="auto" w:fill="auto"/>
            <w:noWrap/>
            <w:vAlign w:val="center"/>
            <w:hideMark/>
          </w:tcPr>
          <w:p w14:paraId="733A2CE6"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c>
          <w:tcPr>
            <w:tcW w:w="1480" w:type="dxa"/>
            <w:tcBorders>
              <w:top w:val="nil"/>
              <w:left w:val="single" w:sz="4" w:space="0" w:color="auto"/>
              <w:bottom w:val="nil"/>
              <w:right w:val="single" w:sz="4" w:space="0" w:color="auto"/>
            </w:tcBorders>
            <w:shd w:val="clear" w:color="auto" w:fill="auto"/>
            <w:noWrap/>
            <w:vAlign w:val="center"/>
            <w:hideMark/>
          </w:tcPr>
          <w:p w14:paraId="19D96D8A"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 </w:t>
            </w:r>
          </w:p>
        </w:tc>
      </w:tr>
      <w:tr w:rsidR="007C32C5" w:rsidRPr="007C32C5" w14:paraId="232692BA" w14:textId="77777777" w:rsidTr="005A4D17">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14:paraId="12F05546"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Put</w:t>
            </w:r>
          </w:p>
        </w:tc>
        <w:tc>
          <w:tcPr>
            <w:tcW w:w="1182" w:type="dxa"/>
            <w:tcBorders>
              <w:top w:val="nil"/>
              <w:left w:val="nil"/>
              <w:bottom w:val="nil"/>
              <w:right w:val="nil"/>
            </w:tcBorders>
            <w:shd w:val="clear" w:color="auto" w:fill="auto"/>
            <w:noWrap/>
            <w:vAlign w:val="center"/>
            <w:hideMark/>
          </w:tcPr>
          <w:p w14:paraId="29040D90"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1,83,046</w:t>
            </w:r>
          </w:p>
        </w:tc>
        <w:tc>
          <w:tcPr>
            <w:tcW w:w="1388" w:type="dxa"/>
            <w:tcBorders>
              <w:top w:val="nil"/>
              <w:left w:val="single" w:sz="4" w:space="0" w:color="auto"/>
              <w:bottom w:val="nil"/>
              <w:right w:val="nil"/>
            </w:tcBorders>
            <w:shd w:val="clear" w:color="auto" w:fill="auto"/>
            <w:noWrap/>
            <w:vAlign w:val="center"/>
            <w:hideMark/>
          </w:tcPr>
          <w:p w14:paraId="1B890A75"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2,14,136</w:t>
            </w:r>
          </w:p>
        </w:tc>
        <w:tc>
          <w:tcPr>
            <w:tcW w:w="1111" w:type="dxa"/>
            <w:tcBorders>
              <w:top w:val="nil"/>
              <w:left w:val="single" w:sz="4" w:space="0" w:color="auto"/>
              <w:bottom w:val="nil"/>
              <w:right w:val="single" w:sz="4" w:space="0" w:color="auto"/>
            </w:tcBorders>
            <w:shd w:val="clear" w:color="auto" w:fill="auto"/>
            <w:noWrap/>
            <w:vAlign w:val="center"/>
            <w:hideMark/>
          </w:tcPr>
          <w:p w14:paraId="7362E65E"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17.0</w:t>
            </w:r>
          </w:p>
        </w:tc>
        <w:tc>
          <w:tcPr>
            <w:tcW w:w="1340" w:type="dxa"/>
            <w:tcBorders>
              <w:top w:val="nil"/>
              <w:left w:val="nil"/>
              <w:bottom w:val="nil"/>
              <w:right w:val="nil"/>
            </w:tcBorders>
            <w:shd w:val="clear" w:color="auto" w:fill="auto"/>
            <w:noWrap/>
            <w:vAlign w:val="center"/>
            <w:hideMark/>
          </w:tcPr>
          <w:p w14:paraId="342CA95F"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340" w:type="dxa"/>
            <w:tcBorders>
              <w:top w:val="nil"/>
              <w:left w:val="nil"/>
              <w:bottom w:val="nil"/>
              <w:right w:val="nil"/>
            </w:tcBorders>
            <w:shd w:val="clear" w:color="auto" w:fill="auto"/>
            <w:noWrap/>
            <w:vAlign w:val="center"/>
            <w:hideMark/>
          </w:tcPr>
          <w:p w14:paraId="306A79DA"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480" w:type="dxa"/>
            <w:tcBorders>
              <w:top w:val="nil"/>
              <w:left w:val="single" w:sz="4" w:space="0" w:color="auto"/>
              <w:bottom w:val="nil"/>
              <w:right w:val="single" w:sz="4" w:space="0" w:color="auto"/>
            </w:tcBorders>
            <w:shd w:val="clear" w:color="auto" w:fill="auto"/>
            <w:noWrap/>
            <w:vAlign w:val="center"/>
            <w:hideMark/>
          </w:tcPr>
          <w:p w14:paraId="7FD17FF3"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0.0</w:t>
            </w:r>
          </w:p>
        </w:tc>
      </w:tr>
      <w:tr w:rsidR="007C32C5" w:rsidRPr="007C32C5" w14:paraId="0E6A17AD" w14:textId="77777777" w:rsidTr="005A4D17">
        <w:trPr>
          <w:trHeight w:val="255"/>
        </w:trPr>
        <w:tc>
          <w:tcPr>
            <w:tcW w:w="1960" w:type="dxa"/>
            <w:tcBorders>
              <w:top w:val="nil"/>
              <w:left w:val="single" w:sz="4" w:space="0" w:color="000000"/>
              <w:bottom w:val="single" w:sz="4" w:space="0" w:color="000000"/>
              <w:right w:val="single" w:sz="4" w:space="0" w:color="000000"/>
            </w:tcBorders>
            <w:shd w:val="clear" w:color="C6D9F0" w:fill="C6D9F0"/>
            <w:noWrap/>
            <w:vAlign w:val="center"/>
            <w:hideMark/>
          </w:tcPr>
          <w:p w14:paraId="19D7B061" w14:textId="77777777" w:rsidR="007C32C5" w:rsidRPr="007C32C5" w:rsidRDefault="007C32C5" w:rsidP="007C32C5">
            <w:pPr>
              <w:rPr>
                <w:rFonts w:ascii="Garamond" w:eastAsia="Times New Roman" w:hAnsi="Garamond"/>
                <w:i/>
                <w:iCs/>
                <w:sz w:val="20"/>
                <w:szCs w:val="20"/>
                <w:lang w:val="en-IN" w:eastAsia="en-IN" w:bidi="hi-IN"/>
              </w:rPr>
            </w:pPr>
            <w:r w:rsidRPr="007C32C5">
              <w:rPr>
                <w:rFonts w:ascii="Garamond" w:eastAsia="Times New Roman" w:hAnsi="Garamond"/>
                <w:i/>
                <w:iCs/>
                <w:sz w:val="20"/>
                <w:szCs w:val="20"/>
                <w:lang w:val="en-IN" w:eastAsia="en-IN" w:bidi="hi-IN"/>
              </w:rPr>
              <w:t xml:space="preserve">          Call</w:t>
            </w:r>
          </w:p>
        </w:tc>
        <w:tc>
          <w:tcPr>
            <w:tcW w:w="1182" w:type="dxa"/>
            <w:tcBorders>
              <w:top w:val="nil"/>
              <w:left w:val="nil"/>
              <w:bottom w:val="single" w:sz="4" w:space="0" w:color="auto"/>
              <w:right w:val="nil"/>
            </w:tcBorders>
            <w:shd w:val="clear" w:color="auto" w:fill="auto"/>
            <w:noWrap/>
            <w:vAlign w:val="center"/>
            <w:hideMark/>
          </w:tcPr>
          <w:p w14:paraId="029645AB"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2,94,380</w:t>
            </w:r>
          </w:p>
        </w:tc>
        <w:tc>
          <w:tcPr>
            <w:tcW w:w="1388" w:type="dxa"/>
            <w:tcBorders>
              <w:top w:val="nil"/>
              <w:left w:val="single" w:sz="4" w:space="0" w:color="auto"/>
              <w:bottom w:val="single" w:sz="4" w:space="0" w:color="auto"/>
              <w:right w:val="nil"/>
            </w:tcBorders>
            <w:shd w:val="clear" w:color="auto" w:fill="auto"/>
            <w:noWrap/>
            <w:vAlign w:val="center"/>
            <w:hideMark/>
          </w:tcPr>
          <w:p w14:paraId="59FB6F16"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3,89,010</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1DE18127"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32.1</w:t>
            </w:r>
          </w:p>
        </w:tc>
        <w:tc>
          <w:tcPr>
            <w:tcW w:w="1340" w:type="dxa"/>
            <w:tcBorders>
              <w:top w:val="nil"/>
              <w:left w:val="nil"/>
              <w:bottom w:val="nil"/>
              <w:right w:val="nil"/>
            </w:tcBorders>
            <w:shd w:val="clear" w:color="auto" w:fill="auto"/>
            <w:noWrap/>
            <w:vAlign w:val="center"/>
            <w:hideMark/>
          </w:tcPr>
          <w:p w14:paraId="6F247DB2"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340" w:type="dxa"/>
            <w:tcBorders>
              <w:top w:val="nil"/>
              <w:left w:val="nil"/>
              <w:bottom w:val="nil"/>
              <w:right w:val="nil"/>
            </w:tcBorders>
            <w:shd w:val="clear" w:color="auto" w:fill="auto"/>
            <w:noWrap/>
            <w:vAlign w:val="center"/>
            <w:hideMark/>
          </w:tcPr>
          <w:p w14:paraId="65F70F45"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5211C2C6" w14:textId="77777777" w:rsidR="007C32C5" w:rsidRPr="007C32C5" w:rsidRDefault="007C32C5" w:rsidP="007C32C5">
            <w:pPr>
              <w:jc w:val="right"/>
              <w:rPr>
                <w:rFonts w:ascii="Garamond" w:eastAsia="Times New Roman" w:hAnsi="Garamond"/>
                <w:sz w:val="20"/>
                <w:szCs w:val="20"/>
                <w:lang w:val="en-IN" w:eastAsia="en-IN" w:bidi="hi-IN"/>
              </w:rPr>
            </w:pPr>
            <w:r w:rsidRPr="007C32C5">
              <w:rPr>
                <w:rFonts w:ascii="Garamond" w:eastAsia="Times New Roman" w:hAnsi="Garamond"/>
                <w:sz w:val="20"/>
                <w:szCs w:val="20"/>
                <w:lang w:val="en-IN" w:eastAsia="en-IN" w:bidi="hi-IN"/>
              </w:rPr>
              <w:t>0.0</w:t>
            </w:r>
          </w:p>
        </w:tc>
      </w:tr>
      <w:tr w:rsidR="007C32C5" w:rsidRPr="007C32C5" w14:paraId="17630833" w14:textId="77777777" w:rsidTr="005A4D17">
        <w:trPr>
          <w:trHeight w:val="255"/>
        </w:trPr>
        <w:tc>
          <w:tcPr>
            <w:tcW w:w="1960" w:type="dxa"/>
            <w:tcBorders>
              <w:top w:val="nil"/>
              <w:left w:val="single" w:sz="4" w:space="0" w:color="000000"/>
              <w:bottom w:val="single" w:sz="4" w:space="0" w:color="000000"/>
              <w:right w:val="single" w:sz="4" w:space="0" w:color="000000"/>
            </w:tcBorders>
            <w:shd w:val="clear" w:color="C6D9F0" w:fill="95B3D7"/>
            <w:noWrap/>
            <w:vAlign w:val="center"/>
            <w:hideMark/>
          </w:tcPr>
          <w:p w14:paraId="171AF0FC" w14:textId="77777777" w:rsidR="007C32C5" w:rsidRPr="007C32C5" w:rsidRDefault="007C32C5" w:rsidP="007C32C5">
            <w:pPr>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 xml:space="preserve">         Total</w:t>
            </w:r>
          </w:p>
        </w:tc>
        <w:tc>
          <w:tcPr>
            <w:tcW w:w="1182" w:type="dxa"/>
            <w:tcBorders>
              <w:top w:val="nil"/>
              <w:left w:val="nil"/>
              <w:bottom w:val="single" w:sz="4" w:space="0" w:color="000000"/>
              <w:right w:val="single" w:sz="4" w:space="0" w:color="000000"/>
            </w:tcBorders>
            <w:shd w:val="clear" w:color="C6D9F0" w:fill="95B3D7"/>
            <w:noWrap/>
            <w:vAlign w:val="center"/>
            <w:hideMark/>
          </w:tcPr>
          <w:p w14:paraId="7F9BC2AB"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40,86,465</w:t>
            </w:r>
          </w:p>
        </w:tc>
        <w:tc>
          <w:tcPr>
            <w:tcW w:w="1388" w:type="dxa"/>
            <w:tcBorders>
              <w:top w:val="nil"/>
              <w:left w:val="nil"/>
              <w:bottom w:val="single" w:sz="4" w:space="0" w:color="000000"/>
              <w:right w:val="single" w:sz="4" w:space="0" w:color="000000"/>
            </w:tcBorders>
            <w:shd w:val="clear" w:color="C6D9F0" w:fill="95B3D7"/>
            <w:noWrap/>
            <w:vAlign w:val="center"/>
            <w:hideMark/>
          </w:tcPr>
          <w:p w14:paraId="15881322"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45,89,201</w:t>
            </w:r>
          </w:p>
        </w:tc>
        <w:tc>
          <w:tcPr>
            <w:tcW w:w="1111" w:type="dxa"/>
            <w:tcBorders>
              <w:top w:val="nil"/>
              <w:left w:val="nil"/>
              <w:bottom w:val="single" w:sz="4" w:space="0" w:color="000000"/>
              <w:right w:val="single" w:sz="4" w:space="0" w:color="000000"/>
            </w:tcBorders>
            <w:shd w:val="clear" w:color="C6D9F0" w:fill="95B3D7"/>
            <w:noWrap/>
            <w:vAlign w:val="center"/>
            <w:hideMark/>
          </w:tcPr>
          <w:p w14:paraId="2052C051"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12.3</w:t>
            </w:r>
          </w:p>
        </w:tc>
        <w:tc>
          <w:tcPr>
            <w:tcW w:w="1340" w:type="dxa"/>
            <w:tcBorders>
              <w:top w:val="nil"/>
              <w:left w:val="nil"/>
              <w:bottom w:val="single" w:sz="4" w:space="0" w:color="000000"/>
              <w:right w:val="single" w:sz="4" w:space="0" w:color="000000"/>
            </w:tcBorders>
            <w:shd w:val="clear" w:color="C6D9F0" w:fill="95B3D7"/>
            <w:noWrap/>
            <w:vAlign w:val="center"/>
            <w:hideMark/>
          </w:tcPr>
          <w:p w14:paraId="21A8A969"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4,045</w:t>
            </w:r>
          </w:p>
        </w:tc>
        <w:tc>
          <w:tcPr>
            <w:tcW w:w="1340" w:type="dxa"/>
            <w:tcBorders>
              <w:top w:val="single" w:sz="4" w:space="0" w:color="000000"/>
              <w:left w:val="nil"/>
              <w:bottom w:val="single" w:sz="4" w:space="0" w:color="000000"/>
              <w:right w:val="single" w:sz="4" w:space="0" w:color="000000"/>
            </w:tcBorders>
            <w:shd w:val="clear" w:color="C6D9F0" w:fill="95B3D7"/>
            <w:noWrap/>
            <w:vAlign w:val="center"/>
            <w:hideMark/>
          </w:tcPr>
          <w:p w14:paraId="5E77EDA5"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8,217</w:t>
            </w:r>
          </w:p>
        </w:tc>
        <w:tc>
          <w:tcPr>
            <w:tcW w:w="1480" w:type="dxa"/>
            <w:tcBorders>
              <w:top w:val="nil"/>
              <w:left w:val="nil"/>
              <w:bottom w:val="single" w:sz="4" w:space="0" w:color="000000"/>
              <w:right w:val="single" w:sz="4" w:space="0" w:color="000000"/>
            </w:tcBorders>
            <w:shd w:val="clear" w:color="C6D9F0" w:fill="95B3D7"/>
            <w:noWrap/>
            <w:vAlign w:val="center"/>
            <w:hideMark/>
          </w:tcPr>
          <w:p w14:paraId="39E4BE3D" w14:textId="77777777" w:rsidR="007C32C5" w:rsidRPr="007C32C5" w:rsidRDefault="007C32C5" w:rsidP="007C32C5">
            <w:pPr>
              <w:jc w:val="right"/>
              <w:rPr>
                <w:rFonts w:ascii="Garamond" w:eastAsia="Times New Roman" w:hAnsi="Garamond"/>
                <w:b/>
                <w:bCs/>
                <w:sz w:val="20"/>
                <w:szCs w:val="20"/>
                <w:lang w:val="en-IN" w:eastAsia="en-IN" w:bidi="hi-IN"/>
              </w:rPr>
            </w:pPr>
            <w:r w:rsidRPr="007C32C5">
              <w:rPr>
                <w:rFonts w:ascii="Garamond" w:eastAsia="Times New Roman" w:hAnsi="Garamond"/>
                <w:b/>
                <w:bCs/>
                <w:sz w:val="20"/>
                <w:szCs w:val="20"/>
                <w:lang w:val="en-IN" w:eastAsia="en-IN" w:bidi="hi-IN"/>
              </w:rPr>
              <w:t>103.1</w:t>
            </w:r>
          </w:p>
        </w:tc>
      </w:tr>
    </w:tbl>
    <w:p w14:paraId="4D3E3E6E" w14:textId="77777777" w:rsidR="007C32C5" w:rsidRPr="007C32C5" w:rsidRDefault="007C32C5" w:rsidP="007C32C5">
      <w:pPr>
        <w:tabs>
          <w:tab w:val="left" w:pos="3135"/>
        </w:tabs>
        <w:spacing w:line="276" w:lineRule="auto"/>
        <w:rPr>
          <w:rFonts w:ascii="Palatino Linotype" w:eastAsia="Palatino Linotype" w:hAnsi="Palatino Linotype" w:cs="Palatino Linotype"/>
          <w:b/>
          <w:sz w:val="18"/>
          <w:szCs w:val="18"/>
        </w:rPr>
      </w:pPr>
      <w:r w:rsidRPr="007C32C5">
        <w:rPr>
          <w:rFonts w:ascii="Palatino Linotype" w:eastAsia="Palatino Linotype" w:hAnsi="Palatino Linotype" w:cs="Palatino Linotype"/>
          <w:b/>
          <w:sz w:val="18"/>
          <w:szCs w:val="18"/>
        </w:rPr>
        <w:t>Source: NSE and BSE</w:t>
      </w:r>
    </w:p>
    <w:p w14:paraId="67EDDAC0" w14:textId="77777777" w:rsidR="007C32C5" w:rsidRPr="007C32C5" w:rsidRDefault="007C32C5" w:rsidP="007C32C5">
      <w:pPr>
        <w:tabs>
          <w:tab w:val="left" w:pos="3135"/>
        </w:tabs>
        <w:spacing w:line="276" w:lineRule="auto"/>
        <w:rPr>
          <w:rFonts w:ascii="Palatino Linotype" w:eastAsia="Palatino Linotype" w:hAnsi="Palatino Linotype" w:cs="Palatino Linotype"/>
          <w:b/>
          <w:sz w:val="22"/>
          <w:szCs w:val="22"/>
        </w:rPr>
      </w:pPr>
    </w:p>
    <w:p w14:paraId="2AEDDAF5" w14:textId="77777777" w:rsidR="007C32C5" w:rsidRPr="007C32C5" w:rsidRDefault="007C32C5" w:rsidP="007C32C5">
      <w:pPr>
        <w:tabs>
          <w:tab w:val="left" w:pos="3135"/>
        </w:tabs>
        <w:spacing w:line="276" w:lineRule="auto"/>
        <w:rPr>
          <w:rFonts w:ascii="Palatino Linotype" w:eastAsia="Palatino Linotype" w:hAnsi="Palatino Linotype" w:cs="Palatino Linotype"/>
          <w:b/>
          <w:sz w:val="22"/>
          <w:szCs w:val="22"/>
          <w:u w:val="single"/>
        </w:rPr>
      </w:pPr>
      <w:r w:rsidRPr="007C32C5">
        <w:rPr>
          <w:rFonts w:ascii="Palatino Linotype" w:eastAsia="Palatino Linotype" w:hAnsi="Palatino Linotype" w:cs="Palatino Linotype"/>
          <w:b/>
          <w:sz w:val="22"/>
          <w:szCs w:val="22"/>
          <w:u w:val="single"/>
        </w:rPr>
        <w:t xml:space="preserve">BSE </w:t>
      </w:r>
    </w:p>
    <w:p w14:paraId="01F5AF5E" w14:textId="75D4C894" w:rsidR="007C32C5" w:rsidRPr="007C32C5" w:rsidRDefault="007C32C5" w:rsidP="007C32C5">
      <w:pPr>
        <w:numPr>
          <w:ilvl w:val="0"/>
          <w:numId w:val="12"/>
        </w:numPr>
        <w:pBdr>
          <w:top w:val="nil"/>
          <w:left w:val="nil"/>
          <w:bottom w:val="nil"/>
          <w:right w:val="nil"/>
          <w:between w:val="nil"/>
        </w:pBdr>
        <w:spacing w:line="276" w:lineRule="auto"/>
        <w:jc w:val="both"/>
        <w:rPr>
          <w:rFonts w:ascii="Palatino Linotype" w:hAnsi="Palatino Linotype"/>
          <w:color w:val="000000"/>
          <w:sz w:val="22"/>
          <w:szCs w:val="22"/>
        </w:rPr>
      </w:pPr>
      <w:r w:rsidRPr="007C32C5">
        <w:rPr>
          <w:rFonts w:ascii="Palatino Linotype" w:eastAsia="Palatino Linotype" w:hAnsi="Palatino Linotype" w:cs="Palatino Linotype"/>
          <w:color w:val="000000"/>
          <w:sz w:val="22"/>
          <w:szCs w:val="22"/>
        </w:rPr>
        <w:t xml:space="preserve">During August 2020, the equity derivatives segment turnover of BSE increased </w:t>
      </w:r>
      <w:r w:rsidR="00FC57AE">
        <w:rPr>
          <w:rFonts w:ascii="Palatino Linotype" w:eastAsia="Palatino Linotype" w:hAnsi="Palatino Linotype" w:cs="Palatino Linotype"/>
          <w:color w:val="000000"/>
          <w:sz w:val="22"/>
          <w:szCs w:val="22"/>
        </w:rPr>
        <w:t xml:space="preserve">by 206.7 </w:t>
      </w:r>
      <w:r w:rsidR="00BA7EC6">
        <w:rPr>
          <w:rFonts w:ascii="Palatino Linotype" w:eastAsia="Palatino Linotype" w:hAnsi="Palatino Linotype" w:cs="Palatino Linotype"/>
          <w:color w:val="000000"/>
          <w:sz w:val="22"/>
          <w:szCs w:val="22"/>
        </w:rPr>
        <w:t xml:space="preserve">per cent </w:t>
      </w:r>
      <w:r w:rsidRPr="007C32C5">
        <w:rPr>
          <w:rFonts w:ascii="Palatino Linotype" w:eastAsia="Palatino Linotype" w:hAnsi="Palatino Linotype" w:cs="Palatino Linotype"/>
          <w:color w:val="000000"/>
          <w:sz w:val="22"/>
          <w:szCs w:val="22"/>
        </w:rPr>
        <w:t xml:space="preserve">to </w:t>
      </w:r>
      <w:r w:rsidRPr="007C32C5">
        <w:rPr>
          <w:rFonts w:ascii="Tahoma" w:eastAsia="Tahoma" w:hAnsi="Tahoma" w:cs="Tahoma"/>
          <w:color w:val="000000"/>
          <w:sz w:val="22"/>
          <w:szCs w:val="22"/>
        </w:rPr>
        <w:t>₹</w:t>
      </w:r>
      <w:r w:rsidRPr="007C32C5">
        <w:rPr>
          <w:rFonts w:ascii="Palatino Linotype" w:eastAsia="Tahoma" w:hAnsi="Palatino Linotype"/>
          <w:color w:val="000000"/>
          <w:sz w:val="22"/>
          <w:szCs w:val="22"/>
        </w:rPr>
        <w:t>18,48,117</w:t>
      </w:r>
      <w:r w:rsidRPr="007C32C5">
        <w:rPr>
          <w:rFonts w:ascii="Palatino Linotype" w:eastAsia="Palatino Linotype" w:hAnsi="Palatino Linotype" w:cs="Palatino Linotype"/>
          <w:color w:val="000000"/>
          <w:sz w:val="22"/>
          <w:szCs w:val="22"/>
        </w:rPr>
        <w:t xml:space="preserve">crore compared to </w:t>
      </w:r>
      <w:r w:rsidRPr="007C32C5">
        <w:rPr>
          <w:rFonts w:ascii="Tahoma" w:eastAsia="Tahoma" w:hAnsi="Tahoma" w:cs="Tahoma"/>
          <w:color w:val="000000"/>
          <w:sz w:val="22"/>
          <w:szCs w:val="22"/>
        </w:rPr>
        <w:t>₹</w:t>
      </w:r>
      <w:r w:rsidRPr="007C32C5">
        <w:rPr>
          <w:rFonts w:ascii="Palatino Linotype" w:eastAsia="Tahoma" w:hAnsi="Palatino Linotype"/>
          <w:color w:val="000000"/>
          <w:sz w:val="22"/>
          <w:szCs w:val="22"/>
        </w:rPr>
        <w:t>6,02,513</w:t>
      </w:r>
      <w:r w:rsidRPr="007C32C5">
        <w:rPr>
          <w:rFonts w:ascii="Palatino Linotype" w:eastAsia="Palatino Linotype" w:hAnsi="Palatino Linotype" w:cs="Palatino Linotype"/>
          <w:color w:val="000000"/>
          <w:sz w:val="22"/>
          <w:szCs w:val="22"/>
        </w:rPr>
        <w:t xml:space="preserve"> crore in July 2020.  </w:t>
      </w:r>
    </w:p>
    <w:p w14:paraId="49554BC4" w14:textId="49A53457" w:rsidR="007C32C5" w:rsidRPr="007C32C5" w:rsidRDefault="007C32C5" w:rsidP="007C32C5">
      <w:pPr>
        <w:numPr>
          <w:ilvl w:val="0"/>
          <w:numId w:val="12"/>
        </w:numPr>
        <w:pBdr>
          <w:top w:val="nil"/>
          <w:left w:val="nil"/>
          <w:bottom w:val="nil"/>
          <w:right w:val="nil"/>
          <w:between w:val="nil"/>
        </w:pBdr>
        <w:spacing w:line="276" w:lineRule="auto"/>
        <w:jc w:val="both"/>
        <w:rPr>
          <w:rFonts w:ascii="Palatino Linotype" w:hAnsi="Palatino Linotype"/>
          <w:color w:val="000000"/>
          <w:sz w:val="22"/>
          <w:szCs w:val="22"/>
        </w:rPr>
      </w:pPr>
      <w:r w:rsidRPr="007C32C5">
        <w:rPr>
          <w:rFonts w:ascii="Palatino Linotype" w:eastAsia="Palatino Linotype" w:hAnsi="Palatino Linotype" w:cs="Palatino Linotype"/>
          <w:color w:val="000000"/>
          <w:sz w:val="22"/>
          <w:szCs w:val="22"/>
        </w:rPr>
        <w:t xml:space="preserve">As on August 31, 2020, the open interest at BSE stood at </w:t>
      </w:r>
      <w:r w:rsidRPr="007C32C5">
        <w:rPr>
          <w:rFonts w:ascii="Tahoma" w:eastAsia="Tahoma" w:hAnsi="Tahoma" w:cs="Tahoma"/>
          <w:color w:val="000000"/>
          <w:sz w:val="22"/>
          <w:szCs w:val="22"/>
        </w:rPr>
        <w:t>₹</w:t>
      </w:r>
      <w:r w:rsidRPr="007C32C5">
        <w:rPr>
          <w:rFonts w:ascii="Palatino Linotype" w:eastAsia="Tahoma" w:hAnsi="Palatino Linotype"/>
          <w:color w:val="000000"/>
          <w:sz w:val="22"/>
          <w:szCs w:val="22"/>
        </w:rPr>
        <w:t>735</w:t>
      </w:r>
      <w:r w:rsidRPr="007C32C5">
        <w:rPr>
          <w:rFonts w:ascii="Palatino Linotype" w:eastAsia="Palatino Linotype" w:hAnsi="Palatino Linotype" w:cs="Palatino Linotype"/>
          <w:color w:val="000000"/>
          <w:sz w:val="22"/>
          <w:szCs w:val="22"/>
        </w:rPr>
        <w:t xml:space="preserve"> crore as compared to </w:t>
      </w:r>
      <w:r w:rsidRPr="007C32C5">
        <w:rPr>
          <w:rFonts w:ascii="Tahoma" w:eastAsia="Tahoma" w:hAnsi="Tahoma" w:cs="Tahoma"/>
          <w:color w:val="000000"/>
          <w:sz w:val="22"/>
          <w:szCs w:val="22"/>
        </w:rPr>
        <w:t>₹</w:t>
      </w:r>
      <w:r w:rsidRPr="007C32C5">
        <w:rPr>
          <w:rFonts w:ascii="Palatino Linotype" w:eastAsia="Tahoma" w:hAnsi="Palatino Linotype"/>
          <w:color w:val="000000"/>
          <w:sz w:val="22"/>
          <w:szCs w:val="22"/>
        </w:rPr>
        <w:t>352</w:t>
      </w:r>
      <w:r w:rsidRPr="007C32C5">
        <w:rPr>
          <w:rFonts w:ascii="Palatino Linotype" w:eastAsia="Palatino Linotype" w:hAnsi="Palatino Linotype" w:cs="Palatino Linotype"/>
          <w:color w:val="000000"/>
          <w:sz w:val="22"/>
          <w:szCs w:val="22"/>
        </w:rPr>
        <w:t xml:space="preserve"> crore as on July 31, 2020</w:t>
      </w:r>
      <w:r w:rsidR="00FC57AE">
        <w:rPr>
          <w:rFonts w:ascii="Palatino Linotype" w:eastAsia="Palatino Linotype" w:hAnsi="Palatino Linotype" w:cs="Palatino Linotype"/>
          <w:color w:val="000000"/>
          <w:sz w:val="22"/>
          <w:szCs w:val="22"/>
        </w:rPr>
        <w:t xml:space="preserve"> registering an increase of 108.8 </w:t>
      </w:r>
      <w:r w:rsidR="00BA7EC6">
        <w:rPr>
          <w:rFonts w:ascii="Palatino Linotype" w:eastAsia="Palatino Linotype" w:hAnsi="Palatino Linotype" w:cs="Palatino Linotype"/>
          <w:color w:val="000000"/>
          <w:sz w:val="22"/>
          <w:szCs w:val="22"/>
        </w:rPr>
        <w:t>per cent</w:t>
      </w:r>
      <w:r w:rsidRPr="007C32C5">
        <w:rPr>
          <w:rFonts w:ascii="Palatino Linotype" w:eastAsia="Palatino Linotype" w:hAnsi="Palatino Linotype" w:cs="Palatino Linotype"/>
          <w:color w:val="000000"/>
          <w:sz w:val="22"/>
          <w:szCs w:val="22"/>
        </w:rPr>
        <w:t>.</w:t>
      </w:r>
    </w:p>
    <w:p w14:paraId="684874E5" w14:textId="77777777" w:rsidR="007C32C5" w:rsidRPr="007C32C5" w:rsidRDefault="007C32C5" w:rsidP="007C32C5">
      <w:pPr>
        <w:tabs>
          <w:tab w:val="left" w:pos="3135"/>
        </w:tabs>
        <w:spacing w:line="276" w:lineRule="auto"/>
        <w:rPr>
          <w:rFonts w:ascii="Palatino Linotype" w:eastAsia="Palatino Linotype" w:hAnsi="Palatino Linotype" w:cs="Palatino Linotype"/>
          <w:b/>
          <w:sz w:val="22"/>
          <w:szCs w:val="22"/>
          <w:highlight w:val="yellow"/>
          <w:u w:val="single"/>
        </w:rPr>
      </w:pPr>
    </w:p>
    <w:p w14:paraId="3EB96C1A" w14:textId="77777777" w:rsidR="007C32C5" w:rsidRPr="007C32C5" w:rsidRDefault="007C32C5" w:rsidP="007C32C5">
      <w:pPr>
        <w:tabs>
          <w:tab w:val="left" w:pos="3135"/>
        </w:tabs>
        <w:spacing w:line="276" w:lineRule="auto"/>
        <w:rPr>
          <w:rFonts w:ascii="Palatino Linotype" w:eastAsia="Palatino Linotype" w:hAnsi="Palatino Linotype" w:cs="Palatino Linotype"/>
          <w:b/>
          <w:sz w:val="22"/>
          <w:szCs w:val="22"/>
          <w:u w:val="single"/>
        </w:rPr>
      </w:pPr>
      <w:r w:rsidRPr="007C32C5">
        <w:rPr>
          <w:rFonts w:ascii="Palatino Linotype" w:eastAsia="Palatino Linotype" w:hAnsi="Palatino Linotype" w:cs="Palatino Linotype"/>
          <w:b/>
          <w:sz w:val="22"/>
          <w:szCs w:val="22"/>
          <w:u w:val="single"/>
        </w:rPr>
        <w:t xml:space="preserve">NSE </w:t>
      </w:r>
    </w:p>
    <w:p w14:paraId="6A750566" w14:textId="77777777" w:rsidR="007C32C5" w:rsidRPr="007C32C5" w:rsidRDefault="007C32C5" w:rsidP="007C32C5">
      <w:pPr>
        <w:numPr>
          <w:ilvl w:val="0"/>
          <w:numId w:val="12"/>
        </w:numPr>
        <w:pBdr>
          <w:top w:val="nil"/>
          <w:left w:val="nil"/>
          <w:bottom w:val="nil"/>
          <w:right w:val="nil"/>
          <w:between w:val="nil"/>
        </w:pBdr>
        <w:spacing w:line="276" w:lineRule="auto"/>
        <w:ind w:left="567" w:hanging="567"/>
        <w:jc w:val="both"/>
        <w:rPr>
          <w:rFonts w:ascii="Palatino Linotype" w:hAnsi="Palatino Linotype"/>
          <w:color w:val="000000"/>
          <w:sz w:val="22"/>
          <w:szCs w:val="22"/>
        </w:rPr>
      </w:pPr>
      <w:r w:rsidRPr="007C32C5">
        <w:rPr>
          <w:rFonts w:ascii="Palatino Linotype" w:eastAsia="Palatino Linotype" w:hAnsi="Palatino Linotype" w:cs="Palatino Linotype"/>
          <w:color w:val="000000"/>
          <w:sz w:val="22"/>
          <w:szCs w:val="22"/>
        </w:rPr>
        <w:t xml:space="preserve">The notional monthly turnover in the equity derivatives segment of NSE decreased by 10.3 per cent to </w:t>
      </w:r>
      <w:r w:rsidRPr="007C32C5">
        <w:rPr>
          <w:rFonts w:ascii="Tahoma" w:eastAsia="Tahoma" w:hAnsi="Tahoma" w:cs="Tahoma"/>
          <w:color w:val="000000"/>
          <w:sz w:val="22"/>
          <w:szCs w:val="22"/>
        </w:rPr>
        <w:t>₹</w:t>
      </w:r>
      <w:r w:rsidRPr="007C32C5">
        <w:rPr>
          <w:rFonts w:ascii="Palatino Linotype" w:eastAsia="Tahoma" w:hAnsi="Palatino Linotype"/>
          <w:color w:val="000000"/>
          <w:sz w:val="22"/>
          <w:szCs w:val="22"/>
        </w:rPr>
        <w:t>394.3</w:t>
      </w:r>
      <w:r w:rsidRPr="007C32C5">
        <w:rPr>
          <w:rFonts w:ascii="Palatino Linotype" w:eastAsia="Palatino Linotype" w:hAnsi="Palatino Linotype" w:cs="Palatino Linotype"/>
          <w:color w:val="000000"/>
          <w:sz w:val="22"/>
          <w:szCs w:val="22"/>
        </w:rPr>
        <w:t xml:space="preserve"> lakh crore in August 2020 from </w:t>
      </w:r>
      <w:r w:rsidRPr="007C32C5">
        <w:rPr>
          <w:rFonts w:ascii="Tahoma" w:eastAsia="Tahoma" w:hAnsi="Tahoma" w:cs="Tahoma"/>
          <w:color w:val="000000"/>
          <w:sz w:val="22"/>
          <w:szCs w:val="22"/>
        </w:rPr>
        <w:t>₹</w:t>
      </w:r>
      <w:r w:rsidRPr="007C32C5">
        <w:rPr>
          <w:rFonts w:ascii="Palatino Linotype" w:eastAsia="Tahoma" w:hAnsi="Palatino Linotype"/>
          <w:color w:val="000000"/>
          <w:sz w:val="22"/>
          <w:szCs w:val="22"/>
        </w:rPr>
        <w:t>439.</w:t>
      </w:r>
      <w:r w:rsidRPr="007C32C5">
        <w:rPr>
          <w:rFonts w:ascii="Palatino Linotype" w:eastAsia="Palatino Linotype" w:hAnsi="Palatino Linotype" w:cs="Palatino Linotype"/>
          <w:color w:val="000000"/>
          <w:sz w:val="22"/>
          <w:szCs w:val="22"/>
        </w:rPr>
        <w:t>4 lakh crore i</w:t>
      </w:r>
      <w:r w:rsidRPr="007C32C5">
        <w:rPr>
          <w:rFonts w:ascii="Palatino Linotype" w:eastAsia="Palatino Linotype" w:hAnsi="Palatino Linotype" w:cs="Palatino Linotype"/>
          <w:color w:val="000000" w:themeColor="text1"/>
          <w:sz w:val="22"/>
          <w:szCs w:val="22"/>
        </w:rPr>
        <w:t xml:space="preserve">n </w:t>
      </w:r>
      <w:r w:rsidRPr="007C32C5">
        <w:rPr>
          <w:rFonts w:ascii="Palatino Linotype" w:eastAsia="Palatino Linotype" w:hAnsi="Palatino Linotype" w:cs="Palatino Linotype"/>
          <w:color w:val="000000"/>
          <w:sz w:val="22"/>
          <w:szCs w:val="22"/>
        </w:rPr>
        <w:t>July</w:t>
      </w:r>
      <w:r w:rsidRPr="007C32C5">
        <w:rPr>
          <w:rFonts w:ascii="Palatino Linotype" w:eastAsia="Palatino Linotype" w:hAnsi="Palatino Linotype" w:cs="Palatino Linotype"/>
          <w:color w:val="000000" w:themeColor="text1"/>
          <w:sz w:val="22"/>
          <w:szCs w:val="22"/>
        </w:rPr>
        <w:t xml:space="preserve"> 2020. </w:t>
      </w:r>
    </w:p>
    <w:p w14:paraId="265CFFBC" w14:textId="77777777" w:rsidR="007C32C5" w:rsidRPr="007C32C5" w:rsidRDefault="007C32C5" w:rsidP="007C32C5">
      <w:pPr>
        <w:numPr>
          <w:ilvl w:val="0"/>
          <w:numId w:val="12"/>
        </w:numPr>
        <w:pBdr>
          <w:top w:val="nil"/>
          <w:left w:val="nil"/>
          <w:bottom w:val="nil"/>
          <w:right w:val="nil"/>
          <w:between w:val="nil"/>
        </w:pBdr>
        <w:spacing w:line="276" w:lineRule="auto"/>
        <w:ind w:left="567" w:hanging="567"/>
        <w:jc w:val="both"/>
        <w:rPr>
          <w:rFonts w:ascii="Palatino Linotype" w:hAnsi="Palatino Linotype"/>
          <w:color w:val="000000" w:themeColor="text1"/>
          <w:sz w:val="22"/>
          <w:szCs w:val="22"/>
        </w:rPr>
      </w:pPr>
      <w:r w:rsidRPr="007C32C5">
        <w:rPr>
          <w:rFonts w:ascii="Palatino Linotype" w:eastAsia="Palatino Linotype" w:hAnsi="Palatino Linotype" w:cs="Palatino Linotype"/>
          <w:color w:val="000000" w:themeColor="text1"/>
          <w:sz w:val="22"/>
          <w:szCs w:val="22"/>
        </w:rPr>
        <w:t xml:space="preserve">The notional turnover in index options decreased to </w:t>
      </w:r>
      <w:r w:rsidRPr="007C32C5">
        <w:rPr>
          <w:rFonts w:ascii="Tahoma" w:eastAsia="Tahoma" w:hAnsi="Tahoma" w:cs="Tahoma"/>
          <w:color w:val="000000" w:themeColor="text1"/>
          <w:sz w:val="22"/>
          <w:szCs w:val="22"/>
        </w:rPr>
        <w:t>₹</w:t>
      </w:r>
      <w:r w:rsidRPr="007C32C5">
        <w:rPr>
          <w:rFonts w:ascii="Palatino Linotype" w:eastAsia="Tahoma" w:hAnsi="Palatino Linotype"/>
          <w:color w:val="000000" w:themeColor="text1"/>
          <w:sz w:val="22"/>
          <w:szCs w:val="22"/>
        </w:rPr>
        <w:t xml:space="preserve">353.7 </w:t>
      </w:r>
      <w:r w:rsidRPr="007C32C5">
        <w:rPr>
          <w:rFonts w:ascii="Palatino Linotype" w:eastAsia="Palatino Linotype" w:hAnsi="Palatino Linotype" w:cs="Palatino Linotype"/>
          <w:color w:val="000000" w:themeColor="text1"/>
          <w:sz w:val="22"/>
          <w:szCs w:val="22"/>
        </w:rPr>
        <w:t xml:space="preserve">lakh crore in August 2020 from </w:t>
      </w:r>
      <w:r w:rsidRPr="007C32C5">
        <w:rPr>
          <w:rFonts w:ascii="Tahoma" w:eastAsia="Tahoma" w:hAnsi="Tahoma" w:cs="Tahoma"/>
          <w:color w:val="000000" w:themeColor="text1"/>
          <w:sz w:val="22"/>
          <w:szCs w:val="22"/>
        </w:rPr>
        <w:t>₹</w:t>
      </w:r>
      <w:r w:rsidRPr="007C32C5">
        <w:rPr>
          <w:rFonts w:ascii="Palatino Linotype" w:eastAsia="Palatino Linotype" w:hAnsi="Palatino Linotype" w:cs="Palatino Linotype"/>
          <w:color w:val="000000" w:themeColor="text1"/>
          <w:sz w:val="22"/>
          <w:szCs w:val="22"/>
        </w:rPr>
        <w:t xml:space="preserve">394.8 lakh crore in July 2020, and </w:t>
      </w:r>
      <w:r w:rsidRPr="007C32C5">
        <w:rPr>
          <w:rFonts w:ascii="Palatino Linotype" w:eastAsia="Palatino Linotype" w:hAnsi="Palatino Linotype" w:cs="Palatino Linotype"/>
          <w:color w:val="000000"/>
          <w:sz w:val="22"/>
          <w:szCs w:val="22"/>
        </w:rPr>
        <w:t xml:space="preserve">accounted for 89.7 per cent of the total equity derivatives turnover </w:t>
      </w:r>
      <w:r w:rsidRPr="007C32C5">
        <w:rPr>
          <w:rFonts w:ascii="Palatino Linotype" w:eastAsia="Palatino Linotype" w:hAnsi="Palatino Linotype" w:cs="Palatino Linotype"/>
          <w:color w:val="000000" w:themeColor="text1"/>
          <w:sz w:val="22"/>
          <w:szCs w:val="22"/>
        </w:rPr>
        <w:t xml:space="preserve">of NSE.  </w:t>
      </w:r>
    </w:p>
    <w:p w14:paraId="58CB956E" w14:textId="77777777" w:rsidR="007C32C5" w:rsidRPr="007C32C5" w:rsidRDefault="007C32C5" w:rsidP="007C32C5">
      <w:pPr>
        <w:numPr>
          <w:ilvl w:val="0"/>
          <w:numId w:val="12"/>
        </w:numPr>
        <w:pBdr>
          <w:top w:val="nil"/>
          <w:left w:val="nil"/>
          <w:bottom w:val="nil"/>
          <w:right w:val="nil"/>
          <w:between w:val="nil"/>
        </w:pBdr>
        <w:spacing w:line="276" w:lineRule="auto"/>
        <w:ind w:left="567" w:hanging="567"/>
        <w:jc w:val="both"/>
        <w:rPr>
          <w:rFonts w:ascii="Palatino Linotype" w:hAnsi="Palatino Linotype"/>
          <w:color w:val="000000"/>
          <w:sz w:val="22"/>
          <w:szCs w:val="22"/>
        </w:rPr>
      </w:pPr>
      <w:r w:rsidRPr="007C32C5">
        <w:rPr>
          <w:rFonts w:ascii="Palatino Linotype" w:eastAsia="Palatino Linotype" w:hAnsi="Palatino Linotype" w:cs="Palatino Linotype"/>
          <w:color w:val="000000"/>
          <w:sz w:val="22"/>
          <w:szCs w:val="22"/>
        </w:rPr>
        <w:t xml:space="preserve">During August 2020, the percentage share of weekly options of total index options turnover stood at 73.4 per cent compared to 72.9 per cent in July 2020. The percentage share of monthly options in total index options turnover reduced to 25.8 per cent in August 2020, from 26.3 per cent in July 2020. </w:t>
      </w:r>
    </w:p>
    <w:p w14:paraId="15307767" w14:textId="77777777" w:rsidR="007C32C5" w:rsidRPr="007C32C5" w:rsidRDefault="007C32C5" w:rsidP="007C32C5">
      <w:pPr>
        <w:spacing w:line="276" w:lineRule="auto"/>
        <w:rPr>
          <w:rFonts w:ascii="Palatino Linotype" w:eastAsia="Palatino Linotype" w:hAnsi="Palatino Linotype" w:cs="Palatino Linotype"/>
          <w:b/>
          <w:color w:val="000000"/>
          <w:sz w:val="22"/>
          <w:szCs w:val="22"/>
          <w:highlight w:val="yellow"/>
        </w:rPr>
      </w:pPr>
    </w:p>
    <w:p w14:paraId="7F61671B" w14:textId="77777777" w:rsidR="007C32C5" w:rsidRPr="007C32C5" w:rsidRDefault="007C32C5" w:rsidP="007C32C5">
      <w:pPr>
        <w:spacing w:line="276" w:lineRule="auto"/>
        <w:jc w:val="center"/>
        <w:rPr>
          <w:rFonts w:ascii="Palatino Linotype" w:eastAsia="Palatino Linotype" w:hAnsi="Palatino Linotype" w:cs="Palatino Linotype"/>
          <w:b/>
          <w:color w:val="000000"/>
          <w:sz w:val="22"/>
          <w:szCs w:val="22"/>
          <w:highlight w:val="yellow"/>
        </w:rPr>
      </w:pPr>
    </w:p>
    <w:p w14:paraId="56BD7BF5" w14:textId="77777777" w:rsidR="007C32C5" w:rsidRPr="007C32C5" w:rsidRDefault="007C32C5" w:rsidP="007C32C5">
      <w:pPr>
        <w:spacing w:line="276" w:lineRule="auto"/>
        <w:jc w:val="center"/>
        <w:rPr>
          <w:rFonts w:ascii="Palatino Linotype" w:eastAsia="Palatino Linotype" w:hAnsi="Palatino Linotype" w:cs="Palatino Linotype"/>
          <w:b/>
          <w:color w:val="000000"/>
          <w:sz w:val="22"/>
          <w:szCs w:val="22"/>
          <w:highlight w:val="yellow"/>
        </w:rPr>
      </w:pPr>
    </w:p>
    <w:p w14:paraId="3E49374D" w14:textId="77777777" w:rsidR="007C32C5" w:rsidRPr="007C32C5" w:rsidRDefault="007C32C5" w:rsidP="007C32C5">
      <w:pPr>
        <w:spacing w:line="276" w:lineRule="auto"/>
        <w:jc w:val="center"/>
        <w:rPr>
          <w:rFonts w:ascii="Palatino Linotype" w:eastAsia="Palatino Linotype" w:hAnsi="Palatino Linotype" w:cs="Palatino Linotype"/>
          <w:b/>
          <w:color w:val="000000"/>
          <w:sz w:val="22"/>
          <w:szCs w:val="22"/>
          <w:highlight w:val="yellow"/>
        </w:rPr>
      </w:pPr>
    </w:p>
    <w:p w14:paraId="19DB61E3" w14:textId="77777777" w:rsidR="007C32C5" w:rsidRPr="007C32C5" w:rsidRDefault="007C32C5" w:rsidP="007C32C5">
      <w:pPr>
        <w:spacing w:line="276" w:lineRule="auto"/>
        <w:jc w:val="center"/>
        <w:rPr>
          <w:rFonts w:ascii="Palatino Linotype" w:eastAsia="Palatino Linotype" w:hAnsi="Palatino Linotype" w:cs="Palatino Linotype"/>
          <w:b/>
          <w:color w:val="000000"/>
          <w:sz w:val="22"/>
          <w:szCs w:val="22"/>
          <w:highlight w:val="yellow"/>
        </w:rPr>
      </w:pPr>
    </w:p>
    <w:p w14:paraId="1046FDEF" w14:textId="77777777" w:rsidR="007C32C5" w:rsidRPr="007C32C5" w:rsidRDefault="007C32C5" w:rsidP="007C32C5">
      <w:pPr>
        <w:spacing w:line="276" w:lineRule="auto"/>
        <w:jc w:val="center"/>
        <w:rPr>
          <w:rFonts w:ascii="Palatino Linotype" w:eastAsia="Palatino Linotype" w:hAnsi="Palatino Linotype" w:cs="Palatino Linotype"/>
          <w:b/>
          <w:color w:val="000000"/>
          <w:sz w:val="22"/>
          <w:szCs w:val="22"/>
          <w:highlight w:val="yellow"/>
        </w:rPr>
      </w:pPr>
    </w:p>
    <w:p w14:paraId="0E8883B5" w14:textId="77777777" w:rsidR="007C32C5" w:rsidRPr="007C32C5" w:rsidRDefault="007C32C5" w:rsidP="007C32C5">
      <w:pPr>
        <w:spacing w:line="276" w:lineRule="auto"/>
        <w:jc w:val="center"/>
        <w:rPr>
          <w:rFonts w:ascii="Palatino Linotype" w:eastAsia="Palatino Linotype" w:hAnsi="Palatino Linotype" w:cs="Palatino Linotype"/>
          <w:b/>
          <w:color w:val="000000"/>
          <w:sz w:val="22"/>
          <w:szCs w:val="22"/>
          <w:highlight w:val="yellow"/>
        </w:rPr>
      </w:pPr>
    </w:p>
    <w:p w14:paraId="26316DFA" w14:textId="77777777" w:rsidR="007C32C5" w:rsidRPr="007C32C5" w:rsidRDefault="007C32C5" w:rsidP="007C32C5">
      <w:pPr>
        <w:spacing w:line="276" w:lineRule="auto"/>
        <w:jc w:val="center"/>
        <w:rPr>
          <w:rFonts w:ascii="Palatino Linotype" w:eastAsia="Palatino Linotype" w:hAnsi="Palatino Linotype" w:cs="Palatino Linotype"/>
          <w:b/>
          <w:color w:val="000000"/>
          <w:sz w:val="22"/>
          <w:szCs w:val="22"/>
          <w:highlight w:val="yellow"/>
        </w:rPr>
      </w:pPr>
    </w:p>
    <w:p w14:paraId="5154E4A3" w14:textId="77777777" w:rsidR="007C32C5" w:rsidRPr="007C32C5" w:rsidRDefault="007C32C5" w:rsidP="007C32C5">
      <w:pPr>
        <w:spacing w:line="276" w:lineRule="auto"/>
        <w:jc w:val="center"/>
        <w:rPr>
          <w:rFonts w:ascii="Palatino Linotype" w:eastAsia="Palatino Linotype" w:hAnsi="Palatino Linotype" w:cs="Palatino Linotype"/>
          <w:b/>
          <w:color w:val="000000"/>
          <w:sz w:val="22"/>
          <w:szCs w:val="22"/>
        </w:rPr>
      </w:pPr>
      <w:r w:rsidRPr="007C32C5">
        <w:rPr>
          <w:rFonts w:ascii="Palatino Linotype" w:eastAsia="Palatino Linotype" w:hAnsi="Palatino Linotype" w:cs="Palatino Linotype"/>
          <w:b/>
          <w:color w:val="000000"/>
          <w:sz w:val="22"/>
          <w:szCs w:val="22"/>
        </w:rPr>
        <w:t>Figure 6: Maturity-wise percentage Share of Total Index Options Turnover at NSE (per cent)</w:t>
      </w:r>
    </w:p>
    <w:p w14:paraId="40D432BB"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color w:val="000000"/>
          <w:sz w:val="22"/>
          <w:szCs w:val="22"/>
          <w:highlight w:val="yellow"/>
        </w:rPr>
      </w:pPr>
      <w:r w:rsidRPr="007C32C5">
        <w:rPr>
          <w:noProof/>
          <w:lang w:val="en-IN" w:eastAsia="en-IN" w:bidi="hi-IN"/>
        </w:rPr>
        <w:drawing>
          <wp:inline distT="0" distB="0" distL="0" distR="0" wp14:anchorId="006E1BB7" wp14:editId="1B29DE66">
            <wp:extent cx="5286375" cy="286702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AB10E5" w14:textId="77777777" w:rsidR="007C32C5" w:rsidRPr="007C32C5" w:rsidRDefault="007C32C5" w:rsidP="007C32C5">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p>
    <w:p w14:paraId="68B3D650" w14:textId="77777777" w:rsidR="007C32C5" w:rsidRPr="007C32C5" w:rsidRDefault="007C32C5" w:rsidP="007C32C5">
      <w:pPr>
        <w:numPr>
          <w:ilvl w:val="0"/>
          <w:numId w:val="12"/>
        </w:numPr>
        <w:pBdr>
          <w:top w:val="nil"/>
          <w:left w:val="nil"/>
          <w:bottom w:val="nil"/>
          <w:right w:val="nil"/>
          <w:between w:val="nil"/>
        </w:pBdr>
        <w:spacing w:line="276" w:lineRule="auto"/>
        <w:ind w:left="567" w:hanging="567"/>
        <w:jc w:val="both"/>
        <w:rPr>
          <w:rFonts w:ascii="Palatino Linotype" w:hAnsi="Palatino Linotype"/>
          <w:color w:val="000000"/>
          <w:sz w:val="22"/>
          <w:szCs w:val="22"/>
        </w:rPr>
      </w:pPr>
      <w:r w:rsidRPr="007C32C5">
        <w:rPr>
          <w:rFonts w:ascii="Palatino Linotype" w:eastAsia="Palatino Linotype" w:hAnsi="Palatino Linotype" w:cs="Palatino Linotype"/>
          <w:color w:val="000000"/>
          <w:sz w:val="22"/>
          <w:szCs w:val="22"/>
        </w:rPr>
        <w:t xml:space="preserve">The notional turnover of index futures decreased by 20.1 per cent from </w:t>
      </w:r>
      <w:r w:rsidRPr="007C32C5">
        <w:rPr>
          <w:rFonts w:ascii="Tahoma" w:eastAsia="Tahoma" w:hAnsi="Tahoma" w:cs="Tahoma"/>
          <w:color w:val="000000"/>
          <w:sz w:val="22"/>
          <w:szCs w:val="22"/>
        </w:rPr>
        <w:t>₹</w:t>
      </w:r>
      <w:r w:rsidRPr="007C32C5">
        <w:rPr>
          <w:rFonts w:ascii="Palatino Linotype" w:eastAsia="Palatino Linotype" w:hAnsi="Palatino Linotype" w:cs="Palatino Linotype"/>
          <w:color w:val="000000"/>
          <w:sz w:val="22"/>
          <w:szCs w:val="22"/>
        </w:rPr>
        <w:t xml:space="preserve">7.8 lakh crore in July 2020 to </w:t>
      </w:r>
      <w:r w:rsidRPr="007C32C5">
        <w:rPr>
          <w:rFonts w:ascii="Tahoma" w:eastAsia="Tahoma" w:hAnsi="Tahoma" w:cs="Tahoma"/>
          <w:color w:val="000000"/>
          <w:sz w:val="22"/>
          <w:szCs w:val="22"/>
        </w:rPr>
        <w:t>₹</w:t>
      </w:r>
      <w:r w:rsidRPr="007C32C5">
        <w:rPr>
          <w:rFonts w:ascii="Palatino Linotype" w:eastAsia="Palatino Linotype" w:hAnsi="Palatino Linotype" w:cs="Palatino Linotype"/>
          <w:color w:val="000000"/>
          <w:sz w:val="22"/>
          <w:szCs w:val="22"/>
        </w:rPr>
        <w:t>6.2 lakh crore in August 2020.</w:t>
      </w:r>
    </w:p>
    <w:p w14:paraId="5631B2F2" w14:textId="77777777" w:rsidR="007C32C5" w:rsidRPr="007C32C5" w:rsidRDefault="007C32C5" w:rsidP="007C32C5">
      <w:pPr>
        <w:numPr>
          <w:ilvl w:val="0"/>
          <w:numId w:val="12"/>
        </w:numPr>
        <w:pBdr>
          <w:top w:val="nil"/>
          <w:left w:val="nil"/>
          <w:bottom w:val="nil"/>
          <w:right w:val="nil"/>
          <w:between w:val="nil"/>
        </w:pBdr>
        <w:spacing w:line="276" w:lineRule="auto"/>
        <w:ind w:left="567" w:hanging="567"/>
        <w:jc w:val="both"/>
        <w:rPr>
          <w:rFonts w:ascii="Palatino Linotype" w:hAnsi="Palatino Linotype"/>
          <w:color w:val="000000"/>
          <w:sz w:val="22"/>
          <w:szCs w:val="22"/>
        </w:rPr>
      </w:pPr>
      <w:r w:rsidRPr="007C32C5">
        <w:rPr>
          <w:rFonts w:ascii="Palatino Linotype" w:eastAsia="Palatino Linotype" w:hAnsi="Palatino Linotype" w:cs="Palatino Linotype"/>
          <w:color w:val="000000"/>
          <w:sz w:val="22"/>
          <w:szCs w:val="22"/>
        </w:rPr>
        <w:t xml:space="preserve">The notional turnover of stock futures decreased by 6.1 per cent from </w:t>
      </w:r>
      <w:r w:rsidRPr="007C32C5">
        <w:rPr>
          <w:rFonts w:ascii="Tahoma" w:eastAsia="Tahoma" w:hAnsi="Tahoma" w:cs="Tahoma"/>
          <w:color w:val="000000"/>
          <w:sz w:val="22"/>
          <w:szCs w:val="22"/>
        </w:rPr>
        <w:t>₹</w:t>
      </w:r>
      <w:r w:rsidRPr="007C32C5">
        <w:rPr>
          <w:rFonts w:ascii="Palatino Linotype" w:eastAsia="Palatino Linotype" w:hAnsi="Palatino Linotype" w:cs="Palatino Linotype"/>
          <w:color w:val="000000"/>
          <w:sz w:val="22"/>
          <w:szCs w:val="22"/>
        </w:rPr>
        <w:t xml:space="preserve">15.7 lakh crore in July 2020 to </w:t>
      </w:r>
      <w:r w:rsidRPr="007C32C5">
        <w:rPr>
          <w:rFonts w:ascii="Tahoma" w:eastAsia="Tahoma" w:hAnsi="Tahoma" w:cs="Tahoma"/>
          <w:color w:val="000000"/>
          <w:sz w:val="22"/>
          <w:szCs w:val="22"/>
        </w:rPr>
        <w:t>₹</w:t>
      </w:r>
      <w:r w:rsidRPr="007C32C5">
        <w:rPr>
          <w:rFonts w:ascii="Palatino Linotype" w:eastAsia="Palatino Linotype" w:hAnsi="Palatino Linotype" w:cs="Palatino Linotype"/>
          <w:color w:val="000000"/>
          <w:sz w:val="22"/>
          <w:szCs w:val="22"/>
        </w:rPr>
        <w:t>14.8 lakh crore in August 2020.</w:t>
      </w:r>
    </w:p>
    <w:p w14:paraId="4BAADFBB" w14:textId="77777777" w:rsidR="007C32C5" w:rsidRPr="007C32C5" w:rsidRDefault="007C32C5" w:rsidP="007C32C5">
      <w:pPr>
        <w:numPr>
          <w:ilvl w:val="0"/>
          <w:numId w:val="12"/>
        </w:numPr>
        <w:pBdr>
          <w:top w:val="nil"/>
          <w:left w:val="nil"/>
          <w:bottom w:val="nil"/>
          <w:right w:val="nil"/>
          <w:between w:val="nil"/>
        </w:pBdr>
        <w:spacing w:line="276" w:lineRule="auto"/>
        <w:ind w:left="567" w:hanging="567"/>
        <w:jc w:val="both"/>
        <w:rPr>
          <w:rFonts w:ascii="Palatino Linotype" w:hAnsi="Palatino Linotype"/>
          <w:color w:val="000000"/>
          <w:sz w:val="22"/>
          <w:szCs w:val="22"/>
        </w:rPr>
      </w:pPr>
      <w:r w:rsidRPr="007C32C5">
        <w:rPr>
          <w:rFonts w:ascii="Palatino Linotype" w:eastAsia="Palatino Linotype" w:hAnsi="Palatino Linotype" w:cs="Palatino Linotype"/>
          <w:color w:val="000000"/>
          <w:sz w:val="22"/>
          <w:szCs w:val="22"/>
        </w:rPr>
        <w:t xml:space="preserve">The notional turnover in stock options (call and put together) decreased by 7.2 per cent from </w:t>
      </w:r>
      <w:r w:rsidRPr="007C32C5">
        <w:rPr>
          <w:rFonts w:ascii="Tahoma" w:eastAsia="Tahoma" w:hAnsi="Tahoma" w:cs="Tahoma"/>
          <w:color w:val="000000"/>
          <w:sz w:val="22"/>
          <w:szCs w:val="22"/>
        </w:rPr>
        <w:t>₹</w:t>
      </w:r>
      <w:r w:rsidRPr="007C32C5">
        <w:rPr>
          <w:rFonts w:ascii="Palatino Linotype" w:eastAsia="Palatino Linotype" w:hAnsi="Palatino Linotype" w:cs="Palatino Linotype"/>
          <w:color w:val="000000"/>
          <w:sz w:val="22"/>
          <w:szCs w:val="22"/>
        </w:rPr>
        <w:t xml:space="preserve">21.1 lakh crore to </w:t>
      </w:r>
      <w:r w:rsidRPr="007C32C5">
        <w:rPr>
          <w:rFonts w:ascii="Tahoma" w:eastAsia="Tahoma" w:hAnsi="Tahoma" w:cs="Tahoma"/>
          <w:color w:val="000000"/>
          <w:sz w:val="22"/>
          <w:szCs w:val="22"/>
        </w:rPr>
        <w:t>₹</w:t>
      </w:r>
      <w:r w:rsidRPr="007C32C5">
        <w:rPr>
          <w:rFonts w:ascii="Palatino Linotype" w:eastAsia="Palatino Linotype" w:hAnsi="Palatino Linotype" w:cs="Palatino Linotype"/>
          <w:color w:val="000000"/>
          <w:sz w:val="22"/>
          <w:szCs w:val="22"/>
        </w:rPr>
        <w:t>19.6 lakh crore during the same period.</w:t>
      </w:r>
    </w:p>
    <w:p w14:paraId="7555DF66" w14:textId="77777777" w:rsidR="007C32C5" w:rsidRPr="007C32C5" w:rsidRDefault="007C32C5" w:rsidP="007C32C5">
      <w:pPr>
        <w:numPr>
          <w:ilvl w:val="0"/>
          <w:numId w:val="12"/>
        </w:numPr>
        <w:pBdr>
          <w:top w:val="nil"/>
          <w:left w:val="nil"/>
          <w:bottom w:val="nil"/>
          <w:right w:val="nil"/>
          <w:between w:val="nil"/>
        </w:pBdr>
        <w:spacing w:line="276" w:lineRule="auto"/>
        <w:ind w:left="567" w:hanging="567"/>
        <w:jc w:val="both"/>
        <w:rPr>
          <w:rFonts w:ascii="Palatino Linotype" w:hAnsi="Palatino Linotype"/>
          <w:color w:val="000000"/>
          <w:sz w:val="22"/>
          <w:szCs w:val="22"/>
        </w:rPr>
      </w:pPr>
      <w:r w:rsidRPr="007C32C5">
        <w:rPr>
          <w:rFonts w:ascii="Palatino Linotype" w:eastAsia="Palatino Linotype" w:hAnsi="Palatino Linotype" w:cs="Palatino Linotype"/>
          <w:color w:val="000000"/>
          <w:sz w:val="22"/>
          <w:szCs w:val="22"/>
        </w:rPr>
        <w:t xml:space="preserve">As on August 31, 2020, the open interest in equity derivatives at NSE stood at </w:t>
      </w:r>
      <w:r w:rsidRPr="007C32C5">
        <w:rPr>
          <w:rFonts w:ascii="Tahoma" w:eastAsia="Tahoma" w:hAnsi="Tahoma" w:cs="Tahoma"/>
          <w:color w:val="000000"/>
          <w:sz w:val="22"/>
          <w:szCs w:val="22"/>
        </w:rPr>
        <w:t>₹</w:t>
      </w:r>
      <w:r w:rsidRPr="007C32C5">
        <w:t xml:space="preserve"> </w:t>
      </w:r>
      <w:r w:rsidRPr="007C32C5">
        <w:rPr>
          <w:rFonts w:ascii="Palatino Linotype" w:eastAsia="Palatino Linotype" w:hAnsi="Palatino Linotype" w:cs="Palatino Linotype"/>
          <w:color w:val="000000"/>
          <w:sz w:val="22"/>
          <w:szCs w:val="22"/>
        </w:rPr>
        <w:t xml:space="preserve">3,40,564crore, an increase of 15.3 per cent from </w:t>
      </w:r>
      <w:r w:rsidRPr="007C32C5">
        <w:rPr>
          <w:rFonts w:ascii="Tahoma" w:eastAsia="Tahoma" w:hAnsi="Tahoma" w:cs="Tahoma"/>
          <w:color w:val="000000"/>
          <w:sz w:val="22"/>
          <w:szCs w:val="22"/>
        </w:rPr>
        <w:t>₹</w:t>
      </w:r>
      <w:r w:rsidRPr="007C32C5">
        <w:t xml:space="preserve"> </w:t>
      </w:r>
      <w:r w:rsidRPr="007C32C5">
        <w:rPr>
          <w:rFonts w:ascii="Palatino Linotype" w:eastAsia="Palatino Linotype" w:hAnsi="Palatino Linotype" w:cs="Palatino Linotype"/>
          <w:color w:val="000000"/>
          <w:sz w:val="22"/>
          <w:szCs w:val="22"/>
        </w:rPr>
        <w:t>2,95,274crore as on July 31, 2020.</w:t>
      </w:r>
    </w:p>
    <w:p w14:paraId="7A683D6B" w14:textId="77777777" w:rsidR="007C32C5" w:rsidRPr="007C32C5" w:rsidRDefault="007C32C5" w:rsidP="007C32C5">
      <w:pPr>
        <w:pBdr>
          <w:top w:val="nil"/>
          <w:left w:val="nil"/>
          <w:bottom w:val="nil"/>
          <w:right w:val="nil"/>
          <w:between w:val="nil"/>
        </w:pBdr>
        <w:spacing w:line="276" w:lineRule="auto"/>
        <w:rPr>
          <w:rFonts w:ascii="Palatino Linotype" w:eastAsia="Palatino Linotype" w:hAnsi="Palatino Linotype" w:cs="Palatino Linotype"/>
          <w:b/>
          <w:color w:val="000000"/>
          <w:sz w:val="22"/>
          <w:szCs w:val="22"/>
          <w:highlight w:val="yellow"/>
        </w:rPr>
      </w:pPr>
    </w:p>
    <w:p w14:paraId="0C092B55" w14:textId="77777777" w:rsidR="007C32C5" w:rsidRPr="007C32C5" w:rsidRDefault="007C32C5" w:rsidP="007C32C5">
      <w:pPr>
        <w:rPr>
          <w:rFonts w:ascii="Palatino Linotype" w:eastAsia="Palatino Linotype" w:hAnsi="Palatino Linotype" w:cs="Palatino Linotype"/>
          <w:b/>
          <w:color w:val="000000"/>
          <w:sz w:val="22"/>
          <w:szCs w:val="22"/>
          <w:highlight w:val="yellow"/>
        </w:rPr>
      </w:pPr>
      <w:r w:rsidRPr="007C32C5">
        <w:rPr>
          <w:rFonts w:ascii="Palatino Linotype" w:eastAsia="Palatino Linotype" w:hAnsi="Palatino Linotype" w:cs="Palatino Linotype"/>
          <w:b/>
          <w:color w:val="000000"/>
          <w:sz w:val="22"/>
          <w:szCs w:val="22"/>
          <w:highlight w:val="yellow"/>
        </w:rPr>
        <w:br w:type="page"/>
      </w:r>
    </w:p>
    <w:p w14:paraId="56D0204A"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000000"/>
          <w:sz w:val="22"/>
          <w:szCs w:val="22"/>
        </w:rPr>
      </w:pPr>
      <w:r w:rsidRPr="007C32C5">
        <w:rPr>
          <w:rFonts w:ascii="Palatino Linotype" w:eastAsia="Palatino Linotype" w:hAnsi="Palatino Linotype" w:cs="Palatino Linotype"/>
          <w:b/>
          <w:color w:val="000000"/>
          <w:sz w:val="22"/>
          <w:szCs w:val="22"/>
        </w:rPr>
        <w:lastRenderedPageBreak/>
        <w:t>Figure 7: Trends of Equity Derivatives Segment at NSE (</w:t>
      </w:r>
      <w:r w:rsidRPr="007C32C5">
        <w:rPr>
          <w:rFonts w:ascii="Tahoma" w:eastAsia="Tahoma" w:hAnsi="Tahoma" w:cs="Tahoma"/>
          <w:b/>
          <w:color w:val="000000"/>
          <w:sz w:val="22"/>
          <w:szCs w:val="22"/>
        </w:rPr>
        <w:t>₹</w:t>
      </w:r>
      <w:r w:rsidRPr="007C32C5">
        <w:rPr>
          <w:rFonts w:ascii="Palatino Linotype" w:eastAsia="Tahoma" w:hAnsi="Palatino Linotype" w:cs="Tahoma"/>
          <w:b/>
          <w:color w:val="000000"/>
          <w:sz w:val="22"/>
          <w:szCs w:val="22"/>
        </w:rPr>
        <w:t xml:space="preserve"> </w:t>
      </w:r>
      <w:r w:rsidRPr="007C32C5">
        <w:rPr>
          <w:rFonts w:ascii="Palatino Linotype" w:eastAsia="Palatino Linotype" w:hAnsi="Palatino Linotype" w:cs="Palatino Linotype"/>
          <w:b/>
          <w:color w:val="000000"/>
          <w:sz w:val="22"/>
          <w:szCs w:val="22"/>
        </w:rPr>
        <w:t>lakh crore)</w:t>
      </w:r>
    </w:p>
    <w:p w14:paraId="09738A82"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000000"/>
          <w:sz w:val="22"/>
          <w:szCs w:val="22"/>
          <w:highlight w:val="yellow"/>
        </w:rPr>
      </w:pPr>
      <w:r w:rsidRPr="007C32C5">
        <w:rPr>
          <w:noProof/>
          <w:lang w:val="en-IN" w:eastAsia="en-IN" w:bidi="hi-IN"/>
        </w:rPr>
        <w:drawing>
          <wp:inline distT="0" distB="0" distL="0" distR="0" wp14:anchorId="3045BB42" wp14:editId="7E2DADE6">
            <wp:extent cx="5448300" cy="2210533"/>
            <wp:effectExtent l="0" t="0" r="0" b="1841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95459D" w14:textId="77777777" w:rsidR="007C32C5" w:rsidRPr="007C32C5" w:rsidRDefault="007C32C5" w:rsidP="007C32C5">
      <w:pPr>
        <w:widowControl w:val="0"/>
        <w:spacing w:line="276" w:lineRule="auto"/>
        <w:ind w:left="720"/>
        <w:jc w:val="both"/>
        <w:rPr>
          <w:rFonts w:ascii="Palatino Linotype" w:eastAsia="Palatino Linotype" w:hAnsi="Palatino Linotype" w:cs="Palatino Linotype"/>
          <w:b/>
          <w:sz w:val="22"/>
          <w:szCs w:val="22"/>
        </w:rPr>
      </w:pPr>
    </w:p>
    <w:p w14:paraId="699C6E33" w14:textId="77777777" w:rsidR="007C32C5" w:rsidRPr="007C32C5" w:rsidRDefault="007C32C5" w:rsidP="007C32C5">
      <w:pPr>
        <w:widowControl w:val="0"/>
        <w:numPr>
          <w:ilvl w:val="0"/>
          <w:numId w:val="11"/>
        </w:numPr>
        <w:spacing w:line="276" w:lineRule="auto"/>
        <w:ind w:left="567" w:hanging="567"/>
        <w:jc w:val="both"/>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Currency Derivatives at NSE, BSE and MSEI</w:t>
      </w:r>
    </w:p>
    <w:p w14:paraId="313C9663" w14:textId="77777777" w:rsidR="007C32C5" w:rsidRPr="007C32C5" w:rsidRDefault="007C32C5" w:rsidP="007C32C5">
      <w:pPr>
        <w:widowControl w:val="0"/>
        <w:spacing w:line="276" w:lineRule="auto"/>
        <w:jc w:val="both"/>
        <w:rPr>
          <w:rFonts w:ascii="Palatino Linotype" w:eastAsia="Palatino Linotype" w:hAnsi="Palatino Linotype" w:cs="Palatino Linotype"/>
          <w:b/>
          <w:sz w:val="22"/>
          <w:szCs w:val="22"/>
          <w:highlight w:val="yellow"/>
        </w:rPr>
      </w:pPr>
    </w:p>
    <w:p w14:paraId="7C62111A" w14:textId="77777777" w:rsidR="007C32C5" w:rsidRPr="007C32C5" w:rsidRDefault="007C32C5" w:rsidP="007C32C5">
      <w:pPr>
        <w:numPr>
          <w:ilvl w:val="0"/>
          <w:numId w:val="13"/>
        </w:num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r w:rsidRPr="007C32C5">
        <w:rPr>
          <w:rFonts w:ascii="Palatino Linotype" w:eastAsia="Palatino Linotype" w:hAnsi="Palatino Linotype" w:cs="Palatino Linotype"/>
          <w:color w:val="000000"/>
          <w:sz w:val="22"/>
          <w:szCs w:val="22"/>
        </w:rPr>
        <w:t xml:space="preserve">During August 2020, the monthly turnover of currency derivatives in India (NSE, BSE and MSEI together) was </w:t>
      </w:r>
      <w:r w:rsidRPr="007C32C5">
        <w:rPr>
          <w:rFonts w:ascii="Tahoma" w:eastAsia="Palatino Linotype" w:hAnsi="Tahoma" w:cs="Tahoma"/>
          <w:color w:val="000000"/>
          <w:sz w:val="22"/>
          <w:szCs w:val="22"/>
        </w:rPr>
        <w:t>₹</w:t>
      </w:r>
      <w:r w:rsidRPr="007C32C5">
        <w:rPr>
          <w:rFonts w:ascii="Palatino Linotype" w:eastAsia="Palatino Linotype" w:hAnsi="Palatino Linotype" w:cs="Palatino Linotype"/>
          <w:color w:val="000000"/>
          <w:sz w:val="22"/>
          <w:szCs w:val="22"/>
        </w:rPr>
        <w:t xml:space="preserve">14,33,946 crore as compared to </w:t>
      </w:r>
      <w:r w:rsidRPr="007C32C5">
        <w:rPr>
          <w:rFonts w:ascii="Tahoma" w:eastAsia="Palatino Linotype" w:hAnsi="Tahoma" w:cs="Tahoma"/>
          <w:color w:val="000000"/>
          <w:sz w:val="22"/>
          <w:szCs w:val="22"/>
        </w:rPr>
        <w:t>₹</w:t>
      </w:r>
      <w:r w:rsidRPr="007C32C5">
        <w:rPr>
          <w:rFonts w:ascii="Palatino Linotype" w:eastAsia="Palatino Linotype" w:hAnsi="Palatino Linotype" w:cs="Palatino Linotype"/>
          <w:color w:val="000000"/>
          <w:sz w:val="22"/>
          <w:szCs w:val="22"/>
        </w:rPr>
        <w:t>13,84,626 crore in July 2020, registering an increase of 3.6 per cent during the period under consideration.</w:t>
      </w:r>
    </w:p>
    <w:p w14:paraId="59371B0A" w14:textId="77777777" w:rsidR="007C32C5" w:rsidRPr="007C32C5" w:rsidRDefault="007C32C5" w:rsidP="007C32C5">
      <w:pPr>
        <w:pBdr>
          <w:top w:val="nil"/>
          <w:left w:val="nil"/>
          <w:bottom w:val="nil"/>
          <w:right w:val="nil"/>
          <w:between w:val="nil"/>
        </w:pBdr>
        <w:spacing w:line="276" w:lineRule="auto"/>
        <w:ind w:left="360" w:hanging="720"/>
        <w:jc w:val="center"/>
        <w:rPr>
          <w:rFonts w:ascii="Palatino Linotype" w:eastAsia="Palatino Linotype" w:hAnsi="Palatino Linotype" w:cs="Palatino Linotype"/>
          <w:color w:val="000000"/>
          <w:sz w:val="22"/>
          <w:szCs w:val="22"/>
          <w:highlight w:val="yellow"/>
        </w:rPr>
      </w:pPr>
    </w:p>
    <w:p w14:paraId="32152D91" w14:textId="77777777" w:rsidR="007C32C5" w:rsidRPr="007C32C5" w:rsidRDefault="007C32C5" w:rsidP="007C32C5">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000000"/>
          <w:sz w:val="22"/>
          <w:szCs w:val="22"/>
        </w:rPr>
      </w:pPr>
      <w:r w:rsidRPr="007C32C5">
        <w:rPr>
          <w:rFonts w:ascii="Palatino Linotype" w:eastAsia="Palatino Linotype" w:hAnsi="Palatino Linotype" w:cs="Palatino Linotype"/>
          <w:b/>
          <w:color w:val="000000"/>
          <w:sz w:val="22"/>
          <w:szCs w:val="22"/>
        </w:rPr>
        <w:t>Figure 8: Trends of Currency Derivatives at NSE, MSEI and BSE (</w:t>
      </w:r>
      <w:r w:rsidRPr="007C32C5">
        <w:rPr>
          <w:rFonts w:ascii="Tahoma" w:eastAsia="Tahoma" w:hAnsi="Tahoma" w:cs="Tahoma"/>
          <w:b/>
          <w:color w:val="000000"/>
          <w:sz w:val="22"/>
          <w:szCs w:val="22"/>
        </w:rPr>
        <w:t>₹</w:t>
      </w:r>
      <w:r w:rsidRPr="007C32C5">
        <w:rPr>
          <w:rFonts w:ascii="Palatino Linotype" w:eastAsia="Palatino Linotype" w:hAnsi="Palatino Linotype" w:cs="Palatino Linotype"/>
          <w:b/>
          <w:color w:val="000000"/>
          <w:sz w:val="22"/>
          <w:szCs w:val="22"/>
        </w:rPr>
        <w:t>crore)</w:t>
      </w:r>
    </w:p>
    <w:p w14:paraId="7181F2D5" w14:textId="77777777" w:rsidR="007C32C5" w:rsidRPr="007C32C5" w:rsidRDefault="007C32C5" w:rsidP="007C32C5">
      <w:pPr>
        <w:spacing w:line="276" w:lineRule="auto"/>
        <w:jc w:val="center"/>
        <w:rPr>
          <w:rFonts w:ascii="Palatino Linotype" w:eastAsia="Palatino Linotype" w:hAnsi="Palatino Linotype" w:cs="Palatino Linotype"/>
          <w:b/>
          <w:sz w:val="22"/>
          <w:szCs w:val="22"/>
          <w:highlight w:val="yellow"/>
        </w:rPr>
      </w:pPr>
      <w:r w:rsidRPr="007C32C5">
        <w:rPr>
          <w:noProof/>
          <w:lang w:val="en-IN" w:eastAsia="en-IN" w:bidi="hi-IN"/>
        </w:rPr>
        <w:drawing>
          <wp:inline distT="0" distB="0" distL="0" distR="0" wp14:anchorId="39754DB9" wp14:editId="6433897F">
            <wp:extent cx="5686425" cy="2933700"/>
            <wp:effectExtent l="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4DC972" w14:textId="77777777" w:rsidR="007C32C5" w:rsidRPr="007C32C5" w:rsidRDefault="007C32C5" w:rsidP="007C32C5">
      <w:pPr>
        <w:widowControl w:val="0"/>
        <w:spacing w:line="276" w:lineRule="auto"/>
        <w:ind w:left="720"/>
        <w:jc w:val="both"/>
        <w:rPr>
          <w:rFonts w:ascii="Palatino Linotype" w:eastAsia="Palatino Linotype" w:hAnsi="Palatino Linotype" w:cs="Palatino Linotype"/>
          <w:b/>
          <w:sz w:val="22"/>
          <w:szCs w:val="22"/>
          <w:highlight w:val="yellow"/>
        </w:rPr>
      </w:pPr>
    </w:p>
    <w:p w14:paraId="4035DBD4" w14:textId="77777777" w:rsidR="007C32C5" w:rsidRPr="007C32C5" w:rsidRDefault="007C32C5" w:rsidP="007C32C5">
      <w:pPr>
        <w:widowControl w:val="0"/>
        <w:numPr>
          <w:ilvl w:val="0"/>
          <w:numId w:val="11"/>
        </w:numPr>
        <w:spacing w:line="276" w:lineRule="auto"/>
        <w:ind w:left="567" w:hanging="567"/>
        <w:jc w:val="both"/>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 xml:space="preserve">Interest Rate Futures at NSE and BSE </w:t>
      </w:r>
    </w:p>
    <w:p w14:paraId="6D3F1D71" w14:textId="77777777" w:rsidR="007C32C5" w:rsidRPr="007C32C5" w:rsidRDefault="007C32C5" w:rsidP="007C32C5">
      <w:pPr>
        <w:keepNext/>
        <w:spacing w:line="276" w:lineRule="auto"/>
        <w:jc w:val="both"/>
        <w:rPr>
          <w:rFonts w:ascii="Palatino Linotype" w:eastAsia="Palatino Linotype" w:hAnsi="Palatino Linotype" w:cs="Palatino Linotype"/>
          <w:sz w:val="22"/>
          <w:szCs w:val="22"/>
        </w:rPr>
      </w:pPr>
    </w:p>
    <w:p w14:paraId="2959788E" w14:textId="77777777" w:rsidR="007C32C5" w:rsidRPr="007C32C5" w:rsidRDefault="007C32C5" w:rsidP="007C32C5">
      <w:pPr>
        <w:numPr>
          <w:ilvl w:val="0"/>
          <w:numId w:val="13"/>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7C32C5">
        <w:rPr>
          <w:rFonts w:ascii="Palatino Linotype" w:eastAsia="Palatino Linotype" w:hAnsi="Palatino Linotype" w:cs="Palatino Linotype"/>
          <w:sz w:val="22"/>
          <w:szCs w:val="22"/>
        </w:rPr>
        <w:t xml:space="preserve">During August 2020, the monthly turnover of interest rate futures at NSE decreased by 23.0 per cent to </w:t>
      </w:r>
      <w:r w:rsidRPr="007C32C5">
        <w:rPr>
          <w:rFonts w:ascii="Tahoma" w:eastAsia="Palatino Linotype" w:hAnsi="Tahoma" w:cs="Tahoma"/>
          <w:sz w:val="22"/>
          <w:szCs w:val="22"/>
        </w:rPr>
        <w:t>₹</w:t>
      </w:r>
      <w:r w:rsidRPr="007C32C5">
        <w:rPr>
          <w:rFonts w:ascii="Palatino Linotype" w:eastAsia="Palatino Linotype" w:hAnsi="Palatino Linotype"/>
          <w:sz w:val="22"/>
          <w:szCs w:val="22"/>
        </w:rPr>
        <w:t xml:space="preserve">8,836 </w:t>
      </w:r>
      <w:r w:rsidRPr="007C32C5">
        <w:rPr>
          <w:rFonts w:ascii="Palatino Linotype" w:eastAsia="Palatino Linotype" w:hAnsi="Palatino Linotype" w:cs="Palatino Linotype"/>
          <w:sz w:val="22"/>
          <w:szCs w:val="22"/>
        </w:rPr>
        <w:t xml:space="preserve">crore from </w:t>
      </w:r>
      <w:r w:rsidRPr="007C32C5">
        <w:rPr>
          <w:rFonts w:ascii="Tahoma" w:eastAsia="Palatino Linotype" w:hAnsi="Tahoma" w:cs="Tahoma"/>
          <w:sz w:val="22"/>
          <w:szCs w:val="22"/>
        </w:rPr>
        <w:t>₹</w:t>
      </w:r>
      <w:r w:rsidRPr="007C32C5">
        <w:rPr>
          <w:rFonts w:ascii="Palatino Linotype" w:eastAsia="Palatino Linotype" w:hAnsi="Palatino Linotype"/>
          <w:sz w:val="22"/>
          <w:szCs w:val="22"/>
        </w:rPr>
        <w:t xml:space="preserve">11,478 </w:t>
      </w:r>
      <w:r w:rsidRPr="007C32C5">
        <w:rPr>
          <w:rFonts w:ascii="Palatino Linotype" w:eastAsia="Palatino Linotype" w:hAnsi="Palatino Linotype" w:cs="Palatino Linotype"/>
          <w:sz w:val="22"/>
          <w:szCs w:val="22"/>
        </w:rPr>
        <w:t xml:space="preserve">crore in July 2020. </w:t>
      </w:r>
    </w:p>
    <w:p w14:paraId="6872A6D7" w14:textId="77777777" w:rsidR="007C32C5" w:rsidRPr="007C32C5" w:rsidRDefault="007C32C5" w:rsidP="007C32C5">
      <w:pPr>
        <w:numPr>
          <w:ilvl w:val="0"/>
          <w:numId w:val="13"/>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7C32C5">
        <w:rPr>
          <w:rFonts w:ascii="Palatino Linotype" w:eastAsia="Palatino Linotype" w:hAnsi="Palatino Linotype" w:cs="Palatino Linotype"/>
          <w:sz w:val="22"/>
          <w:szCs w:val="22"/>
        </w:rPr>
        <w:t xml:space="preserve">The monthly turnover of interest rate futures at BSE also decreased by 67.2 per cent to </w:t>
      </w:r>
      <w:r w:rsidRPr="007C32C5">
        <w:rPr>
          <w:rFonts w:ascii="Tahoma" w:eastAsia="Tahoma" w:hAnsi="Tahoma" w:cs="Tahoma"/>
          <w:sz w:val="22"/>
          <w:szCs w:val="22"/>
        </w:rPr>
        <w:t>₹</w:t>
      </w:r>
      <w:r w:rsidRPr="007C32C5">
        <w:rPr>
          <w:rFonts w:ascii="Palatino Linotype" w:eastAsia="Palatino Linotype" w:hAnsi="Palatino Linotype" w:cs="Palatino Linotype"/>
          <w:sz w:val="22"/>
          <w:szCs w:val="22"/>
        </w:rPr>
        <w:t xml:space="preserve">1,339 crore from </w:t>
      </w:r>
      <w:r w:rsidRPr="007C32C5">
        <w:rPr>
          <w:rFonts w:ascii="Tahoma" w:eastAsia="Tahoma" w:hAnsi="Tahoma" w:cs="Tahoma"/>
          <w:sz w:val="22"/>
          <w:szCs w:val="22"/>
        </w:rPr>
        <w:t>₹</w:t>
      </w:r>
      <w:r w:rsidRPr="007C32C5">
        <w:rPr>
          <w:rFonts w:ascii="Palatino Linotype" w:eastAsia="Palatino Linotype" w:hAnsi="Palatino Linotype" w:cs="Palatino Linotype"/>
          <w:sz w:val="22"/>
          <w:szCs w:val="22"/>
        </w:rPr>
        <w:t xml:space="preserve">4,082 crore during the same period. </w:t>
      </w:r>
    </w:p>
    <w:p w14:paraId="11777C58" w14:textId="77777777" w:rsidR="007C32C5" w:rsidRPr="007C32C5" w:rsidRDefault="007C32C5" w:rsidP="007C32C5">
      <w:pPr>
        <w:pBdr>
          <w:top w:val="nil"/>
          <w:left w:val="nil"/>
          <w:bottom w:val="nil"/>
          <w:right w:val="nil"/>
          <w:between w:val="nil"/>
        </w:pBdr>
        <w:spacing w:line="276" w:lineRule="auto"/>
        <w:rPr>
          <w:rFonts w:ascii="Palatino Linotype" w:eastAsia="Palatino Linotype" w:hAnsi="Palatino Linotype" w:cs="Palatino Linotype"/>
          <w:b/>
          <w:sz w:val="22"/>
          <w:szCs w:val="22"/>
          <w:highlight w:val="yellow"/>
        </w:rPr>
      </w:pPr>
    </w:p>
    <w:p w14:paraId="2FEA0793" w14:textId="77777777" w:rsidR="007C32C5" w:rsidRPr="007C32C5" w:rsidRDefault="007C32C5" w:rsidP="007C32C5">
      <w:pPr>
        <w:rPr>
          <w:rFonts w:ascii="Palatino Linotype" w:eastAsia="Palatino Linotype" w:hAnsi="Palatino Linotype" w:cs="Palatino Linotype"/>
          <w:b/>
          <w:sz w:val="22"/>
          <w:szCs w:val="22"/>
          <w:highlight w:val="yellow"/>
        </w:rPr>
      </w:pPr>
      <w:r w:rsidRPr="007C32C5">
        <w:rPr>
          <w:rFonts w:ascii="Palatino Linotype" w:eastAsia="Palatino Linotype" w:hAnsi="Palatino Linotype" w:cs="Palatino Linotype"/>
          <w:b/>
          <w:sz w:val="22"/>
          <w:szCs w:val="22"/>
          <w:highlight w:val="yellow"/>
        </w:rPr>
        <w:br w:type="page"/>
      </w:r>
    </w:p>
    <w:p w14:paraId="40315071" w14:textId="77777777" w:rsidR="007C32C5" w:rsidRPr="007C32C5" w:rsidRDefault="007C32C5" w:rsidP="007C32C5">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lastRenderedPageBreak/>
        <w:t>Figure 9: Trends of Interest Rate Futures at NSE and BSE (</w:t>
      </w:r>
      <w:r w:rsidRPr="007C32C5">
        <w:rPr>
          <w:rFonts w:ascii="Tahoma" w:eastAsia="Tahoma" w:hAnsi="Tahoma" w:cs="Tahoma"/>
          <w:b/>
          <w:sz w:val="22"/>
          <w:szCs w:val="22"/>
        </w:rPr>
        <w:t>₹</w:t>
      </w:r>
      <w:r w:rsidRPr="007C32C5">
        <w:rPr>
          <w:rFonts w:ascii="Times New Roman" w:eastAsia="Tahoma" w:hAnsi="Times New Roman"/>
          <w:b/>
          <w:sz w:val="22"/>
          <w:szCs w:val="22"/>
        </w:rPr>
        <w:t xml:space="preserve"> </w:t>
      </w:r>
      <w:r w:rsidRPr="007C32C5">
        <w:rPr>
          <w:rFonts w:ascii="Palatino Linotype" w:eastAsia="Palatino Linotype" w:hAnsi="Palatino Linotype" w:cs="Palatino Linotype"/>
          <w:b/>
          <w:sz w:val="22"/>
          <w:szCs w:val="22"/>
        </w:rPr>
        <w:t>crore)</w:t>
      </w:r>
    </w:p>
    <w:p w14:paraId="3EE7E82D"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0070C0"/>
          <w:sz w:val="22"/>
          <w:szCs w:val="22"/>
          <w:highlight w:val="yellow"/>
        </w:rPr>
      </w:pPr>
      <w:r w:rsidRPr="007C32C5">
        <w:rPr>
          <w:noProof/>
          <w:lang w:val="en-IN" w:eastAsia="en-IN" w:bidi="hi-IN"/>
        </w:rPr>
        <w:drawing>
          <wp:inline distT="0" distB="0" distL="0" distR="0" wp14:anchorId="282EBE6E" wp14:editId="244C4E04">
            <wp:extent cx="4304581" cy="1932317"/>
            <wp:effectExtent l="0" t="0" r="1270" b="1079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C2DA1E" w14:textId="77777777" w:rsidR="007C32C5" w:rsidRPr="007C32C5" w:rsidRDefault="007C32C5" w:rsidP="007C32C5">
      <w:pPr>
        <w:spacing w:line="276" w:lineRule="auto"/>
        <w:rPr>
          <w:rFonts w:ascii="Palatino Linotype" w:eastAsia="Palatino Linotype" w:hAnsi="Palatino Linotype" w:cs="Palatino Linotype"/>
          <w:b/>
          <w:color w:val="0070C0"/>
          <w:sz w:val="22"/>
          <w:szCs w:val="22"/>
          <w:highlight w:val="yellow"/>
        </w:rPr>
      </w:pPr>
    </w:p>
    <w:p w14:paraId="0B368D97" w14:textId="77777777" w:rsidR="007C32C5" w:rsidRPr="007C32C5" w:rsidRDefault="007C32C5" w:rsidP="007C32C5">
      <w:pPr>
        <w:widowControl w:val="0"/>
        <w:numPr>
          <w:ilvl w:val="0"/>
          <w:numId w:val="9"/>
        </w:numPr>
        <w:spacing w:line="276" w:lineRule="auto"/>
        <w:ind w:left="567" w:hanging="567"/>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Trading in Corporate Debt Market</w:t>
      </w:r>
    </w:p>
    <w:p w14:paraId="46E2816B" w14:textId="77777777" w:rsidR="007C32C5" w:rsidRPr="007C32C5" w:rsidRDefault="007C32C5" w:rsidP="007C32C5">
      <w:pPr>
        <w:widowControl w:val="0"/>
        <w:spacing w:line="276" w:lineRule="auto"/>
        <w:ind w:left="720"/>
        <w:jc w:val="both"/>
        <w:rPr>
          <w:rFonts w:ascii="Palatino Linotype" w:eastAsia="Palatino Linotype" w:hAnsi="Palatino Linotype" w:cs="Palatino Linotype"/>
          <w:sz w:val="22"/>
          <w:szCs w:val="22"/>
        </w:rPr>
      </w:pPr>
    </w:p>
    <w:p w14:paraId="7A8BBC1C" w14:textId="77777777" w:rsidR="007C32C5" w:rsidRPr="007C32C5" w:rsidRDefault="007C32C5" w:rsidP="007C32C5">
      <w:pPr>
        <w:numPr>
          <w:ilvl w:val="0"/>
          <w:numId w:val="14"/>
        </w:numPr>
        <w:pBdr>
          <w:top w:val="nil"/>
          <w:left w:val="nil"/>
          <w:bottom w:val="nil"/>
          <w:right w:val="nil"/>
          <w:between w:val="nil"/>
        </w:pBdr>
        <w:spacing w:line="276" w:lineRule="auto"/>
        <w:ind w:left="567" w:hanging="567"/>
        <w:jc w:val="both"/>
        <w:rPr>
          <w:rFonts w:ascii="Palatino Linotype" w:hAnsi="Palatino Linotype"/>
          <w:sz w:val="22"/>
          <w:szCs w:val="22"/>
        </w:rPr>
      </w:pPr>
      <w:r w:rsidRPr="007C32C5">
        <w:rPr>
          <w:rFonts w:ascii="Palatino Linotype" w:eastAsia="Palatino Linotype" w:hAnsi="Palatino Linotype" w:cs="Palatino Linotype"/>
          <w:sz w:val="22"/>
          <w:szCs w:val="22"/>
        </w:rPr>
        <w:t xml:space="preserve">During August 2020, BSE registered 4,946 trades of corporate debt with a traded value of </w:t>
      </w:r>
      <w:r w:rsidRPr="007C32C5">
        <w:rPr>
          <w:rFonts w:ascii="Tahoma" w:eastAsia="Tahoma" w:hAnsi="Tahoma" w:cs="Tahoma"/>
          <w:sz w:val="22"/>
          <w:szCs w:val="22"/>
        </w:rPr>
        <w:t>₹</w:t>
      </w:r>
      <w:r w:rsidRPr="007C32C5">
        <w:rPr>
          <w:rFonts w:ascii="Palatino Linotype" w:eastAsia="Tahoma" w:hAnsi="Palatino Linotype"/>
          <w:sz w:val="22"/>
          <w:szCs w:val="22"/>
        </w:rPr>
        <w:t>53,916 </w:t>
      </w:r>
      <w:r w:rsidRPr="007C32C5">
        <w:rPr>
          <w:rFonts w:ascii="Palatino Linotype" w:eastAsia="Palatino Linotype" w:hAnsi="Palatino Linotype" w:cs="Palatino Linotype"/>
          <w:sz w:val="22"/>
          <w:szCs w:val="22"/>
        </w:rPr>
        <w:t xml:space="preserve">crore as compared to 6,813 trades of corporate debt with a traded value of </w:t>
      </w:r>
      <w:r w:rsidRPr="007C32C5">
        <w:rPr>
          <w:rFonts w:ascii="Tahoma" w:eastAsia="Tahoma" w:hAnsi="Tahoma" w:cs="Tahoma"/>
          <w:sz w:val="22"/>
          <w:szCs w:val="22"/>
        </w:rPr>
        <w:t>₹</w:t>
      </w:r>
      <w:r w:rsidRPr="007C32C5">
        <w:rPr>
          <w:rFonts w:ascii="Palatino Linotype" w:eastAsia="Tahoma" w:hAnsi="Palatino Linotype"/>
          <w:sz w:val="22"/>
          <w:szCs w:val="22"/>
        </w:rPr>
        <w:t>80,075 </w:t>
      </w:r>
      <w:r w:rsidRPr="007C32C5">
        <w:rPr>
          <w:rFonts w:ascii="Palatino Linotype" w:eastAsia="Palatino Linotype" w:hAnsi="Palatino Linotype" w:cs="Palatino Linotype"/>
          <w:sz w:val="22"/>
          <w:szCs w:val="22"/>
        </w:rPr>
        <w:t xml:space="preserve">crore in the previous month.  </w:t>
      </w:r>
    </w:p>
    <w:p w14:paraId="5DBC80FF" w14:textId="77777777" w:rsidR="007C32C5" w:rsidRPr="007C32C5" w:rsidRDefault="007C32C5" w:rsidP="007C32C5">
      <w:pPr>
        <w:numPr>
          <w:ilvl w:val="0"/>
          <w:numId w:val="14"/>
        </w:numPr>
        <w:pBdr>
          <w:top w:val="nil"/>
          <w:left w:val="nil"/>
          <w:bottom w:val="nil"/>
          <w:right w:val="nil"/>
          <w:between w:val="nil"/>
        </w:pBdr>
        <w:spacing w:line="276" w:lineRule="auto"/>
        <w:ind w:left="360"/>
        <w:jc w:val="both"/>
        <w:rPr>
          <w:rFonts w:ascii="Palatino Linotype" w:hAnsi="Palatino Linotype"/>
          <w:sz w:val="22"/>
          <w:szCs w:val="22"/>
        </w:rPr>
      </w:pPr>
      <w:r w:rsidRPr="007C32C5">
        <w:rPr>
          <w:rFonts w:ascii="Palatino Linotype" w:eastAsia="Palatino Linotype" w:hAnsi="Palatino Linotype" w:cs="Palatino Linotype"/>
          <w:sz w:val="22"/>
          <w:szCs w:val="22"/>
        </w:rPr>
        <w:t xml:space="preserve">At NSE, 5,200 trades were recorded with a traded value of </w:t>
      </w:r>
      <w:r w:rsidRPr="007C32C5">
        <w:rPr>
          <w:rFonts w:ascii="Tahoma" w:eastAsia="Tahoma" w:hAnsi="Tahoma" w:cs="Tahoma"/>
          <w:sz w:val="22"/>
          <w:szCs w:val="22"/>
        </w:rPr>
        <w:t>₹</w:t>
      </w:r>
      <w:r w:rsidRPr="007C32C5">
        <w:rPr>
          <w:rFonts w:ascii="Palatino Linotype" w:eastAsia="Tahoma" w:hAnsi="Palatino Linotype"/>
          <w:sz w:val="22"/>
          <w:szCs w:val="22"/>
        </w:rPr>
        <w:t xml:space="preserve">89,136 </w:t>
      </w:r>
      <w:r w:rsidRPr="007C32C5">
        <w:rPr>
          <w:rFonts w:ascii="Palatino Linotype" w:eastAsia="Palatino Linotype" w:hAnsi="Palatino Linotype" w:cs="Palatino Linotype"/>
          <w:sz w:val="22"/>
          <w:szCs w:val="22"/>
        </w:rPr>
        <w:t xml:space="preserve">crore in August 2020 as compared to 6,710 trades with a traded value of </w:t>
      </w:r>
      <w:r w:rsidRPr="007C32C5">
        <w:rPr>
          <w:rFonts w:ascii="Tahoma" w:eastAsia="Tahoma" w:hAnsi="Tahoma" w:cs="Tahoma"/>
          <w:sz w:val="22"/>
          <w:szCs w:val="22"/>
        </w:rPr>
        <w:t>₹</w:t>
      </w:r>
      <w:r w:rsidRPr="007C32C5">
        <w:rPr>
          <w:rFonts w:ascii="Palatino Linotype" w:eastAsia="Palatino Linotype" w:hAnsi="Palatino Linotype" w:cs="Palatino Linotype"/>
          <w:sz w:val="22"/>
          <w:szCs w:val="22"/>
        </w:rPr>
        <w:t xml:space="preserve">1,21,730 crore in July 2020. </w:t>
      </w:r>
    </w:p>
    <w:p w14:paraId="23AD962C" w14:textId="77777777" w:rsidR="007C32C5" w:rsidRPr="007C32C5" w:rsidRDefault="007C32C5" w:rsidP="007C32C5">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highlight w:val="yellow"/>
        </w:rPr>
      </w:pPr>
    </w:p>
    <w:p w14:paraId="5566E02A"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Figure 10: Trends in Reported Turnover of Corporate Bonds (</w:t>
      </w:r>
      <w:r w:rsidRPr="007C32C5">
        <w:rPr>
          <w:rFonts w:ascii="Tahoma" w:eastAsia="Tahoma" w:hAnsi="Tahoma" w:cs="Tahoma"/>
          <w:b/>
          <w:sz w:val="22"/>
          <w:szCs w:val="22"/>
        </w:rPr>
        <w:t>₹</w:t>
      </w:r>
      <w:r w:rsidRPr="007C32C5">
        <w:rPr>
          <w:rFonts w:ascii="Palatino Linotype" w:eastAsia="Tahoma" w:hAnsi="Palatino Linotype" w:cs="Tahoma"/>
          <w:b/>
          <w:sz w:val="22"/>
          <w:szCs w:val="22"/>
        </w:rPr>
        <w:t xml:space="preserve"> </w:t>
      </w:r>
      <w:r w:rsidRPr="007C32C5">
        <w:rPr>
          <w:rFonts w:ascii="Palatino Linotype" w:eastAsia="Palatino Linotype" w:hAnsi="Palatino Linotype" w:cs="Palatino Linotype"/>
          <w:b/>
          <w:sz w:val="22"/>
          <w:szCs w:val="22"/>
        </w:rPr>
        <w:t>crore)</w:t>
      </w:r>
    </w:p>
    <w:p w14:paraId="66B27E5A"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0070C0"/>
          <w:sz w:val="22"/>
          <w:szCs w:val="22"/>
          <w:highlight w:val="yellow"/>
        </w:rPr>
      </w:pPr>
      <w:r w:rsidRPr="007C32C5">
        <w:rPr>
          <w:noProof/>
          <w:lang w:val="en-IN" w:eastAsia="en-IN" w:bidi="hi-IN"/>
        </w:rPr>
        <w:drawing>
          <wp:inline distT="0" distB="0" distL="0" distR="0" wp14:anchorId="1E59B0F1" wp14:editId="71E5DDF2">
            <wp:extent cx="5921748" cy="2560170"/>
            <wp:effectExtent l="0" t="0" r="3175" b="1206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A62D64" w14:textId="77777777" w:rsidR="007C32C5" w:rsidRPr="007C32C5" w:rsidRDefault="007C32C5" w:rsidP="007C32C5">
      <w:pPr>
        <w:widowControl w:val="0"/>
        <w:spacing w:line="276" w:lineRule="auto"/>
        <w:ind w:left="720"/>
        <w:contextualSpacing/>
        <w:jc w:val="both"/>
        <w:rPr>
          <w:rFonts w:ascii="Palatino Linotype" w:hAnsi="Palatino Linotype"/>
          <w:b/>
          <w:color w:val="0070C0"/>
          <w:sz w:val="22"/>
          <w:szCs w:val="22"/>
          <w:highlight w:val="yellow"/>
        </w:rPr>
      </w:pPr>
    </w:p>
    <w:p w14:paraId="4A284858" w14:textId="77777777" w:rsidR="007C32C5" w:rsidRPr="007C32C5" w:rsidRDefault="007C32C5" w:rsidP="007C32C5">
      <w:pPr>
        <w:widowControl w:val="0"/>
        <w:numPr>
          <w:ilvl w:val="0"/>
          <w:numId w:val="9"/>
        </w:numPr>
        <w:spacing w:line="276" w:lineRule="auto"/>
        <w:ind w:left="567" w:hanging="567"/>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Trends in Institutional Investments</w:t>
      </w:r>
    </w:p>
    <w:p w14:paraId="066C2AD8" w14:textId="77777777" w:rsidR="007C32C5" w:rsidRPr="007C32C5" w:rsidRDefault="007C32C5" w:rsidP="007C32C5">
      <w:pPr>
        <w:widowControl w:val="0"/>
        <w:spacing w:line="276" w:lineRule="auto"/>
        <w:ind w:left="720"/>
        <w:jc w:val="both"/>
        <w:rPr>
          <w:rFonts w:ascii="Palatino Linotype" w:eastAsia="Palatino Linotype" w:hAnsi="Palatino Linotype" w:cs="Palatino Linotype"/>
          <w:b/>
          <w:sz w:val="22"/>
          <w:szCs w:val="22"/>
        </w:rPr>
      </w:pPr>
    </w:p>
    <w:p w14:paraId="7EB44FE5" w14:textId="77777777" w:rsidR="007C32C5" w:rsidRPr="007C32C5" w:rsidRDefault="007C32C5" w:rsidP="007C32C5">
      <w:pPr>
        <w:widowControl w:val="0"/>
        <w:numPr>
          <w:ilvl w:val="0"/>
          <w:numId w:val="16"/>
        </w:numPr>
        <w:tabs>
          <w:tab w:val="left" w:pos="0"/>
        </w:tabs>
        <w:spacing w:line="276" w:lineRule="auto"/>
        <w:ind w:left="567" w:hanging="567"/>
        <w:jc w:val="both"/>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Trends in Investment by Mutual Funds</w:t>
      </w:r>
    </w:p>
    <w:p w14:paraId="666A0391" w14:textId="77777777" w:rsidR="007C32C5" w:rsidRPr="007C32C5" w:rsidRDefault="007C32C5" w:rsidP="007C32C5">
      <w:pPr>
        <w:spacing w:line="276" w:lineRule="auto"/>
        <w:jc w:val="both"/>
        <w:rPr>
          <w:rFonts w:ascii="Palatino Linotype" w:eastAsia="Palatino Linotype" w:hAnsi="Palatino Linotype" w:cs="Palatino Linotype"/>
          <w:sz w:val="22"/>
          <w:szCs w:val="22"/>
          <w:highlight w:val="yellow"/>
        </w:rPr>
      </w:pPr>
    </w:p>
    <w:p w14:paraId="0C17C9CA" w14:textId="77777777" w:rsidR="007C32C5" w:rsidRPr="007C32C5" w:rsidRDefault="007C32C5" w:rsidP="007C32C5">
      <w:pPr>
        <w:numPr>
          <w:ilvl w:val="0"/>
          <w:numId w:val="15"/>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7C32C5">
        <w:rPr>
          <w:rFonts w:ascii="Palatino Linotype" w:eastAsia="Palatino Linotype" w:hAnsi="Palatino Linotype" w:cs="Palatino Linotype"/>
          <w:sz w:val="22"/>
          <w:szCs w:val="22"/>
        </w:rPr>
        <w:t xml:space="preserve">The mutual fund industry saw a net outflow of </w:t>
      </w:r>
      <w:r w:rsidRPr="007C32C5">
        <w:rPr>
          <w:rFonts w:ascii="Tahoma" w:eastAsia="Palatino Linotype" w:hAnsi="Tahoma" w:cs="Tahoma"/>
          <w:sz w:val="22"/>
          <w:szCs w:val="22"/>
        </w:rPr>
        <w:t>₹</w:t>
      </w:r>
      <w:r w:rsidRPr="007C32C5">
        <w:rPr>
          <w:rFonts w:ascii="Palatino Linotype" w:eastAsia="Palatino Linotype" w:hAnsi="Palatino Linotype"/>
          <w:sz w:val="22"/>
          <w:szCs w:val="22"/>
        </w:rPr>
        <w:t>14,552.8</w:t>
      </w:r>
      <w:r w:rsidRPr="007C32C5">
        <w:rPr>
          <w:rFonts w:ascii="Palatino Linotype" w:eastAsia="Palatino Linotype" w:hAnsi="Palatino Linotype" w:cs="Palatino Linotype"/>
          <w:sz w:val="22"/>
          <w:szCs w:val="22"/>
        </w:rPr>
        <w:t xml:space="preserve"> crore in August 2020 compared a net inflow of </w:t>
      </w:r>
      <w:r w:rsidRPr="007C32C5">
        <w:rPr>
          <w:rFonts w:ascii="Tahoma" w:eastAsia="Palatino Linotype" w:hAnsi="Tahoma" w:cs="Tahoma"/>
          <w:sz w:val="22"/>
          <w:szCs w:val="22"/>
        </w:rPr>
        <w:t>₹</w:t>
      </w:r>
      <w:r w:rsidRPr="007C32C5">
        <w:rPr>
          <w:rFonts w:ascii="Palatino Linotype" w:eastAsia="Palatino Linotype" w:hAnsi="Palatino Linotype"/>
          <w:sz w:val="22"/>
          <w:szCs w:val="22"/>
        </w:rPr>
        <w:t>89,812.3</w:t>
      </w:r>
      <w:r w:rsidRPr="007C32C5">
        <w:rPr>
          <w:rFonts w:ascii="Palatino Linotype" w:eastAsia="Palatino Linotype" w:hAnsi="Palatino Linotype" w:cs="Palatino Linotype"/>
          <w:sz w:val="22"/>
          <w:szCs w:val="22"/>
        </w:rPr>
        <w:t xml:space="preserve"> crore in July 2020.</w:t>
      </w:r>
    </w:p>
    <w:p w14:paraId="07A50462" w14:textId="77777777" w:rsidR="007C32C5" w:rsidRPr="007C32C5" w:rsidRDefault="007C32C5" w:rsidP="007C32C5">
      <w:pPr>
        <w:numPr>
          <w:ilvl w:val="0"/>
          <w:numId w:val="15"/>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7C32C5">
        <w:rPr>
          <w:rFonts w:ascii="Palatino Linotype" w:eastAsia="Palatino Linotype" w:hAnsi="Palatino Linotype" w:cs="Palatino Linotype"/>
          <w:sz w:val="22"/>
          <w:szCs w:val="22"/>
        </w:rPr>
        <w:t xml:space="preserve">During August 2020, open-ended schemes mobilised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 xml:space="preserve">5,56,594.6 crore. Among the open-ended schemes, of the total funds mobilised </w:t>
      </w:r>
      <w:r w:rsidRPr="007C32C5">
        <w:rPr>
          <w:rFonts w:ascii="Tahoma" w:eastAsia="Palatino Linotype" w:hAnsi="Tahoma" w:cs="Tahoma"/>
          <w:sz w:val="22"/>
          <w:szCs w:val="22"/>
        </w:rPr>
        <w:t>₹</w:t>
      </w:r>
      <w:r w:rsidRPr="007C32C5">
        <w:rPr>
          <w:rFonts w:ascii="Palatino Linotype" w:eastAsia="Palatino Linotype" w:hAnsi="Palatino Linotype"/>
          <w:sz w:val="22"/>
          <w:szCs w:val="22"/>
        </w:rPr>
        <w:t xml:space="preserve">5,27,865.7 </w:t>
      </w:r>
      <w:r w:rsidRPr="007C32C5">
        <w:rPr>
          <w:rFonts w:ascii="Palatino Linotype" w:eastAsia="Palatino Linotype" w:hAnsi="Palatino Linotype" w:cs="Palatino Linotype"/>
          <w:sz w:val="22"/>
          <w:szCs w:val="22"/>
        </w:rPr>
        <w:t xml:space="preserve">crore were mobilised from Income/Debt Oriented Schemes, </w:t>
      </w:r>
      <w:r w:rsidRPr="007C32C5">
        <w:rPr>
          <w:rFonts w:ascii="Tahoma" w:eastAsia="Palatino Linotype" w:hAnsi="Tahoma" w:cs="Tahoma"/>
          <w:sz w:val="22"/>
          <w:szCs w:val="22"/>
        </w:rPr>
        <w:t>₹</w:t>
      </w:r>
      <w:r w:rsidRPr="007C32C5">
        <w:rPr>
          <w:rFonts w:ascii="Palatino Linotype" w:eastAsia="Palatino Linotype" w:hAnsi="Palatino Linotype"/>
          <w:sz w:val="22"/>
          <w:szCs w:val="22"/>
        </w:rPr>
        <w:t xml:space="preserve">14,558.2 </w:t>
      </w:r>
      <w:r w:rsidRPr="007C32C5">
        <w:rPr>
          <w:rFonts w:ascii="Palatino Linotype" w:eastAsia="Palatino Linotype" w:hAnsi="Palatino Linotype" w:cs="Palatino Linotype"/>
          <w:sz w:val="22"/>
          <w:szCs w:val="22"/>
        </w:rPr>
        <w:t xml:space="preserve">crore from Growth/Equity Oriented Schemes, </w:t>
      </w:r>
      <w:r w:rsidRPr="007C32C5">
        <w:rPr>
          <w:rFonts w:ascii="Tahoma" w:eastAsia="Palatino Linotype" w:hAnsi="Tahoma" w:cs="Tahoma"/>
          <w:sz w:val="22"/>
          <w:szCs w:val="22"/>
        </w:rPr>
        <w:t>₹</w:t>
      </w:r>
      <w:r w:rsidRPr="007C32C5">
        <w:rPr>
          <w:rFonts w:ascii="Palatino Linotype" w:eastAsia="Palatino Linotype" w:hAnsi="Palatino Linotype"/>
          <w:sz w:val="22"/>
          <w:szCs w:val="22"/>
        </w:rPr>
        <w:t xml:space="preserve">6,998.1 </w:t>
      </w:r>
      <w:r w:rsidRPr="007C32C5">
        <w:rPr>
          <w:rFonts w:ascii="Palatino Linotype" w:eastAsia="Palatino Linotype" w:hAnsi="Palatino Linotype" w:cs="Palatino Linotype"/>
          <w:sz w:val="22"/>
          <w:szCs w:val="22"/>
        </w:rPr>
        <w:t xml:space="preserve">crore from </w:t>
      </w:r>
      <w:r w:rsidRPr="007C32C5">
        <w:rPr>
          <w:rFonts w:ascii="Palatino Linotype" w:eastAsia="Palatino Linotype" w:hAnsi="Palatino Linotype" w:cs="Palatino Linotype"/>
          <w:sz w:val="22"/>
          <w:szCs w:val="22"/>
        </w:rPr>
        <w:lastRenderedPageBreak/>
        <w:t xml:space="preserve">Hybrid Schemes,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 xml:space="preserve">211.5 crore from Solution Oriented Schemes and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 xml:space="preserve">6,961.1 crore from other schemes during the month under consideration. </w:t>
      </w:r>
    </w:p>
    <w:p w14:paraId="60A5C757" w14:textId="77777777" w:rsidR="007C32C5" w:rsidRPr="007C32C5" w:rsidRDefault="007C32C5" w:rsidP="007C32C5">
      <w:pPr>
        <w:numPr>
          <w:ilvl w:val="0"/>
          <w:numId w:val="15"/>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7C32C5">
        <w:rPr>
          <w:rFonts w:ascii="Palatino Linotype" w:eastAsia="Palatino Linotype" w:hAnsi="Palatino Linotype" w:cs="Palatino Linotype"/>
          <w:sz w:val="22"/>
          <w:szCs w:val="22"/>
        </w:rPr>
        <w:t xml:space="preserve">There was a net redemption of </w:t>
      </w:r>
      <w:r w:rsidRPr="007C32C5">
        <w:rPr>
          <w:rFonts w:ascii="Tahoma" w:eastAsia="Palatino Linotype" w:hAnsi="Tahoma" w:cs="Tahoma"/>
          <w:sz w:val="22"/>
          <w:szCs w:val="22"/>
        </w:rPr>
        <w:t>₹</w:t>
      </w:r>
      <w:r w:rsidRPr="007C32C5">
        <w:rPr>
          <w:rFonts w:ascii="Palatino Linotype" w:eastAsia="Palatino Linotype" w:hAnsi="Palatino Linotype"/>
          <w:sz w:val="22"/>
          <w:szCs w:val="22"/>
        </w:rPr>
        <w:t>5,065.7</w:t>
      </w:r>
      <w:r w:rsidRPr="007C32C5">
        <w:rPr>
          <w:rFonts w:ascii="Palatino Linotype" w:eastAsia="Palatino Linotype" w:hAnsi="Palatino Linotype" w:cs="Palatino Linotype"/>
          <w:sz w:val="22"/>
          <w:szCs w:val="22"/>
        </w:rPr>
        <w:t xml:space="preserve"> crore from close-ended schemes and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0.6 crore from Interval Schemes during August 2020.</w:t>
      </w:r>
    </w:p>
    <w:p w14:paraId="52DD4718" w14:textId="77777777" w:rsidR="007C32C5" w:rsidRPr="007C32C5" w:rsidRDefault="007C32C5" w:rsidP="007C32C5">
      <w:pPr>
        <w:numPr>
          <w:ilvl w:val="0"/>
          <w:numId w:val="15"/>
        </w:numPr>
        <w:pBdr>
          <w:top w:val="nil"/>
          <w:left w:val="nil"/>
          <w:bottom w:val="nil"/>
          <w:right w:val="nil"/>
          <w:between w:val="nil"/>
        </w:pBdr>
        <w:spacing w:line="276" w:lineRule="auto"/>
        <w:ind w:left="567" w:hanging="567"/>
        <w:jc w:val="both"/>
        <w:rPr>
          <w:rFonts w:ascii="Palatino Linotype" w:hAnsi="Palatino Linotype"/>
          <w:sz w:val="22"/>
          <w:szCs w:val="22"/>
        </w:rPr>
      </w:pPr>
      <w:r w:rsidRPr="007C32C5">
        <w:rPr>
          <w:rFonts w:ascii="Palatino Linotype" w:eastAsia="Palatino Linotype" w:hAnsi="Palatino Linotype" w:cs="Palatino Linotype"/>
          <w:sz w:val="22"/>
          <w:szCs w:val="22"/>
        </w:rPr>
        <w:t xml:space="preserve">The net assets under management of all mutual funds stood at </w:t>
      </w:r>
      <w:r w:rsidRPr="007C32C5">
        <w:rPr>
          <w:rFonts w:ascii="Tahoma" w:eastAsia="Tahoma" w:hAnsi="Tahoma" w:cs="Tahoma"/>
          <w:sz w:val="22"/>
          <w:szCs w:val="22"/>
        </w:rPr>
        <w:t>₹</w:t>
      </w:r>
      <w:r w:rsidRPr="007C32C5">
        <w:rPr>
          <w:rFonts w:ascii="Palatino Linotype" w:eastAsia="Palatino Linotype" w:hAnsi="Palatino Linotype" w:cs="Palatino Linotype"/>
          <w:sz w:val="22"/>
          <w:szCs w:val="22"/>
        </w:rPr>
        <w:t xml:space="preserve">27.5 lakh crore at the end of August 2020, up from </w:t>
      </w:r>
      <w:r w:rsidRPr="007C32C5">
        <w:rPr>
          <w:rFonts w:ascii="Tahoma" w:eastAsia="Tahoma" w:hAnsi="Tahoma" w:cs="Tahoma"/>
          <w:sz w:val="22"/>
          <w:szCs w:val="22"/>
        </w:rPr>
        <w:t>₹</w:t>
      </w:r>
      <w:r w:rsidRPr="007C32C5">
        <w:rPr>
          <w:rFonts w:ascii="Palatino Linotype" w:eastAsia="Tahoma" w:hAnsi="Palatino Linotype"/>
          <w:sz w:val="22"/>
          <w:szCs w:val="22"/>
        </w:rPr>
        <w:t>27.1</w:t>
      </w:r>
      <w:r w:rsidRPr="007C32C5">
        <w:rPr>
          <w:rFonts w:ascii="Palatino Linotype" w:eastAsia="Palatino Linotype" w:hAnsi="Palatino Linotype" w:cs="Palatino Linotype"/>
          <w:sz w:val="22"/>
          <w:szCs w:val="22"/>
        </w:rPr>
        <w:t xml:space="preserve"> lakh crore at the end of July 2020.</w:t>
      </w:r>
    </w:p>
    <w:p w14:paraId="0DFD528B" w14:textId="77777777" w:rsidR="007C32C5" w:rsidRPr="007C32C5" w:rsidRDefault="007C32C5" w:rsidP="007C32C5">
      <w:pPr>
        <w:numPr>
          <w:ilvl w:val="0"/>
          <w:numId w:val="15"/>
        </w:numPr>
        <w:pBdr>
          <w:top w:val="nil"/>
          <w:left w:val="nil"/>
          <w:bottom w:val="nil"/>
          <w:right w:val="nil"/>
          <w:between w:val="nil"/>
        </w:pBdr>
        <w:spacing w:line="276" w:lineRule="auto"/>
        <w:ind w:left="567" w:hanging="567"/>
        <w:jc w:val="both"/>
        <w:rPr>
          <w:rFonts w:ascii="Palatino Linotype" w:hAnsi="Palatino Linotype"/>
          <w:sz w:val="22"/>
          <w:szCs w:val="22"/>
        </w:rPr>
      </w:pPr>
      <w:r w:rsidRPr="007C32C5">
        <w:rPr>
          <w:rFonts w:ascii="Palatino Linotype" w:eastAsia="Palatino Linotype" w:hAnsi="Palatino Linotype" w:cs="Palatino Linotype"/>
          <w:sz w:val="22"/>
          <w:szCs w:val="22"/>
        </w:rPr>
        <w:t xml:space="preserve">As on August 31, 2020, there were a total of 1,762 mutual fund schemes in the market, of which 979 were open-ended schemes, 760 were close-ended schemes and 23 were interval schemes. </w:t>
      </w:r>
    </w:p>
    <w:p w14:paraId="4A544469" w14:textId="77777777" w:rsidR="007C32C5" w:rsidRPr="007C32C5" w:rsidRDefault="007C32C5" w:rsidP="007C32C5">
      <w:pPr>
        <w:numPr>
          <w:ilvl w:val="0"/>
          <w:numId w:val="15"/>
        </w:numPr>
        <w:pBdr>
          <w:top w:val="nil"/>
          <w:left w:val="nil"/>
          <w:bottom w:val="nil"/>
          <w:right w:val="nil"/>
          <w:between w:val="nil"/>
        </w:pBdr>
        <w:spacing w:line="276" w:lineRule="auto"/>
        <w:ind w:left="567" w:hanging="567"/>
        <w:jc w:val="both"/>
        <w:rPr>
          <w:rFonts w:ascii="Palatino Linotype" w:hAnsi="Palatino Linotype"/>
          <w:sz w:val="22"/>
          <w:szCs w:val="22"/>
        </w:rPr>
      </w:pPr>
      <w:r w:rsidRPr="007C32C5">
        <w:rPr>
          <w:rFonts w:ascii="Palatino Linotype" w:eastAsia="Palatino Linotype" w:hAnsi="Palatino Linotype" w:cs="Palatino Linotype"/>
          <w:sz w:val="22"/>
          <w:szCs w:val="22"/>
        </w:rPr>
        <w:t xml:space="preserve">In the secondary market transactions, during August 2020, mutual funds liquidated </w:t>
      </w:r>
      <w:r w:rsidRPr="007C32C5">
        <w:rPr>
          <w:rFonts w:ascii="Tahoma" w:eastAsia="Tahoma" w:hAnsi="Tahoma" w:cs="Tahoma"/>
          <w:sz w:val="22"/>
          <w:szCs w:val="22"/>
        </w:rPr>
        <w:t>₹</w:t>
      </w:r>
      <w:r w:rsidRPr="007C32C5">
        <w:rPr>
          <w:rFonts w:ascii="Palatino Linotype" w:eastAsia="Tahoma" w:hAnsi="Palatino Linotype"/>
          <w:sz w:val="22"/>
          <w:szCs w:val="22"/>
        </w:rPr>
        <w:t xml:space="preserve">8,400 </w:t>
      </w:r>
      <w:r w:rsidRPr="007C32C5">
        <w:rPr>
          <w:rFonts w:ascii="Palatino Linotype" w:eastAsia="Palatino Linotype" w:hAnsi="Palatino Linotype" w:cs="Palatino Linotype"/>
          <w:sz w:val="22"/>
          <w:szCs w:val="22"/>
        </w:rPr>
        <w:t xml:space="preserve">crore from equity investments and deployed </w:t>
      </w:r>
      <w:r w:rsidRPr="007C32C5">
        <w:rPr>
          <w:rFonts w:ascii="Tahoma" w:eastAsia="Tahoma" w:hAnsi="Tahoma" w:cs="Tahoma"/>
          <w:sz w:val="22"/>
          <w:szCs w:val="22"/>
        </w:rPr>
        <w:t>₹</w:t>
      </w:r>
      <w:r w:rsidRPr="007C32C5">
        <w:rPr>
          <w:rFonts w:ascii="Palatino Linotype" w:eastAsia="Palatino Linotype" w:hAnsi="Palatino Linotype" w:cs="Palatino Linotype"/>
          <w:sz w:val="22"/>
          <w:szCs w:val="22"/>
        </w:rPr>
        <w:t xml:space="preserve">24,494 crore in debt investments. A total of </w:t>
      </w:r>
      <w:r w:rsidRPr="007C32C5">
        <w:rPr>
          <w:rFonts w:ascii="Tahoma" w:eastAsia="Tahoma" w:hAnsi="Tahoma" w:cs="Tahoma"/>
          <w:sz w:val="22"/>
          <w:szCs w:val="22"/>
        </w:rPr>
        <w:t>₹</w:t>
      </w:r>
      <w:r w:rsidRPr="007C32C5">
        <w:rPr>
          <w:rFonts w:ascii="Palatino Linotype" w:eastAsia="Tahoma" w:hAnsi="Palatino Linotype"/>
          <w:sz w:val="22"/>
          <w:szCs w:val="22"/>
        </w:rPr>
        <w:t>16,094</w:t>
      </w:r>
      <w:r w:rsidRPr="007C32C5">
        <w:rPr>
          <w:rFonts w:ascii="Palatino Linotype" w:eastAsia="Palatino Linotype" w:hAnsi="Palatino Linotype" w:cs="Palatino Linotype"/>
          <w:sz w:val="22"/>
          <w:szCs w:val="22"/>
        </w:rPr>
        <w:t xml:space="preserve"> crore was invested in August 2020. </w:t>
      </w:r>
    </w:p>
    <w:p w14:paraId="1DD1468A" w14:textId="77777777" w:rsidR="007C32C5" w:rsidRPr="007C32C5" w:rsidRDefault="007C32C5" w:rsidP="007C32C5">
      <w:pPr>
        <w:pBdr>
          <w:top w:val="nil"/>
          <w:left w:val="nil"/>
          <w:bottom w:val="nil"/>
          <w:right w:val="nil"/>
          <w:between w:val="nil"/>
        </w:pBdr>
        <w:spacing w:line="276" w:lineRule="auto"/>
        <w:rPr>
          <w:rFonts w:ascii="Palatino Linotype" w:eastAsia="Palatino Linotype" w:hAnsi="Palatino Linotype" w:cs="Palatino Linotype"/>
          <w:b/>
          <w:color w:val="0070C0"/>
          <w:sz w:val="22"/>
          <w:szCs w:val="22"/>
          <w:highlight w:val="yellow"/>
        </w:rPr>
      </w:pPr>
    </w:p>
    <w:p w14:paraId="008BE02C"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Figure 11: Trends of Mutual Funds Investment in Secondary Market (</w:t>
      </w:r>
      <w:r w:rsidRPr="007C32C5">
        <w:rPr>
          <w:rFonts w:ascii="Tahoma" w:eastAsia="Tahoma" w:hAnsi="Tahoma" w:cs="Tahoma"/>
          <w:b/>
          <w:sz w:val="22"/>
          <w:szCs w:val="22"/>
        </w:rPr>
        <w:t>₹</w:t>
      </w:r>
      <w:r w:rsidRPr="007C32C5">
        <w:rPr>
          <w:rFonts w:ascii="Times New Roman" w:eastAsia="Tahoma" w:hAnsi="Times New Roman"/>
          <w:b/>
          <w:sz w:val="22"/>
          <w:szCs w:val="22"/>
        </w:rPr>
        <w:t xml:space="preserve"> </w:t>
      </w:r>
      <w:r w:rsidRPr="007C32C5">
        <w:rPr>
          <w:rFonts w:ascii="Palatino Linotype" w:eastAsia="Palatino Linotype" w:hAnsi="Palatino Linotype" w:cs="Palatino Linotype"/>
          <w:b/>
          <w:sz w:val="22"/>
          <w:szCs w:val="22"/>
        </w:rPr>
        <w:t>crore)</w:t>
      </w:r>
    </w:p>
    <w:p w14:paraId="1123A8C4"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0070C0"/>
          <w:sz w:val="22"/>
          <w:szCs w:val="22"/>
          <w:highlight w:val="yellow"/>
        </w:rPr>
      </w:pPr>
      <w:r w:rsidRPr="007C32C5">
        <w:rPr>
          <w:noProof/>
          <w:lang w:val="en-IN" w:eastAsia="en-IN" w:bidi="hi-IN"/>
        </w:rPr>
        <w:drawing>
          <wp:inline distT="0" distB="0" distL="0" distR="0" wp14:anchorId="1A80894C" wp14:editId="501FF02A">
            <wp:extent cx="5629275" cy="254317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0E2433" w14:textId="77777777" w:rsidR="007C32C5" w:rsidRPr="007C32C5" w:rsidRDefault="007C32C5" w:rsidP="007C32C5">
      <w:pPr>
        <w:spacing w:line="276" w:lineRule="auto"/>
        <w:rPr>
          <w:rFonts w:ascii="Palatino Linotype" w:eastAsia="Palatino Linotype" w:hAnsi="Palatino Linotype" w:cs="Palatino Linotype"/>
          <w:b/>
          <w:sz w:val="22"/>
          <w:szCs w:val="22"/>
          <w:highlight w:val="yellow"/>
        </w:rPr>
      </w:pPr>
    </w:p>
    <w:p w14:paraId="598F71F5" w14:textId="77777777" w:rsidR="007C32C5" w:rsidRPr="007C32C5" w:rsidRDefault="007C32C5" w:rsidP="007C32C5">
      <w:pPr>
        <w:widowControl w:val="0"/>
        <w:numPr>
          <w:ilvl w:val="0"/>
          <w:numId w:val="16"/>
        </w:numPr>
        <w:tabs>
          <w:tab w:val="left" w:pos="0"/>
        </w:tabs>
        <w:spacing w:line="276" w:lineRule="auto"/>
        <w:ind w:left="567" w:hanging="567"/>
        <w:jc w:val="both"/>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Trends in Investments by the Foreign Portfolio Investors (FPIs)</w:t>
      </w:r>
    </w:p>
    <w:p w14:paraId="6F13B9C0" w14:textId="77777777" w:rsidR="007C32C5" w:rsidRPr="007C32C5" w:rsidRDefault="007C32C5" w:rsidP="007C32C5">
      <w:pPr>
        <w:widowControl w:val="0"/>
        <w:tabs>
          <w:tab w:val="left" w:pos="0"/>
        </w:tabs>
        <w:spacing w:line="276" w:lineRule="auto"/>
        <w:ind w:left="360"/>
        <w:jc w:val="both"/>
        <w:rPr>
          <w:rFonts w:ascii="Palatino Linotype" w:eastAsia="Palatino Linotype" w:hAnsi="Palatino Linotype" w:cs="Palatino Linotype"/>
          <w:b/>
          <w:sz w:val="22"/>
          <w:szCs w:val="22"/>
        </w:rPr>
      </w:pPr>
    </w:p>
    <w:p w14:paraId="62C9F8ED" w14:textId="77777777" w:rsidR="007C32C5" w:rsidRPr="007C32C5" w:rsidRDefault="007C32C5" w:rsidP="007C32C5">
      <w:pPr>
        <w:numPr>
          <w:ilvl w:val="0"/>
          <w:numId w:val="17"/>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7C32C5">
        <w:rPr>
          <w:rFonts w:ascii="Palatino Linotype" w:eastAsia="Palatino Linotype" w:hAnsi="Palatino Linotype" w:cs="Palatino Linotype"/>
          <w:sz w:val="22"/>
          <w:szCs w:val="22"/>
        </w:rPr>
        <w:t xml:space="preserve">During August 2020, FPIs made net investment of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 xml:space="preserve">47,080 crore in equity segment as compared to net investment of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 xml:space="preserve">7,563 crore in the equity securities in July 2020. The net investment by FPIs in hybrid securities in August 2020 increased to </w:t>
      </w:r>
      <w:r w:rsidRPr="007C32C5">
        <w:rPr>
          <w:rFonts w:ascii="Tahoma" w:eastAsia="Palatino Linotype" w:hAnsi="Tahoma" w:cs="Tahoma"/>
          <w:sz w:val="22"/>
          <w:szCs w:val="22"/>
        </w:rPr>
        <w:t>₹</w:t>
      </w:r>
      <w:r w:rsidRPr="007C32C5">
        <w:rPr>
          <w:rFonts w:ascii="Palatino Linotype" w:eastAsia="Palatino Linotype" w:hAnsi="Palatino Linotype"/>
          <w:sz w:val="22"/>
          <w:szCs w:val="22"/>
        </w:rPr>
        <w:t xml:space="preserve">3,347 core from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 xml:space="preserve">1 crore in July 2020. During August 2020, there was a withdrawal of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 xml:space="preserve">548 crore from debt securities by the FPIs against the withdrawal of </w:t>
      </w:r>
      <w:r w:rsidRPr="007C32C5">
        <w:rPr>
          <w:rFonts w:ascii="Tahoma" w:eastAsia="Tahoma" w:hAnsi="Tahoma" w:cs="Tahoma"/>
          <w:sz w:val="22"/>
          <w:szCs w:val="22"/>
        </w:rPr>
        <w:t>₹</w:t>
      </w:r>
      <w:r w:rsidRPr="007C32C5">
        <w:rPr>
          <w:rFonts w:ascii="Palatino Linotype" w:eastAsia="Palatino Linotype" w:hAnsi="Palatino Linotype" w:cs="Palatino Linotype"/>
          <w:sz w:val="22"/>
          <w:szCs w:val="22"/>
        </w:rPr>
        <w:t xml:space="preserve">4,262 crore during July 2020. Thus, during the month of August 2020, the net FPI investments increased to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 xml:space="preserve">49,879 crore against the net investments of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3,301 crore in July 2020.</w:t>
      </w:r>
    </w:p>
    <w:p w14:paraId="795F97CD" w14:textId="77777777" w:rsidR="007C32C5" w:rsidRPr="007C32C5" w:rsidRDefault="007C32C5" w:rsidP="007C32C5">
      <w:pPr>
        <w:numPr>
          <w:ilvl w:val="0"/>
          <w:numId w:val="17"/>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7C32C5">
        <w:rPr>
          <w:rFonts w:ascii="Palatino Linotype" w:eastAsia="Palatino Linotype" w:hAnsi="Palatino Linotype" w:cs="Palatino Linotype"/>
          <w:sz w:val="22"/>
          <w:szCs w:val="22"/>
        </w:rPr>
        <w:t xml:space="preserve">The assets of the FPIs in India, as reported by the custodians, at the end of August 2020 were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 xml:space="preserve">33,17,805 crore, out of which the notional value of offshore derivative instruments (ODIs) (including ODIs on derivatives) was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 xml:space="preserve">74,027 crore which is 2.2 per cent of total assets of FPIs. </w:t>
      </w:r>
    </w:p>
    <w:p w14:paraId="634F8F67" w14:textId="77777777" w:rsidR="007C32C5" w:rsidRPr="007C32C5" w:rsidRDefault="007C32C5" w:rsidP="007C32C5">
      <w:pPr>
        <w:spacing w:line="276" w:lineRule="auto"/>
        <w:rPr>
          <w:rFonts w:ascii="Palatino Linotype" w:eastAsia="Palatino Linotype" w:hAnsi="Palatino Linotype" w:cs="Palatino Linotype"/>
          <w:b/>
          <w:color w:val="0070C0"/>
          <w:sz w:val="22"/>
          <w:szCs w:val="22"/>
          <w:highlight w:val="yellow"/>
        </w:rPr>
      </w:pPr>
    </w:p>
    <w:p w14:paraId="7E3D4D0A"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p>
    <w:p w14:paraId="10C164AF"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p>
    <w:p w14:paraId="66403E5A"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p>
    <w:p w14:paraId="49A4E60D"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p>
    <w:p w14:paraId="561A5504"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p>
    <w:p w14:paraId="4B3C618E" w14:textId="77777777" w:rsidR="007C32C5" w:rsidRPr="007C32C5" w:rsidRDefault="007C32C5" w:rsidP="007C32C5">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lastRenderedPageBreak/>
        <w:t>Figure 12: Trends in FPIs’ Investments (</w:t>
      </w:r>
      <w:r w:rsidRPr="007C32C5">
        <w:rPr>
          <w:rFonts w:ascii="Tahoma" w:eastAsia="Palatino Linotype" w:hAnsi="Tahoma" w:cs="Tahoma"/>
          <w:b/>
          <w:sz w:val="22"/>
          <w:szCs w:val="22"/>
        </w:rPr>
        <w:t>₹</w:t>
      </w:r>
      <w:r w:rsidRPr="007C32C5">
        <w:rPr>
          <w:rFonts w:ascii="Palatino Linotype" w:eastAsia="Palatino Linotype" w:hAnsi="Palatino Linotype" w:cs="Palatino Linotype"/>
          <w:b/>
          <w:sz w:val="22"/>
          <w:szCs w:val="22"/>
        </w:rPr>
        <w:t xml:space="preserve"> crore)</w:t>
      </w:r>
    </w:p>
    <w:p w14:paraId="66775C06" w14:textId="77777777" w:rsidR="007C32C5" w:rsidRPr="007C32C5" w:rsidRDefault="007C32C5" w:rsidP="007C32C5">
      <w:pPr>
        <w:pBdr>
          <w:top w:val="nil"/>
          <w:left w:val="nil"/>
          <w:bottom w:val="nil"/>
          <w:right w:val="nil"/>
          <w:between w:val="nil"/>
        </w:pBdr>
        <w:spacing w:line="276" w:lineRule="auto"/>
        <w:jc w:val="center"/>
        <w:rPr>
          <w:rFonts w:ascii="Palatino Linotype" w:eastAsia="Palatino Linotype" w:hAnsi="Palatino Linotype" w:cs="Palatino Linotype"/>
          <w:b/>
          <w:color w:val="0070C0"/>
          <w:sz w:val="22"/>
          <w:szCs w:val="22"/>
          <w:highlight w:val="yellow"/>
        </w:rPr>
      </w:pPr>
      <w:r w:rsidRPr="007C32C5">
        <w:rPr>
          <w:noProof/>
          <w:lang w:val="en-IN" w:eastAsia="en-IN" w:bidi="hi-IN"/>
        </w:rPr>
        <w:drawing>
          <wp:inline distT="0" distB="0" distL="0" distR="0" wp14:anchorId="744D6700" wp14:editId="587572D8">
            <wp:extent cx="6198534" cy="2958907"/>
            <wp:effectExtent l="0" t="0" r="12065" b="133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125169" w14:textId="77777777" w:rsidR="007C32C5" w:rsidRPr="00C609A5" w:rsidRDefault="007C32C5" w:rsidP="007C32C5">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rPr>
      </w:pPr>
      <w:bookmarkStart w:id="2" w:name="_30j0zll" w:colFirst="0" w:colLast="0"/>
      <w:bookmarkEnd w:id="2"/>
    </w:p>
    <w:p w14:paraId="35C9ECF5" w14:textId="77777777" w:rsidR="007C32C5" w:rsidRPr="00C609A5" w:rsidRDefault="007C32C5" w:rsidP="007C32C5">
      <w:pPr>
        <w:widowControl w:val="0"/>
        <w:numPr>
          <w:ilvl w:val="0"/>
          <w:numId w:val="9"/>
        </w:numPr>
        <w:spacing w:line="276" w:lineRule="auto"/>
        <w:ind w:left="567" w:hanging="567"/>
        <w:jc w:val="both"/>
        <w:rPr>
          <w:rFonts w:ascii="Palatino Linotype" w:eastAsia="Palatino Linotype" w:hAnsi="Palatino Linotype" w:cs="Palatino Linotype"/>
          <w:b/>
          <w:sz w:val="22"/>
          <w:szCs w:val="22"/>
        </w:rPr>
      </w:pPr>
      <w:r w:rsidRPr="00C609A5">
        <w:rPr>
          <w:rFonts w:ascii="Palatino Linotype" w:eastAsia="Palatino Linotype" w:hAnsi="Palatino Linotype" w:cs="Palatino Linotype"/>
          <w:b/>
          <w:sz w:val="22"/>
          <w:szCs w:val="22"/>
        </w:rPr>
        <w:t>Trends in Portfolio Management Services (PMS)</w:t>
      </w:r>
    </w:p>
    <w:p w14:paraId="1E94353E" w14:textId="77777777" w:rsidR="007C32C5" w:rsidRPr="00C609A5" w:rsidRDefault="007C32C5" w:rsidP="007C32C5">
      <w:pPr>
        <w:widowControl w:val="0"/>
        <w:tabs>
          <w:tab w:val="left" w:pos="2190"/>
        </w:tabs>
        <w:spacing w:line="276" w:lineRule="auto"/>
        <w:jc w:val="both"/>
        <w:rPr>
          <w:rFonts w:ascii="Palatino Linotype" w:eastAsia="Palatino Linotype" w:hAnsi="Palatino Linotype" w:cs="Palatino Linotype"/>
          <w:sz w:val="22"/>
          <w:szCs w:val="22"/>
        </w:rPr>
      </w:pPr>
      <w:r w:rsidRPr="00C609A5">
        <w:rPr>
          <w:rFonts w:ascii="Palatino Linotype" w:eastAsia="Palatino Linotype" w:hAnsi="Palatino Linotype" w:cs="Palatino Linotype"/>
          <w:sz w:val="22"/>
          <w:szCs w:val="22"/>
        </w:rPr>
        <w:tab/>
      </w:r>
    </w:p>
    <w:p w14:paraId="36CB54E1" w14:textId="709DEB23" w:rsidR="007C32C5" w:rsidRPr="00C609A5" w:rsidRDefault="007C32C5" w:rsidP="007C32C5">
      <w:pPr>
        <w:numPr>
          <w:ilvl w:val="0"/>
          <w:numId w:val="17"/>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C609A5">
        <w:rPr>
          <w:rFonts w:ascii="Palatino Linotype" w:eastAsia="Palatino Linotype" w:hAnsi="Palatino Linotype" w:cs="Palatino Linotype"/>
          <w:sz w:val="22"/>
          <w:szCs w:val="22"/>
        </w:rPr>
        <w:t xml:space="preserve">As on </w:t>
      </w:r>
      <w:r w:rsidR="00C609A5">
        <w:rPr>
          <w:rFonts w:ascii="Palatino Linotype" w:eastAsia="Palatino Linotype" w:hAnsi="Palatino Linotype" w:cs="Palatino Linotype"/>
          <w:sz w:val="22"/>
          <w:szCs w:val="22"/>
        </w:rPr>
        <w:t>June 30</w:t>
      </w:r>
      <w:r w:rsidRPr="00C609A5">
        <w:rPr>
          <w:rFonts w:ascii="Palatino Linotype" w:eastAsia="Palatino Linotype" w:hAnsi="Palatino Linotype" w:cs="Palatino Linotype"/>
          <w:sz w:val="22"/>
          <w:szCs w:val="22"/>
        </w:rPr>
        <w:t xml:space="preserve">, 2020, AUM of the portfolio management industry stood at </w:t>
      </w:r>
      <w:r w:rsidRPr="00C609A5">
        <w:rPr>
          <w:rFonts w:ascii="Tahoma" w:eastAsia="Palatino Linotype" w:hAnsi="Tahoma" w:cs="Tahoma"/>
          <w:sz w:val="22"/>
          <w:szCs w:val="22"/>
        </w:rPr>
        <w:t>₹</w:t>
      </w:r>
      <w:r w:rsidR="00C609A5">
        <w:rPr>
          <w:rFonts w:ascii="Palatino Linotype" w:eastAsia="Palatino Linotype" w:hAnsi="Palatino Linotype" w:cs="Palatino Linotype"/>
          <w:sz w:val="22"/>
          <w:szCs w:val="22"/>
        </w:rPr>
        <w:t>18.6</w:t>
      </w:r>
      <w:r w:rsidRPr="00C609A5">
        <w:rPr>
          <w:rFonts w:ascii="Palatino Linotype" w:eastAsia="Palatino Linotype" w:hAnsi="Palatino Linotype" w:cs="Palatino Linotype"/>
          <w:sz w:val="22"/>
          <w:szCs w:val="22"/>
        </w:rPr>
        <w:t xml:space="preserve"> lakh crore. Of the total AUM, funds from EPFO/PFs account for </w:t>
      </w:r>
      <w:r w:rsidRPr="00C609A5">
        <w:rPr>
          <w:rFonts w:ascii="Tahoma" w:eastAsia="Palatino Linotype" w:hAnsi="Tahoma" w:cs="Tahoma"/>
          <w:sz w:val="22"/>
          <w:szCs w:val="22"/>
        </w:rPr>
        <w:t>₹</w:t>
      </w:r>
      <w:r w:rsidR="00C609A5">
        <w:rPr>
          <w:rFonts w:ascii="Palatino Linotype" w:eastAsia="Palatino Linotype" w:hAnsi="Palatino Linotype" w:cs="Palatino Linotype"/>
          <w:sz w:val="22"/>
          <w:szCs w:val="22"/>
        </w:rPr>
        <w:t>14.0</w:t>
      </w:r>
      <w:r w:rsidRPr="00C609A5">
        <w:rPr>
          <w:rFonts w:ascii="Palatino Linotype" w:eastAsia="Palatino Linotype" w:hAnsi="Palatino Linotype" w:cs="Palatino Linotype"/>
          <w:sz w:val="22"/>
          <w:szCs w:val="22"/>
        </w:rPr>
        <w:t xml:space="preserve"> lakh crore. </w:t>
      </w:r>
    </w:p>
    <w:p w14:paraId="31840EE9" w14:textId="28A3BE01" w:rsidR="007C32C5" w:rsidRPr="00C609A5" w:rsidRDefault="007C32C5" w:rsidP="007C32C5">
      <w:pPr>
        <w:numPr>
          <w:ilvl w:val="0"/>
          <w:numId w:val="17"/>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C609A5">
        <w:rPr>
          <w:rFonts w:ascii="Palatino Linotype" w:eastAsia="Palatino Linotype" w:hAnsi="Palatino Linotype" w:cs="Palatino Linotype"/>
          <w:sz w:val="22"/>
          <w:szCs w:val="22"/>
        </w:rPr>
        <w:t xml:space="preserve">As for number of clients in PMS industry at the end of </w:t>
      </w:r>
      <w:r w:rsidR="00AF1F2F">
        <w:rPr>
          <w:rFonts w:ascii="Palatino Linotype" w:eastAsia="Palatino Linotype" w:hAnsi="Palatino Linotype" w:cs="Palatino Linotype"/>
          <w:sz w:val="22"/>
          <w:szCs w:val="22"/>
        </w:rPr>
        <w:t>June</w:t>
      </w:r>
      <w:r w:rsidRPr="00C609A5">
        <w:rPr>
          <w:rFonts w:ascii="Palatino Linotype" w:eastAsia="Palatino Linotype" w:hAnsi="Palatino Linotype" w:cs="Palatino Linotype"/>
          <w:sz w:val="22"/>
          <w:szCs w:val="22"/>
        </w:rPr>
        <w:t xml:space="preserve"> 2020, discretionary services category has </w:t>
      </w:r>
      <w:r w:rsidR="00AF1F2F">
        <w:rPr>
          <w:rFonts w:ascii="Palatino Linotype" w:eastAsia="Palatino Linotype" w:hAnsi="Palatino Linotype" w:cs="Palatino Linotype"/>
          <w:sz w:val="22"/>
          <w:szCs w:val="22"/>
        </w:rPr>
        <w:t>1,49,564</w:t>
      </w:r>
      <w:r w:rsidRPr="00C609A5">
        <w:rPr>
          <w:rFonts w:ascii="Palatino Linotype" w:eastAsia="Palatino Linotype" w:hAnsi="Palatino Linotype" w:cs="Palatino Linotype"/>
          <w:sz w:val="22"/>
          <w:szCs w:val="22"/>
        </w:rPr>
        <w:t xml:space="preserve"> clients, followed by non-discretionary category with </w:t>
      </w:r>
      <w:r w:rsidR="00AF1F2F">
        <w:rPr>
          <w:rFonts w:ascii="Palatino Linotype" w:eastAsia="Palatino Linotype" w:hAnsi="Palatino Linotype" w:cs="Palatino Linotype"/>
          <w:sz w:val="22"/>
          <w:szCs w:val="22"/>
        </w:rPr>
        <w:t>9,191</w:t>
      </w:r>
      <w:r w:rsidRPr="00C609A5">
        <w:rPr>
          <w:rFonts w:ascii="Palatino Linotype" w:eastAsia="Palatino Linotype" w:hAnsi="Palatino Linotype" w:cs="Palatino Linotype"/>
          <w:sz w:val="22"/>
          <w:szCs w:val="22"/>
        </w:rPr>
        <w:t xml:space="preserve"> clients and advisory category with </w:t>
      </w:r>
      <w:r w:rsidR="00AF1F2F">
        <w:rPr>
          <w:rFonts w:ascii="Palatino Linotype" w:eastAsia="Palatino Linotype" w:hAnsi="Palatino Linotype" w:cs="Palatino Linotype"/>
          <w:sz w:val="22"/>
          <w:szCs w:val="22"/>
        </w:rPr>
        <w:t>3,897</w:t>
      </w:r>
      <w:r w:rsidRPr="00C609A5">
        <w:rPr>
          <w:rFonts w:ascii="Palatino Linotype" w:eastAsia="Palatino Linotype" w:hAnsi="Palatino Linotype" w:cs="Palatino Linotype"/>
          <w:sz w:val="22"/>
          <w:szCs w:val="22"/>
        </w:rPr>
        <w:t xml:space="preserve"> clients.   </w:t>
      </w:r>
    </w:p>
    <w:p w14:paraId="0F13121B" w14:textId="1A4EADBD" w:rsidR="00C609A5" w:rsidRPr="00781E09" w:rsidRDefault="00C609A5" w:rsidP="00C609A5">
      <w:pPr>
        <w:numPr>
          <w:ilvl w:val="0"/>
          <w:numId w:val="17"/>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781E09">
        <w:rPr>
          <w:rFonts w:ascii="Palatino Linotype" w:eastAsia="Palatino Linotype" w:hAnsi="Palatino Linotype" w:cs="Palatino Linotype"/>
          <w:sz w:val="22"/>
          <w:szCs w:val="22"/>
        </w:rPr>
        <w:t>I</w:t>
      </w:r>
      <w:r w:rsidR="00AF1F2F" w:rsidRPr="00781E09">
        <w:rPr>
          <w:rFonts w:ascii="Palatino Linotype" w:eastAsia="Palatino Linotype" w:hAnsi="Palatino Linotype" w:cs="Palatino Linotype"/>
          <w:sz w:val="22"/>
          <w:szCs w:val="22"/>
        </w:rPr>
        <w:t>n light   of the</w:t>
      </w:r>
      <w:r w:rsidRPr="00781E09">
        <w:rPr>
          <w:rFonts w:ascii="Palatino Linotype" w:eastAsia="Palatino Linotype" w:hAnsi="Palatino Linotype" w:cs="Palatino Linotype"/>
          <w:sz w:val="22"/>
          <w:szCs w:val="22"/>
        </w:rPr>
        <w:t xml:space="preserve">   prevailing business and   market conditions </w:t>
      </w:r>
      <w:r w:rsidR="00AF1F2F" w:rsidRPr="00781E09">
        <w:rPr>
          <w:rFonts w:ascii="Palatino Linotype" w:eastAsia="Palatino Linotype" w:hAnsi="Palatino Linotype" w:cs="Palatino Linotype"/>
          <w:sz w:val="22"/>
          <w:szCs w:val="22"/>
        </w:rPr>
        <w:t xml:space="preserve">    due     to     COVID-19    </w:t>
      </w:r>
      <w:r w:rsidR="00561BB9" w:rsidRPr="00781E09">
        <w:rPr>
          <w:rFonts w:ascii="Palatino Linotype" w:eastAsia="Palatino Linotype" w:hAnsi="Palatino Linotype" w:cs="Palatino Linotype"/>
          <w:sz w:val="22"/>
          <w:szCs w:val="22"/>
        </w:rPr>
        <w:t>pandemic, vide</w:t>
      </w:r>
      <w:r w:rsidRPr="00781E09">
        <w:rPr>
          <w:rFonts w:ascii="Palatino Linotype" w:eastAsia="Palatino Linotype" w:hAnsi="Palatino Linotype" w:cs="Palatino Linotype"/>
          <w:sz w:val="22"/>
          <w:szCs w:val="22"/>
        </w:rPr>
        <w:t xml:space="preserve">     Circular     No.     SEBI/HO/IMD/DF1/CIR/P/2020/111   dated   June   29, 2020, SEBI   h</w:t>
      </w:r>
      <w:r w:rsidR="00561BB9">
        <w:rPr>
          <w:rFonts w:ascii="Palatino Linotype" w:eastAsia="Palatino Linotype" w:hAnsi="Palatino Linotype" w:cs="Palatino Linotype"/>
          <w:sz w:val="22"/>
          <w:szCs w:val="22"/>
        </w:rPr>
        <w:t xml:space="preserve">as </w:t>
      </w:r>
      <w:r w:rsidR="00561BB9" w:rsidRPr="00781E09">
        <w:rPr>
          <w:rFonts w:ascii="Palatino Linotype" w:eastAsia="Palatino Linotype" w:hAnsi="Palatino Linotype" w:cs="Palatino Linotype"/>
          <w:sz w:val="22"/>
          <w:szCs w:val="22"/>
        </w:rPr>
        <w:t>extended, inter alia, the timeline for monthly reporting of</w:t>
      </w:r>
      <w:r w:rsidRPr="00781E09">
        <w:rPr>
          <w:rFonts w:ascii="Palatino Linotype" w:eastAsia="Palatino Linotype" w:hAnsi="Palatino Linotype" w:cs="Palatino Linotype"/>
          <w:sz w:val="22"/>
          <w:szCs w:val="22"/>
        </w:rPr>
        <w:t xml:space="preserve">   </w:t>
      </w:r>
      <w:r w:rsidR="00561BB9" w:rsidRPr="00781E09">
        <w:rPr>
          <w:rFonts w:ascii="Palatino Linotype" w:eastAsia="Palatino Linotype" w:hAnsi="Palatino Linotype" w:cs="Palatino Linotype"/>
          <w:sz w:val="22"/>
          <w:szCs w:val="22"/>
        </w:rPr>
        <w:t>portfolio management activity, to be applicable with effect from October 01, 2020</w:t>
      </w:r>
      <w:r w:rsidRPr="00781E09">
        <w:rPr>
          <w:rFonts w:ascii="Palatino Linotype" w:eastAsia="Palatino Linotype" w:hAnsi="Palatino Linotype" w:cs="Palatino Linotype"/>
          <w:sz w:val="22"/>
          <w:szCs w:val="22"/>
        </w:rPr>
        <w:t xml:space="preserve">.  Thus, the PMS data from </w:t>
      </w:r>
      <w:r w:rsidR="00F45A36" w:rsidRPr="00781E09">
        <w:rPr>
          <w:rFonts w:ascii="Palatino Linotype" w:eastAsia="Palatino Linotype" w:hAnsi="Palatino Linotype" w:cs="Palatino Linotype"/>
          <w:sz w:val="22"/>
          <w:szCs w:val="22"/>
        </w:rPr>
        <w:t>July</w:t>
      </w:r>
      <w:r w:rsidRPr="00781E09">
        <w:rPr>
          <w:rFonts w:ascii="Palatino Linotype" w:eastAsia="Palatino Linotype" w:hAnsi="Palatino Linotype" w:cs="Palatino Linotype"/>
          <w:sz w:val="22"/>
          <w:szCs w:val="22"/>
        </w:rPr>
        <w:t xml:space="preserve"> 2020 is not available.</w:t>
      </w:r>
    </w:p>
    <w:p w14:paraId="323CCBF3" w14:textId="77777777" w:rsidR="007C32C5" w:rsidRPr="007C32C5" w:rsidRDefault="007C32C5" w:rsidP="007C32C5">
      <w:pPr>
        <w:widowControl w:val="0"/>
        <w:pBdr>
          <w:top w:val="nil"/>
          <w:left w:val="nil"/>
          <w:bottom w:val="nil"/>
          <w:right w:val="nil"/>
          <w:between w:val="nil"/>
        </w:pBdr>
        <w:spacing w:line="276" w:lineRule="auto"/>
        <w:ind w:left="360"/>
        <w:jc w:val="both"/>
        <w:rPr>
          <w:rFonts w:ascii="Palatino Linotype" w:eastAsia="Times New Roman" w:hAnsi="Palatino Linotype"/>
          <w:sz w:val="22"/>
          <w:szCs w:val="22"/>
          <w:highlight w:val="yellow"/>
        </w:rPr>
      </w:pPr>
    </w:p>
    <w:p w14:paraId="6168F1CE" w14:textId="77777777" w:rsidR="007C32C5" w:rsidRPr="007C32C5" w:rsidRDefault="007C32C5" w:rsidP="007C32C5">
      <w:pPr>
        <w:widowControl w:val="0"/>
        <w:numPr>
          <w:ilvl w:val="0"/>
          <w:numId w:val="9"/>
        </w:numPr>
        <w:spacing w:line="276" w:lineRule="auto"/>
        <w:ind w:left="567" w:hanging="567"/>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t>Trends in Substantial Acquisition of Shares and Takeovers</w:t>
      </w:r>
    </w:p>
    <w:p w14:paraId="12116573" w14:textId="77777777" w:rsidR="007C32C5" w:rsidRPr="007C32C5" w:rsidRDefault="007C32C5" w:rsidP="007C32C5">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406D98B0" w14:textId="77777777" w:rsidR="007C32C5" w:rsidRPr="007C32C5" w:rsidRDefault="007C32C5" w:rsidP="007C32C5">
      <w:pPr>
        <w:numPr>
          <w:ilvl w:val="0"/>
          <w:numId w:val="17"/>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7C32C5">
        <w:rPr>
          <w:rFonts w:ascii="Palatino Linotype" w:eastAsia="Palatino Linotype" w:hAnsi="Palatino Linotype" w:cs="Palatino Linotype"/>
          <w:sz w:val="22"/>
          <w:szCs w:val="22"/>
        </w:rPr>
        <w:t xml:space="preserve">During August 2020, nine open offers with offer value of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 xml:space="preserve">3,862 crore were made to shareholders under SEBI (Substantial Acquisition of Shares and Takeover) Regulations, 2011 (SAST Regulations). Two offers with offer value of </w:t>
      </w:r>
      <w:r w:rsidRPr="007C32C5">
        <w:rPr>
          <w:rFonts w:ascii="Tahoma" w:eastAsia="Palatino Linotype" w:hAnsi="Tahoma" w:cs="Tahoma"/>
          <w:sz w:val="22"/>
          <w:szCs w:val="22"/>
        </w:rPr>
        <w:t>₹</w:t>
      </w:r>
      <w:r w:rsidRPr="007C32C5">
        <w:rPr>
          <w:rFonts w:ascii="Palatino Linotype" w:eastAsia="Palatino Linotype" w:hAnsi="Palatino Linotype" w:cs="Palatino Linotype"/>
          <w:sz w:val="22"/>
          <w:szCs w:val="22"/>
        </w:rPr>
        <w:t>528 crore were made in the month of July 2020.</w:t>
      </w:r>
    </w:p>
    <w:p w14:paraId="47875C59" w14:textId="77777777" w:rsidR="007C32C5" w:rsidRPr="007C32C5" w:rsidRDefault="007C32C5" w:rsidP="007C32C5">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highlight w:val="yellow"/>
        </w:rPr>
      </w:pPr>
    </w:p>
    <w:p w14:paraId="2EEE95F4" w14:textId="77777777" w:rsidR="007C32C5" w:rsidRPr="007C32C5" w:rsidRDefault="007C32C5" w:rsidP="007C32C5">
      <w:pPr>
        <w:rPr>
          <w:rFonts w:ascii="Palatino Linotype" w:eastAsia="Palatino Linotype" w:hAnsi="Palatino Linotype" w:cs="Palatino Linotype"/>
          <w:b/>
          <w:sz w:val="22"/>
          <w:szCs w:val="22"/>
          <w:highlight w:val="yellow"/>
        </w:rPr>
      </w:pPr>
      <w:r w:rsidRPr="007C32C5">
        <w:rPr>
          <w:rFonts w:ascii="Palatino Linotype" w:eastAsia="Palatino Linotype" w:hAnsi="Palatino Linotype" w:cs="Palatino Linotype"/>
          <w:b/>
          <w:sz w:val="22"/>
          <w:szCs w:val="22"/>
          <w:highlight w:val="yellow"/>
        </w:rPr>
        <w:br w:type="page"/>
      </w:r>
    </w:p>
    <w:p w14:paraId="11FB8065" w14:textId="77777777" w:rsidR="007C32C5" w:rsidRPr="007C32C5" w:rsidRDefault="007C32C5" w:rsidP="007C32C5">
      <w:pPr>
        <w:spacing w:line="276" w:lineRule="auto"/>
        <w:jc w:val="center"/>
        <w:rPr>
          <w:rFonts w:ascii="Palatino Linotype" w:eastAsia="Palatino Linotype" w:hAnsi="Palatino Linotype" w:cs="Palatino Linotype"/>
          <w:b/>
          <w:sz w:val="22"/>
          <w:szCs w:val="22"/>
        </w:rPr>
      </w:pPr>
      <w:r w:rsidRPr="007C32C5">
        <w:rPr>
          <w:rFonts w:ascii="Palatino Linotype" w:eastAsia="Palatino Linotype" w:hAnsi="Palatino Linotype" w:cs="Palatino Linotype"/>
          <w:b/>
          <w:sz w:val="22"/>
          <w:szCs w:val="22"/>
        </w:rPr>
        <w:lastRenderedPageBreak/>
        <w:t>Figure 13: Details of Open Offers made under the SEBI (SAST) Regulations</w:t>
      </w:r>
    </w:p>
    <w:p w14:paraId="7879527E" w14:textId="77777777" w:rsidR="007C32C5" w:rsidRPr="007C32C5" w:rsidRDefault="007C32C5" w:rsidP="007C32C5">
      <w:pPr>
        <w:spacing w:line="276" w:lineRule="auto"/>
        <w:jc w:val="center"/>
        <w:rPr>
          <w:rFonts w:ascii="Palatino Linotype" w:eastAsia="Palatino Linotype" w:hAnsi="Palatino Linotype" w:cs="Palatino Linotype"/>
          <w:b/>
          <w:sz w:val="22"/>
          <w:szCs w:val="22"/>
          <w:highlight w:val="yellow"/>
        </w:rPr>
      </w:pPr>
      <w:r w:rsidRPr="007C32C5">
        <w:rPr>
          <w:noProof/>
          <w:lang w:val="en-IN" w:eastAsia="en-IN" w:bidi="hi-IN"/>
        </w:rPr>
        <w:drawing>
          <wp:inline distT="0" distB="0" distL="0" distR="0" wp14:anchorId="2CC3AE73" wp14:editId="6A082D6B">
            <wp:extent cx="6278880" cy="2215515"/>
            <wp:effectExtent l="0" t="0" r="7620" b="13335"/>
            <wp:docPr id="29" name="Chart 29" title="Amount (Rs. Cro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5EA7A1" w14:textId="77777777" w:rsidR="007C32C5" w:rsidRPr="007C32C5" w:rsidRDefault="007C32C5" w:rsidP="007C32C5">
      <w:pPr>
        <w:widowControl w:val="0"/>
        <w:spacing w:line="276" w:lineRule="auto"/>
        <w:ind w:left="720"/>
        <w:contextualSpacing/>
        <w:jc w:val="both"/>
        <w:rPr>
          <w:rFonts w:ascii="Palatino Linotype" w:hAnsi="Palatino Linotype"/>
          <w:b/>
          <w:color w:val="0070C0"/>
          <w:sz w:val="22"/>
          <w:szCs w:val="22"/>
          <w:highlight w:val="yellow"/>
        </w:rPr>
      </w:pPr>
    </w:p>
    <w:p w14:paraId="0751AF12" w14:textId="77777777" w:rsidR="007C32C5" w:rsidRPr="007C32C5" w:rsidRDefault="007C32C5" w:rsidP="007C32C5">
      <w:pPr>
        <w:widowControl w:val="0"/>
        <w:numPr>
          <w:ilvl w:val="0"/>
          <w:numId w:val="9"/>
        </w:numPr>
        <w:spacing w:line="276" w:lineRule="auto"/>
        <w:ind w:left="567" w:hanging="567"/>
        <w:contextualSpacing/>
        <w:jc w:val="both"/>
        <w:rPr>
          <w:rFonts w:ascii="Palatino Linotype" w:eastAsia="Palatino Linotype" w:hAnsi="Palatino Linotype" w:cs="Palatino Linotype"/>
          <w:b/>
          <w:sz w:val="22"/>
          <w:szCs w:val="22"/>
          <w:lang w:val="en-US"/>
        </w:rPr>
      </w:pPr>
      <w:r w:rsidRPr="007C32C5">
        <w:rPr>
          <w:rFonts w:ascii="Palatino Linotype" w:eastAsia="Palatino Linotype" w:hAnsi="Palatino Linotype" w:cs="Palatino Linotype"/>
          <w:b/>
          <w:sz w:val="22"/>
          <w:szCs w:val="22"/>
          <w:lang w:val="en-US"/>
        </w:rPr>
        <w:t>Commodities Derivatives Markets</w:t>
      </w:r>
    </w:p>
    <w:p w14:paraId="63B60860" w14:textId="77777777" w:rsidR="007C32C5" w:rsidRPr="007C32C5" w:rsidRDefault="007C32C5" w:rsidP="007C32C5">
      <w:pPr>
        <w:spacing w:line="276" w:lineRule="auto"/>
        <w:ind w:left="720"/>
        <w:contextualSpacing/>
        <w:jc w:val="both"/>
        <w:rPr>
          <w:rFonts w:ascii="Palatino Linotype" w:eastAsia="Times New Roman" w:hAnsi="Palatino Linotype"/>
          <w:b/>
          <w:sz w:val="22"/>
          <w:szCs w:val="22"/>
          <w:lang w:val="en-US"/>
        </w:rPr>
      </w:pPr>
    </w:p>
    <w:p w14:paraId="596C259D" w14:textId="77777777" w:rsidR="007C32C5" w:rsidRPr="007C32C5" w:rsidRDefault="007C32C5" w:rsidP="007C32C5">
      <w:pPr>
        <w:numPr>
          <w:ilvl w:val="0"/>
          <w:numId w:val="35"/>
        </w:numPr>
        <w:spacing w:line="276" w:lineRule="auto"/>
        <w:ind w:left="567" w:hanging="567"/>
        <w:contextualSpacing/>
        <w:jc w:val="both"/>
        <w:rPr>
          <w:rFonts w:ascii="Palatino Linotype" w:eastAsia="Times New Roman" w:hAnsi="Palatino Linotype"/>
          <w:b/>
          <w:sz w:val="22"/>
          <w:szCs w:val="22"/>
          <w:lang w:val="en-US"/>
        </w:rPr>
      </w:pPr>
      <w:r w:rsidRPr="007C32C5">
        <w:rPr>
          <w:rFonts w:ascii="Palatino Linotype" w:eastAsia="Times New Roman" w:hAnsi="Palatino Linotype"/>
          <w:b/>
          <w:sz w:val="22"/>
          <w:szCs w:val="22"/>
          <w:lang w:val="en-US"/>
        </w:rPr>
        <w:t>Market Trends</w:t>
      </w:r>
    </w:p>
    <w:p w14:paraId="24EBD09A" w14:textId="77777777" w:rsidR="007C32C5" w:rsidRPr="007C32C5" w:rsidRDefault="007C32C5" w:rsidP="007C32C5">
      <w:pPr>
        <w:spacing w:line="276" w:lineRule="auto"/>
        <w:contextualSpacing/>
        <w:jc w:val="both"/>
        <w:rPr>
          <w:rFonts w:ascii="Palatino Linotype" w:eastAsia="Calibri" w:hAnsi="Palatino Linotype"/>
          <w:sz w:val="22"/>
          <w:szCs w:val="22"/>
          <w:highlight w:val="yellow"/>
          <w:lang w:val="en-US"/>
        </w:rPr>
      </w:pPr>
    </w:p>
    <w:p w14:paraId="05AE7240" w14:textId="77777777" w:rsidR="007C32C5" w:rsidRPr="007C32C5" w:rsidRDefault="007C32C5" w:rsidP="007C32C5">
      <w:pPr>
        <w:numPr>
          <w:ilvl w:val="0"/>
          <w:numId w:val="40"/>
        </w:numPr>
        <w:ind w:left="284" w:hanging="578"/>
        <w:contextualSpacing/>
        <w:jc w:val="both"/>
        <w:rPr>
          <w:rFonts w:ascii="Palatino Linotype" w:eastAsia="Calibri" w:hAnsi="Palatino Linotype"/>
          <w:sz w:val="22"/>
          <w:szCs w:val="22"/>
          <w:lang w:val="en-US"/>
        </w:rPr>
      </w:pPr>
      <w:r w:rsidRPr="007C32C5">
        <w:rPr>
          <w:rFonts w:ascii="Palatino Linotype" w:eastAsia="Calibri" w:hAnsi="Palatino Linotype"/>
          <w:sz w:val="22"/>
          <w:szCs w:val="22"/>
          <w:lang w:val="en-US"/>
        </w:rPr>
        <w:t>During August 2020, MCX iCOMDEX composite index, witnessed a rise of 2.3 per cent (M-o-M) driven by increase in futures prices of base metals, energy, bullion (silver) and agri segments. O</w:t>
      </w:r>
      <w:r w:rsidRPr="007C32C5">
        <w:rPr>
          <w:rFonts w:ascii="Palatino Linotype" w:eastAsia="Times New Roman" w:hAnsi="Palatino Linotype"/>
          <w:color w:val="000000"/>
          <w:sz w:val="22"/>
          <w:szCs w:val="22"/>
          <w:lang w:val="en-US"/>
        </w:rPr>
        <w:t xml:space="preserve">n Y-o-Y basis, MCX iCOMDEX composite index however, decreased by 2.9 per cent. </w:t>
      </w:r>
    </w:p>
    <w:p w14:paraId="1061AD9C" w14:textId="77777777" w:rsidR="007C32C5" w:rsidRPr="007C32C5" w:rsidRDefault="007C32C5" w:rsidP="007C32C5">
      <w:pPr>
        <w:numPr>
          <w:ilvl w:val="0"/>
          <w:numId w:val="40"/>
        </w:numPr>
        <w:ind w:left="284" w:hanging="578"/>
        <w:contextualSpacing/>
        <w:jc w:val="both"/>
        <w:rPr>
          <w:rFonts w:ascii="Palatino Linotype" w:eastAsia="Calibri" w:hAnsi="Palatino Linotype"/>
          <w:sz w:val="22"/>
          <w:szCs w:val="22"/>
          <w:lang w:val="en-US"/>
        </w:rPr>
      </w:pPr>
      <w:r w:rsidRPr="007C32C5">
        <w:rPr>
          <w:rFonts w:ascii="Palatino Linotype" w:eastAsia="Calibri" w:hAnsi="Palatino Linotype"/>
          <w:sz w:val="22"/>
          <w:szCs w:val="22"/>
          <w:lang w:val="en-US"/>
        </w:rPr>
        <w:t xml:space="preserve">During the month, </w:t>
      </w:r>
      <w:r w:rsidRPr="007C32C5">
        <w:rPr>
          <w:rFonts w:ascii="Palatino Linotype" w:eastAsia="Times New Roman" w:hAnsi="Palatino Linotype"/>
          <w:color w:val="000000"/>
          <w:sz w:val="22"/>
          <w:szCs w:val="22"/>
          <w:lang w:val="en-US"/>
        </w:rPr>
        <w:t xml:space="preserve">MCX iCOMDEX crude oil index increased by 2.9 per cent on account of increase in futures price of crude oil by 4.8 per cent. MCX iCOMDEX base metal index increased by 6.0 per cent due to increase in futures price of all the base metals. Futures prices of nickel increased by 9.0 per cent, followed by zinc (7.9 per cent), lead (4.2 per cent), copper (2.9 per cent) and aluminium (2.5 per cent). MCX iCOMDEX bullion index decreased by 1.5 per cent due to decrease in future prices of gold by 4.0 per cent which was partially offset by increase in silver prices by 3.6 per cent. Among the agri. segment, futures prices of all the traded commodities viz. cardamom, cotton, mentha oil and crude palm oil contracts increased by 13.8 per cent, 8.7 per cent, 6.8 per cent and 3.2 per cent respectively during the month. </w:t>
      </w:r>
    </w:p>
    <w:p w14:paraId="0E4E0188" w14:textId="77777777" w:rsidR="007C32C5" w:rsidRPr="007C32C5" w:rsidRDefault="007C32C5" w:rsidP="007C32C5">
      <w:pPr>
        <w:numPr>
          <w:ilvl w:val="0"/>
          <w:numId w:val="40"/>
        </w:numPr>
        <w:ind w:left="284" w:hanging="578"/>
        <w:contextualSpacing/>
        <w:jc w:val="both"/>
        <w:rPr>
          <w:rFonts w:ascii="Palatino Linotype" w:eastAsia="Calibri" w:hAnsi="Palatino Linotype"/>
          <w:sz w:val="22"/>
          <w:szCs w:val="22"/>
          <w:lang w:val="en-US"/>
        </w:rPr>
      </w:pPr>
      <w:r w:rsidRPr="007C32C5">
        <w:rPr>
          <w:rFonts w:ascii="Palatino Linotype" w:eastAsia="Calibri" w:hAnsi="Palatino Linotype"/>
          <w:sz w:val="22"/>
          <w:szCs w:val="22"/>
          <w:lang w:val="en-US"/>
        </w:rPr>
        <w:t xml:space="preserve">NKrishi index increased by 9.7 per cent (M-o-M) as futures prices of nine out of 10 </w:t>
      </w:r>
      <w:r w:rsidRPr="007C32C5">
        <w:rPr>
          <w:rFonts w:ascii="Palatino Linotype" w:eastAsia="Times New Roman" w:hAnsi="Palatino Linotype"/>
          <w:color w:val="000000"/>
          <w:sz w:val="22"/>
          <w:szCs w:val="22"/>
          <w:lang w:val="en-US"/>
        </w:rPr>
        <w:t>constituent commodities of the index viz. guarseed, soybean, chana, turmeric, RM seed, cottonseed oilcake, jeera, coriander and castorseed witnessed uptrend. On Y-o-Y basis NKrishi index increased by 0.7 per cent. Monthly trends in MCX iCOMDEX composite Index and NKrishi Index are provided in Table 64.</w:t>
      </w:r>
    </w:p>
    <w:p w14:paraId="619D794C" w14:textId="77777777" w:rsidR="007C32C5" w:rsidRPr="007C32C5" w:rsidRDefault="007C32C5" w:rsidP="007C32C5">
      <w:pPr>
        <w:rPr>
          <w:rFonts w:ascii="Palatino Linotype" w:eastAsia="Times New Roman" w:hAnsi="Palatino Linotype"/>
          <w:b/>
          <w:sz w:val="22"/>
          <w:szCs w:val="22"/>
          <w:highlight w:val="yellow"/>
          <w:lang w:val="en-US"/>
        </w:rPr>
      </w:pPr>
      <w:r w:rsidRPr="007C32C5">
        <w:rPr>
          <w:rFonts w:ascii="Palatino Linotype" w:eastAsia="Times New Roman" w:hAnsi="Palatino Linotype"/>
          <w:b/>
          <w:sz w:val="22"/>
          <w:szCs w:val="22"/>
          <w:highlight w:val="yellow"/>
        </w:rPr>
        <w:br w:type="page"/>
      </w:r>
    </w:p>
    <w:p w14:paraId="71434FF8" w14:textId="77777777" w:rsidR="007C32C5" w:rsidRPr="007C32C5" w:rsidRDefault="007C32C5" w:rsidP="007C32C5">
      <w:pPr>
        <w:spacing w:line="276" w:lineRule="auto"/>
        <w:contextualSpacing/>
        <w:jc w:val="center"/>
        <w:rPr>
          <w:rFonts w:ascii="Palatino Linotype" w:eastAsia="Times New Roman" w:hAnsi="Palatino Linotype"/>
          <w:b/>
          <w:sz w:val="22"/>
          <w:szCs w:val="22"/>
          <w:lang w:val="en-US"/>
        </w:rPr>
      </w:pPr>
      <w:r w:rsidRPr="007C32C5">
        <w:rPr>
          <w:rFonts w:ascii="Palatino Linotype" w:eastAsia="Times New Roman" w:hAnsi="Palatino Linotype"/>
          <w:b/>
          <w:sz w:val="22"/>
          <w:szCs w:val="22"/>
          <w:lang w:val="en-US"/>
        </w:rPr>
        <w:lastRenderedPageBreak/>
        <w:t>Figure 14: Movement of Commodity Derivatives Market Indices during August 2020</w:t>
      </w:r>
    </w:p>
    <w:p w14:paraId="3E5FC47F" w14:textId="77777777" w:rsidR="007C32C5" w:rsidRPr="007C32C5" w:rsidRDefault="007C32C5" w:rsidP="007C32C5">
      <w:pPr>
        <w:spacing w:line="276" w:lineRule="auto"/>
        <w:ind w:left="142" w:hanging="142"/>
        <w:contextualSpacing/>
        <w:jc w:val="center"/>
        <w:rPr>
          <w:rFonts w:ascii="Palatino Linotype" w:eastAsia="Times New Roman" w:hAnsi="Palatino Linotype"/>
          <w:b/>
          <w:color w:val="0070C0"/>
          <w:sz w:val="22"/>
          <w:szCs w:val="22"/>
          <w:lang w:val="en-US"/>
        </w:rPr>
      </w:pPr>
      <w:r w:rsidRPr="007C32C5">
        <w:rPr>
          <w:rFonts w:ascii="Calibri" w:eastAsia="Calibri" w:hAnsi="Calibri"/>
          <w:noProof/>
          <w:sz w:val="22"/>
          <w:szCs w:val="22"/>
          <w:lang w:val="en-IN" w:eastAsia="en-IN" w:bidi="hi-IN"/>
        </w:rPr>
        <w:drawing>
          <wp:inline distT="0" distB="0" distL="0" distR="0" wp14:anchorId="56C35230" wp14:editId="1E34DFFE">
            <wp:extent cx="5857009" cy="2507615"/>
            <wp:effectExtent l="0" t="0" r="10795" b="6985"/>
            <wp:docPr id="30" name="Chart 3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020916" w14:textId="77777777" w:rsidR="007C32C5" w:rsidRPr="007C32C5" w:rsidRDefault="007C32C5" w:rsidP="007C32C5">
      <w:pPr>
        <w:spacing w:line="276" w:lineRule="auto"/>
        <w:ind w:left="284" w:hanging="142"/>
        <w:contextualSpacing/>
        <w:jc w:val="both"/>
        <w:rPr>
          <w:rFonts w:ascii="Palatino Linotype" w:eastAsia="Calibri" w:hAnsi="Palatino Linotype" w:cs="Arial"/>
          <w:bCs/>
          <w:sz w:val="22"/>
          <w:szCs w:val="22"/>
          <w:lang w:val="en-US"/>
        </w:rPr>
      </w:pPr>
      <w:r w:rsidRPr="007C32C5">
        <w:rPr>
          <w:rFonts w:ascii="Palatino Linotype" w:eastAsia="Calibri" w:hAnsi="Palatino Linotype" w:cs="Arial"/>
          <w:bCs/>
          <w:sz w:val="22"/>
          <w:szCs w:val="22"/>
          <w:lang w:val="en-US"/>
        </w:rPr>
        <w:t xml:space="preserve">  Source: MCX and NCDEX</w:t>
      </w:r>
    </w:p>
    <w:p w14:paraId="18237FBD" w14:textId="77777777" w:rsidR="007C32C5" w:rsidRPr="007C32C5" w:rsidRDefault="007C32C5" w:rsidP="007C32C5">
      <w:pPr>
        <w:rPr>
          <w:rFonts w:ascii="Palatino Linotype" w:hAnsi="Palatino Linotype" w:cs="Arial"/>
          <w:b/>
          <w:bCs/>
          <w:sz w:val="22"/>
          <w:szCs w:val="22"/>
        </w:rPr>
      </w:pPr>
      <w:r w:rsidRPr="007C32C5">
        <w:rPr>
          <w:rFonts w:ascii="Palatino Linotype" w:hAnsi="Palatino Linotype" w:cs="Arial"/>
          <w:b/>
          <w:bCs/>
          <w:sz w:val="22"/>
          <w:szCs w:val="22"/>
        </w:rPr>
        <w:br w:type="page"/>
      </w:r>
    </w:p>
    <w:p w14:paraId="24E83B1F" w14:textId="77777777" w:rsidR="007C32C5" w:rsidRPr="007C32C5" w:rsidRDefault="007C32C5" w:rsidP="007C32C5">
      <w:pPr>
        <w:spacing w:line="276" w:lineRule="auto"/>
        <w:jc w:val="both"/>
        <w:rPr>
          <w:rFonts w:ascii="Palatino Linotype" w:hAnsi="Palatino Linotype" w:cs="Arial"/>
          <w:b/>
          <w:bCs/>
          <w:sz w:val="22"/>
          <w:szCs w:val="22"/>
        </w:rPr>
      </w:pPr>
    </w:p>
    <w:p w14:paraId="7C30D658" w14:textId="77777777" w:rsidR="007C32C5" w:rsidRPr="007C32C5" w:rsidRDefault="007C32C5" w:rsidP="007C32C5">
      <w:pPr>
        <w:spacing w:line="276" w:lineRule="auto"/>
        <w:jc w:val="both"/>
        <w:rPr>
          <w:rFonts w:ascii="Palatino Linotype" w:hAnsi="Palatino Linotype" w:cs="Arial"/>
          <w:b/>
          <w:bCs/>
          <w:sz w:val="22"/>
          <w:szCs w:val="22"/>
        </w:rPr>
      </w:pPr>
      <w:r w:rsidRPr="007C32C5">
        <w:rPr>
          <w:rFonts w:ascii="Palatino Linotype" w:hAnsi="Palatino Linotype" w:cs="Arial"/>
          <w:b/>
          <w:bCs/>
          <w:sz w:val="22"/>
          <w:szCs w:val="22"/>
        </w:rPr>
        <w:t xml:space="preserve">Table 4: Snapshot of Indian Commodity Derivatives Market    </w:t>
      </w:r>
    </w:p>
    <w:tbl>
      <w:tblPr>
        <w:tblpPr w:leftFromText="180" w:rightFromText="180" w:vertAnchor="text" w:tblpXSpec="center" w:tblpY="1"/>
        <w:tblOverlap w:val="never"/>
        <w:tblW w:w="9209" w:type="dxa"/>
        <w:jc w:val="center"/>
        <w:tblLook w:val="04A0" w:firstRow="1" w:lastRow="0" w:firstColumn="1" w:lastColumn="0" w:noHBand="0" w:noVBand="1"/>
      </w:tblPr>
      <w:tblGrid>
        <w:gridCol w:w="3271"/>
        <w:gridCol w:w="1128"/>
        <w:gridCol w:w="1236"/>
        <w:gridCol w:w="1319"/>
        <w:gridCol w:w="2255"/>
      </w:tblGrid>
      <w:tr w:rsidR="007C32C5" w:rsidRPr="007C32C5" w14:paraId="370BB531" w14:textId="77777777" w:rsidTr="005A4D17">
        <w:trPr>
          <w:trHeight w:val="699"/>
          <w:jc w:val="center"/>
        </w:trPr>
        <w:tc>
          <w:tcPr>
            <w:tcW w:w="3271" w:type="dxa"/>
            <w:tcBorders>
              <w:top w:val="single" w:sz="4" w:space="0" w:color="auto"/>
              <w:left w:val="single" w:sz="4" w:space="0" w:color="auto"/>
              <w:bottom w:val="single" w:sz="4" w:space="0" w:color="auto"/>
              <w:right w:val="single" w:sz="4" w:space="0" w:color="auto"/>
            </w:tcBorders>
            <w:shd w:val="clear" w:color="auto" w:fill="auto"/>
            <w:noWrap/>
            <w:hideMark/>
          </w:tcPr>
          <w:p w14:paraId="789BF61C"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
                <w:bCs/>
                <w:sz w:val="18"/>
                <w:szCs w:val="18"/>
              </w:rPr>
              <w:t>Items</w:t>
            </w:r>
          </w:p>
        </w:tc>
        <w:tc>
          <w:tcPr>
            <w:tcW w:w="1128" w:type="dxa"/>
            <w:tcBorders>
              <w:top w:val="single" w:sz="4" w:space="0" w:color="auto"/>
              <w:left w:val="single" w:sz="4" w:space="0" w:color="auto"/>
              <w:bottom w:val="single" w:sz="4" w:space="0" w:color="auto"/>
              <w:right w:val="single" w:sz="4" w:space="0" w:color="auto"/>
            </w:tcBorders>
            <w:shd w:val="clear" w:color="auto" w:fill="auto"/>
            <w:noWrap/>
            <w:hideMark/>
          </w:tcPr>
          <w:p w14:paraId="123D9207"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
                <w:bCs/>
                <w:sz w:val="18"/>
                <w:szCs w:val="18"/>
              </w:rPr>
              <w:t>2019-20</w:t>
            </w:r>
          </w:p>
        </w:tc>
        <w:tc>
          <w:tcPr>
            <w:tcW w:w="1236" w:type="dxa"/>
            <w:tcBorders>
              <w:top w:val="single" w:sz="4" w:space="0" w:color="auto"/>
              <w:left w:val="single" w:sz="4" w:space="0" w:color="auto"/>
              <w:right w:val="single" w:sz="4" w:space="0" w:color="auto"/>
            </w:tcBorders>
          </w:tcPr>
          <w:p w14:paraId="5F17C1C6"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
                <w:bCs/>
                <w:sz w:val="18"/>
                <w:szCs w:val="18"/>
              </w:rPr>
              <w:t>July- 2020</w:t>
            </w:r>
          </w:p>
        </w:tc>
        <w:tc>
          <w:tcPr>
            <w:tcW w:w="1319" w:type="dxa"/>
            <w:tcBorders>
              <w:top w:val="single" w:sz="4" w:space="0" w:color="auto"/>
              <w:left w:val="single" w:sz="4" w:space="0" w:color="auto"/>
              <w:bottom w:val="single" w:sz="4" w:space="0" w:color="auto"/>
              <w:right w:val="single" w:sz="4" w:space="0" w:color="auto"/>
            </w:tcBorders>
            <w:shd w:val="clear" w:color="auto" w:fill="auto"/>
            <w:noWrap/>
            <w:hideMark/>
          </w:tcPr>
          <w:p w14:paraId="2D71C1B7"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
                <w:bCs/>
                <w:sz w:val="18"/>
                <w:szCs w:val="18"/>
              </w:rPr>
              <w:t>Aug -2020</w:t>
            </w:r>
          </w:p>
        </w:tc>
        <w:tc>
          <w:tcPr>
            <w:tcW w:w="2255" w:type="dxa"/>
            <w:tcBorders>
              <w:top w:val="single" w:sz="4" w:space="0" w:color="auto"/>
              <w:left w:val="single" w:sz="4" w:space="0" w:color="auto"/>
              <w:bottom w:val="single" w:sz="4" w:space="0" w:color="000000"/>
              <w:right w:val="single" w:sz="4" w:space="0" w:color="auto"/>
            </w:tcBorders>
            <w:shd w:val="clear" w:color="auto" w:fill="auto"/>
            <w:hideMark/>
          </w:tcPr>
          <w:p w14:paraId="00215BD5"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
                <w:bCs/>
                <w:sz w:val="18"/>
                <w:szCs w:val="18"/>
              </w:rPr>
              <w:t xml:space="preserve">Percentage variation </w:t>
            </w:r>
          </w:p>
          <w:p w14:paraId="1ACC9F65"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
                <w:bCs/>
                <w:sz w:val="18"/>
                <w:szCs w:val="18"/>
              </w:rPr>
              <w:t>M-o-M</w:t>
            </w:r>
          </w:p>
        </w:tc>
      </w:tr>
      <w:tr w:rsidR="007C32C5" w:rsidRPr="007C32C5" w14:paraId="592028E9" w14:textId="77777777" w:rsidTr="005A4D17">
        <w:trPr>
          <w:trHeight w:val="367"/>
          <w:jc w:val="center"/>
        </w:trPr>
        <w:tc>
          <w:tcPr>
            <w:tcW w:w="9209" w:type="dxa"/>
            <w:gridSpan w:val="5"/>
            <w:tcBorders>
              <w:top w:val="single" w:sz="4" w:space="0" w:color="auto"/>
              <w:left w:val="single" w:sz="4" w:space="0" w:color="auto"/>
              <w:bottom w:val="single" w:sz="4" w:space="0" w:color="auto"/>
              <w:right w:val="single" w:sz="4" w:space="0" w:color="auto"/>
            </w:tcBorders>
            <w:shd w:val="clear" w:color="auto" w:fill="auto"/>
            <w:noWrap/>
          </w:tcPr>
          <w:p w14:paraId="5732F64F" w14:textId="77777777" w:rsidR="007C32C5" w:rsidRPr="007C32C5" w:rsidRDefault="007C32C5" w:rsidP="007C32C5">
            <w:pPr>
              <w:numPr>
                <w:ilvl w:val="0"/>
                <w:numId w:val="20"/>
              </w:numPr>
              <w:ind w:left="317" w:hanging="284"/>
              <w:contextualSpacing/>
              <w:rPr>
                <w:rFonts w:ascii="Palatino Linotype" w:eastAsia="Calibri" w:hAnsi="Palatino Linotype" w:cs="Arial"/>
                <w:b/>
                <w:bCs/>
                <w:sz w:val="18"/>
                <w:szCs w:val="18"/>
                <w:lang w:val="en-US"/>
              </w:rPr>
            </w:pPr>
            <w:r w:rsidRPr="007C32C5">
              <w:rPr>
                <w:rFonts w:ascii="Palatino Linotype" w:eastAsia="Calibri" w:hAnsi="Palatino Linotype" w:cs="Arial"/>
                <w:b/>
                <w:bCs/>
                <w:sz w:val="18"/>
                <w:szCs w:val="18"/>
                <w:lang w:val="en-US"/>
              </w:rPr>
              <w:t>Indices</w:t>
            </w:r>
          </w:p>
        </w:tc>
      </w:tr>
      <w:tr w:rsidR="007C32C5" w:rsidRPr="007C32C5" w14:paraId="2DFECA3E" w14:textId="77777777" w:rsidTr="005A4D17">
        <w:trPr>
          <w:trHeight w:val="224"/>
          <w:jc w:val="center"/>
        </w:trPr>
        <w:tc>
          <w:tcPr>
            <w:tcW w:w="3271" w:type="dxa"/>
            <w:tcBorders>
              <w:top w:val="nil"/>
              <w:left w:val="single" w:sz="4" w:space="0" w:color="auto"/>
              <w:bottom w:val="single" w:sz="4" w:space="0" w:color="auto"/>
              <w:right w:val="single" w:sz="4" w:space="0" w:color="auto"/>
            </w:tcBorders>
            <w:shd w:val="clear" w:color="auto" w:fill="auto"/>
            <w:noWrap/>
            <w:hideMark/>
          </w:tcPr>
          <w:p w14:paraId="41CE6848" w14:textId="77777777" w:rsidR="007C32C5" w:rsidRPr="007C32C5" w:rsidRDefault="007C32C5" w:rsidP="007C32C5">
            <w:pPr>
              <w:rPr>
                <w:rFonts w:ascii="Palatino Linotype" w:hAnsi="Palatino Linotype" w:cs="Arial"/>
                <w:bCs/>
                <w:sz w:val="18"/>
                <w:szCs w:val="18"/>
              </w:rPr>
            </w:pPr>
            <w:r w:rsidRPr="007C32C5">
              <w:rPr>
                <w:rFonts w:ascii="Palatino Linotype" w:hAnsi="Palatino Linotype" w:cs="Arial"/>
                <w:bCs/>
                <w:sz w:val="18"/>
                <w:szCs w:val="18"/>
              </w:rPr>
              <w:t>Nkrishi</w:t>
            </w:r>
          </w:p>
        </w:tc>
        <w:tc>
          <w:tcPr>
            <w:tcW w:w="1128" w:type="dxa"/>
            <w:tcBorders>
              <w:top w:val="nil"/>
              <w:left w:val="nil"/>
              <w:bottom w:val="single" w:sz="4" w:space="0" w:color="auto"/>
              <w:right w:val="single" w:sz="4" w:space="0" w:color="auto"/>
            </w:tcBorders>
            <w:shd w:val="clear" w:color="auto" w:fill="auto"/>
            <w:noWrap/>
            <w:hideMark/>
          </w:tcPr>
          <w:p w14:paraId="268372BE"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 3,180</w:t>
            </w:r>
          </w:p>
        </w:tc>
        <w:tc>
          <w:tcPr>
            <w:tcW w:w="1236" w:type="dxa"/>
            <w:tcBorders>
              <w:top w:val="single" w:sz="4" w:space="0" w:color="auto"/>
              <w:left w:val="single" w:sz="4" w:space="0" w:color="auto"/>
              <w:bottom w:val="single" w:sz="4" w:space="0" w:color="auto"/>
              <w:right w:val="single" w:sz="4" w:space="0" w:color="auto"/>
            </w:tcBorders>
          </w:tcPr>
          <w:p w14:paraId="1BD59BAC"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3,265</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6CC1D53F"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3,583</w:t>
            </w:r>
          </w:p>
        </w:tc>
        <w:tc>
          <w:tcPr>
            <w:tcW w:w="2255" w:type="dxa"/>
            <w:tcBorders>
              <w:top w:val="nil"/>
              <w:left w:val="nil"/>
              <w:bottom w:val="single" w:sz="4" w:space="0" w:color="auto"/>
              <w:right w:val="single" w:sz="4" w:space="0" w:color="auto"/>
            </w:tcBorders>
            <w:shd w:val="clear" w:color="auto" w:fill="auto"/>
            <w:noWrap/>
          </w:tcPr>
          <w:p w14:paraId="631EC1D4" w14:textId="77777777" w:rsidR="007C32C5" w:rsidRPr="007C32C5" w:rsidRDefault="007C32C5" w:rsidP="007C32C5">
            <w:pPr>
              <w:jc w:val="center"/>
              <w:rPr>
                <w:rFonts w:ascii="Palatino Linotype" w:hAnsi="Palatino Linotype" w:cs="Arial"/>
                <w:bCs/>
                <w:sz w:val="18"/>
                <w:szCs w:val="18"/>
              </w:rPr>
            </w:pPr>
            <w:r w:rsidRPr="007C32C5">
              <w:rPr>
                <w:rFonts w:ascii="Palatino Linotype" w:hAnsi="Palatino Linotype" w:cs="Arial"/>
                <w:bCs/>
                <w:sz w:val="18"/>
                <w:szCs w:val="18"/>
              </w:rPr>
              <w:t>9.7</w:t>
            </w:r>
          </w:p>
        </w:tc>
      </w:tr>
      <w:tr w:rsidR="007C32C5" w:rsidRPr="007C32C5" w14:paraId="0EAC6E4B" w14:textId="77777777" w:rsidTr="005A4D17">
        <w:trPr>
          <w:trHeight w:val="224"/>
          <w:jc w:val="center"/>
        </w:trPr>
        <w:tc>
          <w:tcPr>
            <w:tcW w:w="3271" w:type="dxa"/>
            <w:tcBorders>
              <w:top w:val="nil"/>
              <w:left w:val="single" w:sz="4" w:space="0" w:color="auto"/>
              <w:bottom w:val="single" w:sz="4" w:space="0" w:color="auto"/>
              <w:right w:val="single" w:sz="4" w:space="0" w:color="auto"/>
            </w:tcBorders>
            <w:shd w:val="clear" w:color="auto" w:fill="auto"/>
            <w:noWrap/>
          </w:tcPr>
          <w:p w14:paraId="22A17967" w14:textId="77777777" w:rsidR="007C32C5" w:rsidRPr="007C32C5" w:rsidRDefault="007C32C5" w:rsidP="007C32C5">
            <w:pPr>
              <w:rPr>
                <w:rFonts w:ascii="Palatino Linotype" w:hAnsi="Palatino Linotype" w:cs="Arial"/>
                <w:bCs/>
                <w:sz w:val="18"/>
                <w:szCs w:val="18"/>
              </w:rPr>
            </w:pPr>
            <w:r w:rsidRPr="007C32C5">
              <w:rPr>
                <w:rFonts w:ascii="Palatino Linotype" w:hAnsi="Palatino Linotype" w:cs="Arial"/>
                <w:bCs/>
                <w:sz w:val="18"/>
                <w:szCs w:val="18"/>
              </w:rPr>
              <w:t>MCX iCOMDEX</w:t>
            </w:r>
          </w:p>
        </w:tc>
        <w:tc>
          <w:tcPr>
            <w:tcW w:w="1128" w:type="dxa"/>
            <w:tcBorders>
              <w:top w:val="nil"/>
              <w:left w:val="nil"/>
              <w:bottom w:val="single" w:sz="4" w:space="0" w:color="auto"/>
              <w:right w:val="single" w:sz="4" w:space="0" w:color="auto"/>
            </w:tcBorders>
            <w:shd w:val="clear" w:color="auto" w:fill="auto"/>
            <w:noWrap/>
          </w:tcPr>
          <w:p w14:paraId="27BB25D5"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8,256</w:t>
            </w:r>
          </w:p>
        </w:tc>
        <w:tc>
          <w:tcPr>
            <w:tcW w:w="1236" w:type="dxa"/>
            <w:tcBorders>
              <w:top w:val="single" w:sz="4" w:space="0" w:color="auto"/>
              <w:left w:val="single" w:sz="4" w:space="0" w:color="auto"/>
              <w:bottom w:val="single" w:sz="4" w:space="0" w:color="auto"/>
              <w:right w:val="single" w:sz="4" w:space="0" w:color="auto"/>
            </w:tcBorders>
          </w:tcPr>
          <w:p w14:paraId="51A725CF"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10,001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14625057"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10,227</w:t>
            </w:r>
          </w:p>
        </w:tc>
        <w:tc>
          <w:tcPr>
            <w:tcW w:w="2255" w:type="dxa"/>
            <w:tcBorders>
              <w:top w:val="nil"/>
              <w:left w:val="nil"/>
              <w:bottom w:val="single" w:sz="4" w:space="0" w:color="auto"/>
              <w:right w:val="single" w:sz="4" w:space="0" w:color="auto"/>
            </w:tcBorders>
            <w:shd w:val="clear" w:color="auto" w:fill="auto"/>
            <w:noWrap/>
          </w:tcPr>
          <w:p w14:paraId="1AB0E0CA" w14:textId="77777777" w:rsidR="007C32C5" w:rsidRPr="007C32C5" w:rsidRDefault="007C32C5" w:rsidP="007C32C5">
            <w:pPr>
              <w:jc w:val="center"/>
              <w:rPr>
                <w:rFonts w:ascii="Palatino Linotype" w:hAnsi="Palatino Linotype" w:cs="Arial"/>
                <w:bCs/>
                <w:sz w:val="18"/>
                <w:szCs w:val="18"/>
              </w:rPr>
            </w:pPr>
            <w:r w:rsidRPr="007C32C5">
              <w:rPr>
                <w:rFonts w:ascii="Palatino Linotype" w:hAnsi="Palatino Linotype" w:cs="Arial"/>
                <w:bCs/>
                <w:sz w:val="18"/>
                <w:szCs w:val="18"/>
              </w:rPr>
              <w:t>2.3</w:t>
            </w:r>
          </w:p>
        </w:tc>
      </w:tr>
      <w:tr w:rsidR="007C32C5" w:rsidRPr="007C32C5" w14:paraId="638F0A56" w14:textId="77777777" w:rsidTr="005A4D17">
        <w:trPr>
          <w:trHeight w:val="224"/>
          <w:jc w:val="center"/>
        </w:trPr>
        <w:tc>
          <w:tcPr>
            <w:tcW w:w="9209" w:type="dxa"/>
            <w:gridSpan w:val="5"/>
            <w:tcBorders>
              <w:top w:val="nil"/>
              <w:left w:val="single" w:sz="4" w:space="0" w:color="auto"/>
              <w:bottom w:val="single" w:sz="4" w:space="0" w:color="auto"/>
              <w:right w:val="single" w:sz="4" w:space="0" w:color="auto"/>
            </w:tcBorders>
            <w:shd w:val="clear" w:color="auto" w:fill="auto"/>
            <w:noWrap/>
          </w:tcPr>
          <w:p w14:paraId="080FDC9C" w14:textId="77777777" w:rsidR="007C32C5" w:rsidRPr="007C32C5" w:rsidRDefault="007C32C5" w:rsidP="007C32C5">
            <w:pPr>
              <w:numPr>
                <w:ilvl w:val="0"/>
                <w:numId w:val="20"/>
              </w:numPr>
              <w:ind w:left="317" w:hanging="317"/>
              <w:contextualSpacing/>
              <w:rPr>
                <w:rFonts w:ascii="Palatino Linotype" w:eastAsia="Calibri" w:hAnsi="Palatino Linotype" w:cs="Arial"/>
                <w:bCs/>
                <w:sz w:val="18"/>
                <w:szCs w:val="18"/>
                <w:lang w:val="en-US"/>
              </w:rPr>
            </w:pPr>
            <w:r w:rsidRPr="007C32C5">
              <w:rPr>
                <w:rFonts w:ascii="Palatino Linotype" w:eastAsia="Calibri" w:hAnsi="Palatino Linotype" w:cs="Arial"/>
                <w:b/>
                <w:bCs/>
                <w:sz w:val="18"/>
                <w:szCs w:val="18"/>
                <w:lang w:val="en-US"/>
              </w:rPr>
              <w:t>Turnover (</w:t>
            </w:r>
            <w:r w:rsidRPr="007C32C5">
              <w:rPr>
                <w:rFonts w:ascii="Tahoma" w:eastAsia="Calibri" w:hAnsi="Tahoma" w:cs="Tahoma"/>
                <w:b/>
                <w:bCs/>
                <w:sz w:val="18"/>
                <w:szCs w:val="18"/>
                <w:lang w:val="en-US"/>
              </w:rPr>
              <w:t>₹</w:t>
            </w:r>
            <w:r w:rsidRPr="007C32C5">
              <w:rPr>
                <w:rFonts w:ascii="Palatino Linotype" w:eastAsia="Calibri" w:hAnsi="Palatino Linotype" w:cs="Arial"/>
                <w:b/>
                <w:bCs/>
                <w:sz w:val="18"/>
                <w:szCs w:val="18"/>
                <w:lang w:val="en-US"/>
              </w:rPr>
              <w:t>crore)</w:t>
            </w:r>
          </w:p>
        </w:tc>
      </w:tr>
      <w:tr w:rsidR="007C32C5" w:rsidRPr="007C32C5" w14:paraId="6C008E95" w14:textId="77777777" w:rsidTr="005A4D17">
        <w:trPr>
          <w:trHeight w:val="308"/>
          <w:jc w:val="center"/>
        </w:trPr>
        <w:tc>
          <w:tcPr>
            <w:tcW w:w="3271" w:type="dxa"/>
            <w:tcBorders>
              <w:top w:val="nil"/>
              <w:left w:val="single" w:sz="4" w:space="0" w:color="auto"/>
              <w:bottom w:val="single" w:sz="4" w:space="0" w:color="auto"/>
              <w:right w:val="nil"/>
            </w:tcBorders>
            <w:shd w:val="clear" w:color="auto" w:fill="auto"/>
            <w:noWrap/>
            <w:hideMark/>
          </w:tcPr>
          <w:p w14:paraId="018C71E4"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
                <w:bCs/>
                <w:sz w:val="18"/>
                <w:szCs w:val="18"/>
              </w:rPr>
              <w:t>All-India</w:t>
            </w:r>
          </w:p>
        </w:tc>
        <w:tc>
          <w:tcPr>
            <w:tcW w:w="1128" w:type="dxa"/>
            <w:tcBorders>
              <w:top w:val="nil"/>
              <w:left w:val="single" w:sz="4" w:space="0" w:color="auto"/>
              <w:bottom w:val="single" w:sz="4" w:space="0" w:color="auto"/>
              <w:right w:val="single" w:sz="4" w:space="0" w:color="auto"/>
            </w:tcBorders>
            <w:shd w:val="clear" w:color="auto" w:fill="auto"/>
            <w:noWrap/>
            <w:hideMark/>
          </w:tcPr>
          <w:p w14:paraId="03F9F9D8"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92,24,839</w:t>
            </w:r>
          </w:p>
        </w:tc>
        <w:tc>
          <w:tcPr>
            <w:tcW w:w="1236" w:type="dxa"/>
            <w:tcBorders>
              <w:top w:val="single" w:sz="4" w:space="0" w:color="auto"/>
              <w:left w:val="single" w:sz="4" w:space="0" w:color="auto"/>
              <w:bottom w:val="single" w:sz="4" w:space="0" w:color="auto"/>
              <w:right w:val="single" w:sz="4" w:space="0" w:color="auto"/>
            </w:tcBorders>
          </w:tcPr>
          <w:p w14:paraId="27F287EC"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9,72,115</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1E552D67"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10,37,849</w:t>
            </w:r>
          </w:p>
        </w:tc>
        <w:tc>
          <w:tcPr>
            <w:tcW w:w="2255" w:type="dxa"/>
            <w:tcBorders>
              <w:top w:val="nil"/>
              <w:left w:val="nil"/>
              <w:bottom w:val="single" w:sz="4" w:space="0" w:color="auto"/>
              <w:right w:val="single" w:sz="4" w:space="0" w:color="auto"/>
            </w:tcBorders>
            <w:shd w:val="clear" w:color="auto" w:fill="auto"/>
            <w:noWrap/>
          </w:tcPr>
          <w:p w14:paraId="44BB999A" w14:textId="77777777" w:rsidR="007C32C5" w:rsidRPr="007C32C5" w:rsidRDefault="007C32C5" w:rsidP="007C32C5">
            <w:pPr>
              <w:jc w:val="center"/>
              <w:rPr>
                <w:rFonts w:ascii="Palatino Linotype" w:hAnsi="Palatino Linotype" w:cs="Arial"/>
                <w:b/>
                <w:bCs/>
                <w:sz w:val="18"/>
                <w:szCs w:val="18"/>
              </w:rPr>
            </w:pPr>
            <w:r w:rsidRPr="007C32C5">
              <w:rPr>
                <w:rFonts w:ascii="Palatino Linotype" w:hAnsi="Palatino Linotype" w:cs="Arial"/>
                <w:b/>
                <w:bCs/>
                <w:sz w:val="18"/>
                <w:szCs w:val="18"/>
              </w:rPr>
              <w:t>6.8</w:t>
            </w:r>
          </w:p>
        </w:tc>
      </w:tr>
      <w:tr w:rsidR="007C32C5" w:rsidRPr="007C32C5" w14:paraId="2E957699" w14:textId="77777777" w:rsidTr="005A4D17">
        <w:trPr>
          <w:trHeight w:val="308"/>
          <w:jc w:val="center"/>
        </w:trPr>
        <w:tc>
          <w:tcPr>
            <w:tcW w:w="3271" w:type="dxa"/>
            <w:tcBorders>
              <w:top w:val="nil"/>
              <w:left w:val="single" w:sz="4" w:space="0" w:color="auto"/>
              <w:bottom w:val="single" w:sz="4" w:space="0" w:color="auto"/>
              <w:right w:val="nil"/>
            </w:tcBorders>
            <w:shd w:val="clear" w:color="auto" w:fill="auto"/>
            <w:noWrap/>
          </w:tcPr>
          <w:p w14:paraId="6C6AE65C"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
                <w:bCs/>
                <w:sz w:val="18"/>
                <w:szCs w:val="18"/>
              </w:rPr>
              <w:t>MCX, of which</w:t>
            </w:r>
          </w:p>
        </w:tc>
        <w:tc>
          <w:tcPr>
            <w:tcW w:w="1128" w:type="dxa"/>
            <w:tcBorders>
              <w:top w:val="nil"/>
              <w:left w:val="single" w:sz="4" w:space="0" w:color="auto"/>
              <w:bottom w:val="single" w:sz="4" w:space="0" w:color="auto"/>
              <w:right w:val="single" w:sz="4" w:space="0" w:color="auto"/>
            </w:tcBorders>
            <w:shd w:val="clear" w:color="auto" w:fill="auto"/>
            <w:noWrap/>
          </w:tcPr>
          <w:p w14:paraId="5C14378E" w14:textId="77777777" w:rsidR="007C32C5" w:rsidRPr="007C32C5" w:rsidRDefault="007C32C5" w:rsidP="007C32C5">
            <w:pPr>
              <w:tabs>
                <w:tab w:val="right" w:pos="912"/>
              </w:tabs>
              <w:rPr>
                <w:rFonts w:ascii="Palatino Linotype" w:hAnsi="Palatino Linotype" w:cs="Arial"/>
                <w:b/>
                <w:bCs/>
                <w:sz w:val="18"/>
                <w:szCs w:val="18"/>
              </w:rPr>
            </w:pPr>
            <w:r w:rsidRPr="007C32C5">
              <w:rPr>
                <w:rFonts w:ascii="Palatino Linotype" w:hAnsi="Palatino Linotype" w:cs="Arial"/>
                <w:b/>
                <w:bCs/>
                <w:sz w:val="18"/>
                <w:szCs w:val="18"/>
              </w:rPr>
              <w:t xml:space="preserve">    86,89,518</w:t>
            </w:r>
          </w:p>
        </w:tc>
        <w:tc>
          <w:tcPr>
            <w:tcW w:w="1236" w:type="dxa"/>
            <w:tcBorders>
              <w:top w:val="single" w:sz="4" w:space="0" w:color="auto"/>
              <w:left w:val="single" w:sz="4" w:space="0" w:color="auto"/>
              <w:bottom w:val="single" w:sz="4" w:space="0" w:color="auto"/>
              <w:right w:val="single" w:sz="4" w:space="0" w:color="auto"/>
            </w:tcBorders>
          </w:tcPr>
          <w:p w14:paraId="0EA41E3A"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 xml:space="preserve">    8,75,186</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4928502A" w14:textId="77777777" w:rsidR="007C32C5" w:rsidRPr="007C32C5" w:rsidRDefault="007C32C5" w:rsidP="007C32C5">
            <w:pPr>
              <w:tabs>
                <w:tab w:val="center" w:pos="551"/>
              </w:tabs>
              <w:rPr>
                <w:rFonts w:ascii="Palatino Linotype" w:hAnsi="Palatino Linotype" w:cs="Arial"/>
                <w:b/>
                <w:bCs/>
                <w:sz w:val="18"/>
                <w:szCs w:val="18"/>
              </w:rPr>
            </w:pPr>
            <w:r w:rsidRPr="007C32C5">
              <w:rPr>
                <w:rFonts w:ascii="Palatino Linotype" w:hAnsi="Palatino Linotype" w:cs="Arial"/>
                <w:b/>
                <w:bCs/>
                <w:sz w:val="18"/>
                <w:szCs w:val="18"/>
              </w:rPr>
              <w:tab/>
              <w:t xml:space="preserve">     9,39,619</w:t>
            </w:r>
          </w:p>
        </w:tc>
        <w:tc>
          <w:tcPr>
            <w:tcW w:w="2255" w:type="dxa"/>
            <w:tcBorders>
              <w:top w:val="nil"/>
              <w:left w:val="nil"/>
              <w:bottom w:val="single" w:sz="4" w:space="0" w:color="auto"/>
              <w:right w:val="single" w:sz="4" w:space="0" w:color="auto"/>
            </w:tcBorders>
            <w:shd w:val="clear" w:color="auto" w:fill="auto"/>
            <w:noWrap/>
          </w:tcPr>
          <w:p w14:paraId="2A9844D5" w14:textId="77777777" w:rsidR="007C32C5" w:rsidRPr="007C32C5" w:rsidRDefault="007C32C5" w:rsidP="007C32C5">
            <w:pPr>
              <w:jc w:val="center"/>
              <w:rPr>
                <w:rFonts w:ascii="Palatino Linotype" w:hAnsi="Palatino Linotype" w:cs="Arial"/>
                <w:b/>
                <w:bCs/>
                <w:sz w:val="18"/>
                <w:szCs w:val="18"/>
              </w:rPr>
            </w:pPr>
            <w:r w:rsidRPr="007C32C5">
              <w:rPr>
                <w:rFonts w:ascii="Palatino Linotype" w:hAnsi="Palatino Linotype" w:cs="Arial"/>
                <w:b/>
                <w:bCs/>
                <w:sz w:val="18"/>
                <w:szCs w:val="18"/>
              </w:rPr>
              <w:t>7.4</w:t>
            </w:r>
          </w:p>
        </w:tc>
      </w:tr>
      <w:tr w:rsidR="007C32C5" w:rsidRPr="007C32C5" w14:paraId="712B194E" w14:textId="77777777" w:rsidTr="005A4D17">
        <w:trPr>
          <w:trHeight w:val="308"/>
          <w:jc w:val="center"/>
        </w:trPr>
        <w:tc>
          <w:tcPr>
            <w:tcW w:w="3271" w:type="dxa"/>
            <w:tcBorders>
              <w:top w:val="nil"/>
              <w:left w:val="single" w:sz="4" w:space="0" w:color="auto"/>
              <w:bottom w:val="single" w:sz="4" w:space="0" w:color="auto"/>
              <w:right w:val="nil"/>
            </w:tcBorders>
            <w:shd w:val="clear" w:color="auto" w:fill="auto"/>
            <w:noWrap/>
          </w:tcPr>
          <w:p w14:paraId="36F38F8B" w14:textId="77777777" w:rsidR="007C32C5" w:rsidRPr="007C32C5" w:rsidRDefault="007C32C5" w:rsidP="007C32C5">
            <w:pPr>
              <w:rPr>
                <w:rFonts w:ascii="Palatino Linotype" w:hAnsi="Palatino Linotype" w:cs="Arial"/>
                <w:bCs/>
                <w:i/>
                <w:sz w:val="18"/>
                <w:szCs w:val="18"/>
              </w:rPr>
            </w:pPr>
            <w:r w:rsidRPr="007C32C5">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14:paraId="38D697AC"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83,97,775</w:t>
            </w:r>
          </w:p>
        </w:tc>
        <w:tc>
          <w:tcPr>
            <w:tcW w:w="1236" w:type="dxa"/>
            <w:tcBorders>
              <w:top w:val="single" w:sz="4" w:space="0" w:color="auto"/>
              <w:left w:val="single" w:sz="4" w:space="0" w:color="auto"/>
              <w:bottom w:val="single" w:sz="4" w:space="0" w:color="auto"/>
              <w:right w:val="single" w:sz="4" w:space="0" w:color="auto"/>
            </w:tcBorders>
          </w:tcPr>
          <w:p w14:paraId="1B85629A"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8,54,122</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67245B80"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9,10,621</w:t>
            </w:r>
          </w:p>
        </w:tc>
        <w:tc>
          <w:tcPr>
            <w:tcW w:w="2255" w:type="dxa"/>
            <w:tcBorders>
              <w:top w:val="nil"/>
              <w:left w:val="nil"/>
              <w:bottom w:val="single" w:sz="4" w:space="0" w:color="auto"/>
              <w:right w:val="single" w:sz="4" w:space="0" w:color="auto"/>
            </w:tcBorders>
            <w:shd w:val="clear" w:color="auto" w:fill="auto"/>
            <w:noWrap/>
          </w:tcPr>
          <w:p w14:paraId="78D7281F" w14:textId="77777777" w:rsidR="007C32C5" w:rsidRPr="007C32C5" w:rsidRDefault="007C32C5" w:rsidP="007C32C5">
            <w:pPr>
              <w:jc w:val="center"/>
              <w:rPr>
                <w:rFonts w:ascii="Palatino Linotype" w:hAnsi="Palatino Linotype" w:cs="Arial"/>
                <w:bCs/>
                <w:sz w:val="18"/>
                <w:szCs w:val="18"/>
              </w:rPr>
            </w:pPr>
            <w:r w:rsidRPr="007C32C5">
              <w:rPr>
                <w:rFonts w:ascii="Palatino Linotype" w:hAnsi="Palatino Linotype" w:cs="Arial"/>
                <w:bCs/>
                <w:sz w:val="18"/>
                <w:szCs w:val="18"/>
              </w:rPr>
              <w:t>6.6</w:t>
            </w:r>
          </w:p>
        </w:tc>
      </w:tr>
      <w:tr w:rsidR="007C32C5" w:rsidRPr="007C32C5" w14:paraId="5FFA706E" w14:textId="77777777" w:rsidTr="005A4D17">
        <w:trPr>
          <w:trHeight w:val="308"/>
          <w:jc w:val="center"/>
        </w:trPr>
        <w:tc>
          <w:tcPr>
            <w:tcW w:w="3271" w:type="dxa"/>
            <w:tcBorders>
              <w:top w:val="nil"/>
              <w:left w:val="single" w:sz="4" w:space="0" w:color="auto"/>
              <w:bottom w:val="single" w:sz="4" w:space="0" w:color="auto"/>
              <w:right w:val="nil"/>
            </w:tcBorders>
            <w:shd w:val="clear" w:color="auto" w:fill="auto"/>
            <w:noWrap/>
          </w:tcPr>
          <w:p w14:paraId="1D76C2D8" w14:textId="77777777" w:rsidR="007C32C5" w:rsidRPr="007C32C5" w:rsidRDefault="007C32C5" w:rsidP="007C32C5">
            <w:pPr>
              <w:rPr>
                <w:rFonts w:ascii="Palatino Linotype" w:hAnsi="Palatino Linotype" w:cs="Arial"/>
                <w:bCs/>
                <w:i/>
                <w:sz w:val="18"/>
                <w:szCs w:val="18"/>
              </w:rPr>
            </w:pPr>
            <w:r w:rsidRPr="007C32C5">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14:paraId="701D9588"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 xml:space="preserve">  2,91,743 </w:t>
            </w:r>
          </w:p>
        </w:tc>
        <w:tc>
          <w:tcPr>
            <w:tcW w:w="1236" w:type="dxa"/>
            <w:tcBorders>
              <w:top w:val="single" w:sz="4" w:space="0" w:color="auto"/>
              <w:left w:val="single" w:sz="4" w:space="0" w:color="auto"/>
              <w:bottom w:val="single" w:sz="4" w:space="0" w:color="auto"/>
              <w:right w:val="single" w:sz="4" w:space="0" w:color="auto"/>
            </w:tcBorders>
          </w:tcPr>
          <w:p w14:paraId="39FE8408"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21,065</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741C0A09"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28,998</w:t>
            </w:r>
          </w:p>
        </w:tc>
        <w:tc>
          <w:tcPr>
            <w:tcW w:w="2255" w:type="dxa"/>
            <w:tcBorders>
              <w:top w:val="nil"/>
              <w:left w:val="nil"/>
              <w:bottom w:val="single" w:sz="4" w:space="0" w:color="auto"/>
              <w:right w:val="single" w:sz="4" w:space="0" w:color="auto"/>
            </w:tcBorders>
            <w:shd w:val="clear" w:color="auto" w:fill="auto"/>
            <w:noWrap/>
          </w:tcPr>
          <w:p w14:paraId="72B9E105" w14:textId="77777777" w:rsidR="007C32C5" w:rsidRPr="007C32C5" w:rsidRDefault="007C32C5" w:rsidP="007C32C5">
            <w:pPr>
              <w:jc w:val="center"/>
              <w:rPr>
                <w:rFonts w:ascii="Palatino Linotype" w:hAnsi="Palatino Linotype" w:cs="Arial"/>
                <w:bCs/>
                <w:sz w:val="18"/>
                <w:szCs w:val="18"/>
              </w:rPr>
            </w:pPr>
            <w:r w:rsidRPr="007C32C5">
              <w:rPr>
                <w:rFonts w:ascii="Palatino Linotype" w:hAnsi="Palatino Linotype" w:cs="Arial"/>
                <w:bCs/>
                <w:sz w:val="18"/>
                <w:szCs w:val="18"/>
              </w:rPr>
              <w:t>37.7</w:t>
            </w:r>
          </w:p>
        </w:tc>
      </w:tr>
      <w:tr w:rsidR="007C32C5" w:rsidRPr="007C32C5" w14:paraId="033E76B2" w14:textId="77777777" w:rsidTr="005A4D17">
        <w:trPr>
          <w:trHeight w:val="308"/>
          <w:jc w:val="center"/>
        </w:trPr>
        <w:tc>
          <w:tcPr>
            <w:tcW w:w="3271" w:type="dxa"/>
            <w:tcBorders>
              <w:top w:val="nil"/>
              <w:left w:val="single" w:sz="4" w:space="0" w:color="auto"/>
              <w:bottom w:val="single" w:sz="4" w:space="0" w:color="auto"/>
              <w:right w:val="nil"/>
            </w:tcBorders>
            <w:shd w:val="clear" w:color="auto" w:fill="auto"/>
            <w:noWrap/>
          </w:tcPr>
          <w:p w14:paraId="25B8104B"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
                <w:bCs/>
                <w:sz w:val="18"/>
                <w:szCs w:val="18"/>
              </w:rPr>
              <w:t>NCDEX, of which</w:t>
            </w:r>
          </w:p>
        </w:tc>
        <w:tc>
          <w:tcPr>
            <w:tcW w:w="1128" w:type="dxa"/>
            <w:tcBorders>
              <w:top w:val="nil"/>
              <w:left w:val="single" w:sz="4" w:space="0" w:color="auto"/>
              <w:bottom w:val="single" w:sz="4" w:space="0" w:color="auto"/>
              <w:right w:val="single" w:sz="4" w:space="0" w:color="auto"/>
            </w:tcBorders>
            <w:shd w:val="clear" w:color="auto" w:fill="auto"/>
            <w:noWrap/>
          </w:tcPr>
          <w:p w14:paraId="2155C90B"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4,42,009</w:t>
            </w:r>
          </w:p>
        </w:tc>
        <w:tc>
          <w:tcPr>
            <w:tcW w:w="1236" w:type="dxa"/>
            <w:tcBorders>
              <w:top w:val="single" w:sz="4" w:space="0" w:color="auto"/>
              <w:left w:val="single" w:sz="4" w:space="0" w:color="auto"/>
              <w:bottom w:val="single" w:sz="4" w:space="0" w:color="auto"/>
              <w:right w:val="single" w:sz="4" w:space="0" w:color="auto"/>
            </w:tcBorders>
          </w:tcPr>
          <w:p w14:paraId="730E5C85"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18,054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09005CFF"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23,930</w:t>
            </w:r>
          </w:p>
        </w:tc>
        <w:tc>
          <w:tcPr>
            <w:tcW w:w="2255" w:type="dxa"/>
            <w:tcBorders>
              <w:top w:val="nil"/>
              <w:left w:val="nil"/>
              <w:bottom w:val="single" w:sz="4" w:space="0" w:color="auto"/>
              <w:right w:val="single" w:sz="4" w:space="0" w:color="auto"/>
            </w:tcBorders>
            <w:shd w:val="clear" w:color="auto" w:fill="auto"/>
            <w:noWrap/>
          </w:tcPr>
          <w:p w14:paraId="6DFC4DB8" w14:textId="77777777" w:rsidR="007C32C5" w:rsidRPr="007C32C5" w:rsidRDefault="007C32C5" w:rsidP="007C32C5">
            <w:pPr>
              <w:jc w:val="center"/>
              <w:rPr>
                <w:rFonts w:ascii="Palatino Linotype" w:hAnsi="Palatino Linotype" w:cs="Arial"/>
                <w:b/>
                <w:bCs/>
                <w:sz w:val="18"/>
                <w:szCs w:val="18"/>
              </w:rPr>
            </w:pPr>
            <w:r w:rsidRPr="007C32C5">
              <w:rPr>
                <w:rFonts w:ascii="Palatino Linotype" w:hAnsi="Palatino Linotype" w:cs="Arial"/>
                <w:b/>
                <w:bCs/>
                <w:sz w:val="18"/>
                <w:szCs w:val="18"/>
              </w:rPr>
              <w:t>32.5</w:t>
            </w:r>
          </w:p>
        </w:tc>
      </w:tr>
      <w:tr w:rsidR="007C32C5" w:rsidRPr="007C32C5" w14:paraId="202E1D55" w14:textId="77777777" w:rsidTr="005A4D17">
        <w:trPr>
          <w:trHeight w:val="310"/>
          <w:jc w:val="center"/>
        </w:trPr>
        <w:tc>
          <w:tcPr>
            <w:tcW w:w="3271" w:type="dxa"/>
            <w:tcBorders>
              <w:top w:val="nil"/>
              <w:left w:val="single" w:sz="4" w:space="0" w:color="auto"/>
              <w:bottom w:val="single" w:sz="4" w:space="0" w:color="auto"/>
              <w:right w:val="nil"/>
            </w:tcBorders>
            <w:shd w:val="clear" w:color="auto" w:fill="auto"/>
            <w:noWrap/>
          </w:tcPr>
          <w:p w14:paraId="0E5C3F0B" w14:textId="77777777" w:rsidR="007C32C5" w:rsidRPr="007C32C5" w:rsidRDefault="007C32C5" w:rsidP="007C32C5">
            <w:pPr>
              <w:rPr>
                <w:rFonts w:ascii="Palatino Linotype" w:hAnsi="Palatino Linotype" w:cs="Arial"/>
                <w:bCs/>
                <w:i/>
                <w:sz w:val="18"/>
                <w:szCs w:val="18"/>
              </w:rPr>
            </w:pPr>
            <w:r w:rsidRPr="007C32C5">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14:paraId="03EB3B34"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 xml:space="preserve"> 4,41,967</w:t>
            </w:r>
          </w:p>
        </w:tc>
        <w:tc>
          <w:tcPr>
            <w:tcW w:w="1236" w:type="dxa"/>
            <w:tcBorders>
              <w:top w:val="single" w:sz="4" w:space="0" w:color="auto"/>
              <w:left w:val="single" w:sz="4" w:space="0" w:color="auto"/>
              <w:bottom w:val="single" w:sz="4" w:space="0" w:color="auto"/>
              <w:right w:val="single" w:sz="4" w:space="0" w:color="auto"/>
            </w:tcBorders>
          </w:tcPr>
          <w:p w14:paraId="724AF8D4"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18,054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4138CD09"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23,930</w:t>
            </w:r>
          </w:p>
        </w:tc>
        <w:tc>
          <w:tcPr>
            <w:tcW w:w="2255" w:type="dxa"/>
            <w:tcBorders>
              <w:top w:val="nil"/>
              <w:left w:val="nil"/>
              <w:bottom w:val="single" w:sz="4" w:space="0" w:color="auto"/>
              <w:right w:val="single" w:sz="4" w:space="0" w:color="auto"/>
            </w:tcBorders>
            <w:shd w:val="clear" w:color="auto" w:fill="auto"/>
            <w:noWrap/>
          </w:tcPr>
          <w:p w14:paraId="3B1E9B07" w14:textId="77777777" w:rsidR="007C32C5" w:rsidRPr="007C32C5" w:rsidRDefault="007C32C5" w:rsidP="007C32C5">
            <w:pPr>
              <w:jc w:val="center"/>
              <w:rPr>
                <w:rFonts w:ascii="Palatino Linotype" w:hAnsi="Palatino Linotype" w:cs="Arial"/>
                <w:bCs/>
                <w:sz w:val="18"/>
                <w:szCs w:val="18"/>
              </w:rPr>
            </w:pPr>
            <w:r w:rsidRPr="007C32C5">
              <w:rPr>
                <w:rFonts w:ascii="Palatino Linotype" w:hAnsi="Palatino Linotype" w:cs="Arial"/>
                <w:bCs/>
                <w:sz w:val="18"/>
                <w:szCs w:val="18"/>
              </w:rPr>
              <w:t>32.5</w:t>
            </w:r>
          </w:p>
        </w:tc>
      </w:tr>
      <w:tr w:rsidR="007C32C5" w:rsidRPr="007C32C5" w14:paraId="5A9AED3C" w14:textId="77777777" w:rsidTr="005A4D17">
        <w:trPr>
          <w:trHeight w:val="308"/>
          <w:jc w:val="center"/>
        </w:trPr>
        <w:tc>
          <w:tcPr>
            <w:tcW w:w="3271" w:type="dxa"/>
            <w:tcBorders>
              <w:top w:val="nil"/>
              <w:left w:val="single" w:sz="4" w:space="0" w:color="auto"/>
              <w:bottom w:val="single" w:sz="4" w:space="0" w:color="auto"/>
              <w:right w:val="nil"/>
            </w:tcBorders>
            <w:shd w:val="clear" w:color="auto" w:fill="auto"/>
            <w:noWrap/>
          </w:tcPr>
          <w:p w14:paraId="24280BCA" w14:textId="77777777" w:rsidR="007C32C5" w:rsidRPr="007C32C5" w:rsidRDefault="007C32C5" w:rsidP="007C32C5">
            <w:pPr>
              <w:rPr>
                <w:rFonts w:ascii="Palatino Linotype" w:hAnsi="Palatino Linotype" w:cs="Arial"/>
                <w:bCs/>
                <w:i/>
                <w:sz w:val="18"/>
                <w:szCs w:val="18"/>
              </w:rPr>
            </w:pPr>
            <w:r w:rsidRPr="007C32C5">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14:paraId="2F5909EB"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 xml:space="preserve">         42.2 </w:t>
            </w:r>
          </w:p>
        </w:tc>
        <w:tc>
          <w:tcPr>
            <w:tcW w:w="1236" w:type="dxa"/>
            <w:tcBorders>
              <w:top w:val="single" w:sz="4" w:space="0" w:color="auto"/>
              <w:left w:val="single" w:sz="4" w:space="0" w:color="auto"/>
              <w:bottom w:val="single" w:sz="4" w:space="0" w:color="auto"/>
              <w:right w:val="single" w:sz="4" w:space="0" w:color="auto"/>
            </w:tcBorders>
          </w:tcPr>
          <w:p w14:paraId="05DE456E" w14:textId="77777777" w:rsidR="007C32C5" w:rsidRPr="007C32C5" w:rsidRDefault="007C32C5" w:rsidP="007C32C5">
            <w:pPr>
              <w:jc w:val="right"/>
              <w:rPr>
                <w:rFonts w:ascii="Palatino Linotype" w:hAnsi="Palatino Linotype" w:cs="Arial"/>
                <w:bCs/>
                <w:sz w:val="18"/>
                <w:szCs w:val="18"/>
              </w:rPr>
            </w:pPr>
            <w:r w:rsidRPr="007C32C5">
              <w:rPr>
                <w:rFonts w:ascii="Palatino Linotype" w:hAnsi="Palatino Linotype" w:cs="Arial"/>
                <w:bCs/>
                <w:sz w:val="18"/>
                <w:szCs w:val="18"/>
              </w:rPr>
              <w:t xml:space="preserve">         0.1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3B1A4442" w14:textId="77777777" w:rsidR="007C32C5" w:rsidRPr="007C32C5" w:rsidRDefault="007C32C5" w:rsidP="007C32C5">
            <w:pPr>
              <w:tabs>
                <w:tab w:val="left" w:pos="252"/>
                <w:tab w:val="center" w:pos="551"/>
              </w:tabs>
              <w:rPr>
                <w:rFonts w:ascii="Palatino Linotype" w:hAnsi="Palatino Linotype" w:cs="Arial"/>
                <w:bCs/>
                <w:sz w:val="18"/>
                <w:szCs w:val="18"/>
              </w:rPr>
            </w:pPr>
            <w:r w:rsidRPr="007C32C5">
              <w:rPr>
                <w:rFonts w:ascii="Palatino Linotype" w:hAnsi="Palatino Linotype" w:cs="Arial"/>
                <w:bCs/>
                <w:sz w:val="18"/>
                <w:szCs w:val="18"/>
              </w:rPr>
              <w:tab/>
              <w:t xml:space="preserve">       </w:t>
            </w:r>
            <w:r w:rsidRPr="007C32C5">
              <w:rPr>
                <w:rFonts w:ascii="Palatino Linotype" w:hAnsi="Palatino Linotype" w:cs="Arial"/>
                <w:bCs/>
                <w:sz w:val="18"/>
                <w:szCs w:val="18"/>
              </w:rPr>
              <w:tab/>
              <w:t>0.0</w:t>
            </w:r>
          </w:p>
        </w:tc>
        <w:tc>
          <w:tcPr>
            <w:tcW w:w="2255" w:type="dxa"/>
            <w:tcBorders>
              <w:top w:val="nil"/>
              <w:left w:val="nil"/>
              <w:bottom w:val="single" w:sz="4" w:space="0" w:color="auto"/>
              <w:right w:val="single" w:sz="4" w:space="0" w:color="auto"/>
            </w:tcBorders>
            <w:shd w:val="clear" w:color="auto" w:fill="auto"/>
            <w:noWrap/>
          </w:tcPr>
          <w:p w14:paraId="79B973C3" w14:textId="77777777" w:rsidR="007C32C5" w:rsidRPr="007C32C5" w:rsidRDefault="007C32C5" w:rsidP="007C32C5">
            <w:pPr>
              <w:jc w:val="center"/>
              <w:rPr>
                <w:rFonts w:ascii="Palatino Linotype" w:hAnsi="Palatino Linotype" w:cs="Arial"/>
                <w:bCs/>
                <w:sz w:val="18"/>
                <w:szCs w:val="18"/>
              </w:rPr>
            </w:pPr>
            <w:r w:rsidRPr="007C32C5">
              <w:rPr>
                <w:rFonts w:ascii="Palatino Linotype" w:hAnsi="Palatino Linotype" w:cs="Arial"/>
                <w:bCs/>
                <w:sz w:val="18"/>
                <w:szCs w:val="18"/>
              </w:rPr>
              <w:t>-</w:t>
            </w:r>
          </w:p>
        </w:tc>
      </w:tr>
      <w:tr w:rsidR="007C32C5" w:rsidRPr="007C32C5" w14:paraId="115D928E" w14:textId="77777777" w:rsidTr="005A4D17">
        <w:trPr>
          <w:trHeight w:val="224"/>
          <w:jc w:val="center"/>
        </w:trPr>
        <w:tc>
          <w:tcPr>
            <w:tcW w:w="3271" w:type="dxa"/>
            <w:tcBorders>
              <w:top w:val="nil"/>
              <w:left w:val="single" w:sz="4" w:space="0" w:color="auto"/>
              <w:bottom w:val="single" w:sz="4" w:space="0" w:color="auto"/>
              <w:right w:val="single" w:sz="4" w:space="0" w:color="auto"/>
            </w:tcBorders>
            <w:shd w:val="clear" w:color="auto" w:fill="auto"/>
            <w:hideMark/>
          </w:tcPr>
          <w:p w14:paraId="048BF822"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
                <w:bCs/>
                <w:sz w:val="18"/>
                <w:szCs w:val="18"/>
              </w:rPr>
              <w:t>ICEX (Futures)</w:t>
            </w:r>
          </w:p>
        </w:tc>
        <w:tc>
          <w:tcPr>
            <w:tcW w:w="1128" w:type="dxa"/>
            <w:tcBorders>
              <w:top w:val="nil"/>
              <w:left w:val="nil"/>
              <w:bottom w:val="single" w:sz="4" w:space="0" w:color="auto"/>
              <w:right w:val="single" w:sz="4" w:space="0" w:color="auto"/>
            </w:tcBorders>
            <w:shd w:val="clear" w:color="auto" w:fill="auto"/>
            <w:noWrap/>
            <w:hideMark/>
          </w:tcPr>
          <w:p w14:paraId="08BAE1F5"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 xml:space="preserve">40,511 </w:t>
            </w:r>
          </w:p>
        </w:tc>
        <w:tc>
          <w:tcPr>
            <w:tcW w:w="1236" w:type="dxa"/>
            <w:tcBorders>
              <w:top w:val="single" w:sz="4" w:space="0" w:color="auto"/>
              <w:left w:val="single" w:sz="4" w:space="0" w:color="auto"/>
              <w:bottom w:val="single" w:sz="4" w:space="0" w:color="auto"/>
              <w:right w:val="single" w:sz="4" w:space="0" w:color="auto"/>
            </w:tcBorders>
          </w:tcPr>
          <w:p w14:paraId="047B30ED"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27</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05109B10"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2.3</w:t>
            </w:r>
          </w:p>
        </w:tc>
        <w:tc>
          <w:tcPr>
            <w:tcW w:w="2255" w:type="dxa"/>
            <w:tcBorders>
              <w:top w:val="nil"/>
              <w:left w:val="nil"/>
              <w:bottom w:val="single" w:sz="4" w:space="0" w:color="auto"/>
              <w:right w:val="single" w:sz="4" w:space="0" w:color="auto"/>
            </w:tcBorders>
            <w:shd w:val="clear" w:color="auto" w:fill="auto"/>
            <w:noWrap/>
          </w:tcPr>
          <w:p w14:paraId="691979AB" w14:textId="77777777" w:rsidR="007C32C5" w:rsidRPr="007C32C5" w:rsidRDefault="007C32C5" w:rsidP="007C32C5">
            <w:pPr>
              <w:jc w:val="center"/>
              <w:rPr>
                <w:rFonts w:ascii="Palatino Linotype" w:hAnsi="Palatino Linotype" w:cs="Arial"/>
                <w:b/>
                <w:bCs/>
                <w:sz w:val="18"/>
                <w:szCs w:val="18"/>
              </w:rPr>
            </w:pPr>
            <w:r w:rsidRPr="007C32C5">
              <w:rPr>
                <w:rFonts w:ascii="Palatino Linotype" w:hAnsi="Palatino Linotype" w:cs="Arial"/>
                <w:b/>
                <w:bCs/>
                <w:sz w:val="18"/>
                <w:szCs w:val="18"/>
              </w:rPr>
              <w:t>-91.5</w:t>
            </w:r>
          </w:p>
        </w:tc>
      </w:tr>
      <w:tr w:rsidR="007C32C5" w:rsidRPr="007C32C5" w14:paraId="556947A3" w14:textId="77777777" w:rsidTr="005A4D17">
        <w:trPr>
          <w:trHeight w:val="224"/>
          <w:jc w:val="center"/>
        </w:trPr>
        <w:tc>
          <w:tcPr>
            <w:tcW w:w="3271" w:type="dxa"/>
            <w:tcBorders>
              <w:top w:val="nil"/>
              <w:left w:val="single" w:sz="4" w:space="0" w:color="auto"/>
              <w:bottom w:val="single" w:sz="4" w:space="0" w:color="auto"/>
              <w:right w:val="single" w:sz="4" w:space="0" w:color="auto"/>
            </w:tcBorders>
            <w:shd w:val="clear" w:color="auto" w:fill="auto"/>
            <w:hideMark/>
          </w:tcPr>
          <w:p w14:paraId="4DCC079C"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
                <w:bCs/>
                <w:sz w:val="18"/>
                <w:szCs w:val="18"/>
              </w:rPr>
              <w:t>BSE, of which</w:t>
            </w:r>
          </w:p>
        </w:tc>
        <w:tc>
          <w:tcPr>
            <w:tcW w:w="1128" w:type="dxa"/>
            <w:tcBorders>
              <w:top w:val="nil"/>
              <w:left w:val="nil"/>
              <w:bottom w:val="single" w:sz="4" w:space="0" w:color="auto"/>
              <w:right w:val="single" w:sz="4" w:space="0" w:color="auto"/>
            </w:tcBorders>
            <w:shd w:val="clear" w:color="auto" w:fill="auto"/>
            <w:noWrap/>
            <w:hideMark/>
          </w:tcPr>
          <w:p w14:paraId="274CC417"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 xml:space="preserve">46,439     </w:t>
            </w:r>
          </w:p>
        </w:tc>
        <w:tc>
          <w:tcPr>
            <w:tcW w:w="1236" w:type="dxa"/>
            <w:tcBorders>
              <w:top w:val="single" w:sz="4" w:space="0" w:color="auto"/>
              <w:left w:val="single" w:sz="4" w:space="0" w:color="auto"/>
              <w:bottom w:val="single" w:sz="4" w:space="0" w:color="auto"/>
              <w:right w:val="single" w:sz="4" w:space="0" w:color="auto"/>
            </w:tcBorders>
          </w:tcPr>
          <w:p w14:paraId="470B66B8"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72,567</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1B707BCF"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71,825</w:t>
            </w:r>
          </w:p>
        </w:tc>
        <w:tc>
          <w:tcPr>
            <w:tcW w:w="2255" w:type="dxa"/>
            <w:tcBorders>
              <w:top w:val="nil"/>
              <w:left w:val="nil"/>
              <w:bottom w:val="single" w:sz="4" w:space="0" w:color="auto"/>
              <w:right w:val="single" w:sz="4" w:space="0" w:color="auto"/>
            </w:tcBorders>
            <w:shd w:val="clear" w:color="auto" w:fill="auto"/>
            <w:noWrap/>
          </w:tcPr>
          <w:p w14:paraId="454A7B4E" w14:textId="77777777" w:rsidR="007C32C5" w:rsidRPr="007C32C5" w:rsidRDefault="007C32C5" w:rsidP="007C32C5">
            <w:pPr>
              <w:jc w:val="center"/>
              <w:rPr>
                <w:rFonts w:ascii="Palatino Linotype" w:hAnsi="Palatino Linotype" w:cs="Arial"/>
                <w:b/>
                <w:bCs/>
                <w:sz w:val="18"/>
                <w:szCs w:val="18"/>
              </w:rPr>
            </w:pPr>
            <w:r w:rsidRPr="007C32C5">
              <w:rPr>
                <w:rFonts w:ascii="Palatino Linotype" w:hAnsi="Palatino Linotype" w:cs="Arial"/>
                <w:b/>
                <w:bCs/>
                <w:sz w:val="18"/>
                <w:szCs w:val="18"/>
              </w:rPr>
              <w:t>-1.0</w:t>
            </w:r>
          </w:p>
        </w:tc>
      </w:tr>
      <w:tr w:rsidR="007C32C5" w:rsidRPr="007C32C5" w14:paraId="5C940B73" w14:textId="77777777" w:rsidTr="005A4D17">
        <w:trPr>
          <w:trHeight w:val="224"/>
          <w:jc w:val="center"/>
        </w:trPr>
        <w:tc>
          <w:tcPr>
            <w:tcW w:w="3271" w:type="dxa"/>
            <w:tcBorders>
              <w:top w:val="nil"/>
              <w:left w:val="single" w:sz="4" w:space="0" w:color="auto"/>
              <w:bottom w:val="single" w:sz="4" w:space="0" w:color="auto"/>
              <w:right w:val="single" w:sz="4" w:space="0" w:color="auto"/>
            </w:tcBorders>
            <w:shd w:val="clear" w:color="auto" w:fill="auto"/>
          </w:tcPr>
          <w:p w14:paraId="42EE0C0F"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Cs/>
                <w:i/>
                <w:sz w:val="18"/>
                <w:szCs w:val="18"/>
              </w:rPr>
              <w:t xml:space="preserve">             Futures</w:t>
            </w:r>
          </w:p>
        </w:tc>
        <w:tc>
          <w:tcPr>
            <w:tcW w:w="1128" w:type="dxa"/>
            <w:tcBorders>
              <w:top w:val="nil"/>
              <w:left w:val="nil"/>
              <w:bottom w:val="single" w:sz="4" w:space="0" w:color="auto"/>
              <w:right w:val="single" w:sz="4" w:space="0" w:color="auto"/>
            </w:tcBorders>
            <w:shd w:val="clear" w:color="auto" w:fill="auto"/>
            <w:noWrap/>
          </w:tcPr>
          <w:p w14:paraId="41517F1B" w14:textId="77777777" w:rsidR="007C32C5" w:rsidRPr="007C32C5" w:rsidRDefault="007C32C5" w:rsidP="007C32C5">
            <w:pPr>
              <w:jc w:val="right"/>
              <w:rPr>
                <w:rFonts w:ascii="Palatino Linotype" w:hAnsi="Palatino Linotype" w:cs="Arial"/>
                <w:sz w:val="18"/>
                <w:szCs w:val="18"/>
              </w:rPr>
            </w:pPr>
            <w:r w:rsidRPr="007C32C5">
              <w:rPr>
                <w:rFonts w:ascii="Palatino Linotype" w:hAnsi="Palatino Linotype" w:cs="Arial"/>
                <w:sz w:val="18"/>
                <w:szCs w:val="18"/>
              </w:rPr>
              <w:t xml:space="preserve">46,439     </w:t>
            </w:r>
          </w:p>
        </w:tc>
        <w:tc>
          <w:tcPr>
            <w:tcW w:w="1236" w:type="dxa"/>
            <w:tcBorders>
              <w:top w:val="single" w:sz="4" w:space="0" w:color="auto"/>
              <w:left w:val="single" w:sz="4" w:space="0" w:color="auto"/>
              <w:bottom w:val="single" w:sz="4" w:space="0" w:color="auto"/>
              <w:right w:val="single" w:sz="4" w:space="0" w:color="auto"/>
            </w:tcBorders>
          </w:tcPr>
          <w:p w14:paraId="6E85F89C" w14:textId="77777777" w:rsidR="007C32C5" w:rsidRPr="007C32C5" w:rsidRDefault="007C32C5" w:rsidP="007C32C5">
            <w:pPr>
              <w:jc w:val="right"/>
              <w:rPr>
                <w:rFonts w:ascii="Palatino Linotype" w:hAnsi="Palatino Linotype" w:cs="Arial"/>
                <w:sz w:val="18"/>
                <w:szCs w:val="18"/>
              </w:rPr>
            </w:pPr>
            <w:r w:rsidRPr="007C32C5">
              <w:rPr>
                <w:rFonts w:ascii="Palatino Linotype" w:hAnsi="Palatino Linotype" w:cs="Arial"/>
                <w:sz w:val="18"/>
                <w:szCs w:val="18"/>
              </w:rPr>
              <w:t>324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249F75A7" w14:textId="77777777" w:rsidR="007C32C5" w:rsidRPr="007C32C5" w:rsidRDefault="007C32C5" w:rsidP="007C32C5">
            <w:pPr>
              <w:jc w:val="right"/>
              <w:rPr>
                <w:rFonts w:ascii="Palatino Linotype" w:hAnsi="Palatino Linotype" w:cs="Arial"/>
                <w:sz w:val="18"/>
                <w:szCs w:val="18"/>
              </w:rPr>
            </w:pPr>
            <w:r w:rsidRPr="007C32C5">
              <w:rPr>
                <w:rFonts w:ascii="Palatino Linotype" w:hAnsi="Palatino Linotype" w:cs="Arial"/>
                <w:sz w:val="18"/>
                <w:szCs w:val="18"/>
              </w:rPr>
              <w:t>154</w:t>
            </w:r>
          </w:p>
        </w:tc>
        <w:tc>
          <w:tcPr>
            <w:tcW w:w="2255" w:type="dxa"/>
            <w:tcBorders>
              <w:top w:val="nil"/>
              <w:left w:val="nil"/>
              <w:bottom w:val="single" w:sz="4" w:space="0" w:color="auto"/>
              <w:right w:val="single" w:sz="4" w:space="0" w:color="auto"/>
            </w:tcBorders>
            <w:shd w:val="clear" w:color="auto" w:fill="auto"/>
            <w:noWrap/>
          </w:tcPr>
          <w:p w14:paraId="1471609C" w14:textId="77777777" w:rsidR="007C32C5" w:rsidRPr="007C32C5" w:rsidRDefault="007C32C5" w:rsidP="007C32C5">
            <w:pPr>
              <w:jc w:val="center"/>
              <w:rPr>
                <w:rFonts w:ascii="Palatino Linotype" w:hAnsi="Palatino Linotype" w:cs="Arial"/>
                <w:sz w:val="18"/>
                <w:szCs w:val="18"/>
              </w:rPr>
            </w:pPr>
            <w:r w:rsidRPr="007C32C5">
              <w:rPr>
                <w:rFonts w:ascii="Palatino Linotype" w:hAnsi="Palatino Linotype" w:cs="Arial"/>
                <w:sz w:val="18"/>
                <w:szCs w:val="18"/>
              </w:rPr>
              <w:t>-52.5</w:t>
            </w:r>
          </w:p>
        </w:tc>
      </w:tr>
      <w:tr w:rsidR="007C32C5" w:rsidRPr="007C32C5" w14:paraId="12983012" w14:textId="77777777" w:rsidTr="005A4D17">
        <w:trPr>
          <w:trHeight w:val="224"/>
          <w:jc w:val="center"/>
        </w:trPr>
        <w:tc>
          <w:tcPr>
            <w:tcW w:w="3271" w:type="dxa"/>
            <w:tcBorders>
              <w:top w:val="nil"/>
              <w:left w:val="single" w:sz="4" w:space="0" w:color="auto"/>
              <w:bottom w:val="single" w:sz="4" w:space="0" w:color="auto"/>
              <w:right w:val="single" w:sz="4" w:space="0" w:color="auto"/>
            </w:tcBorders>
            <w:shd w:val="clear" w:color="auto" w:fill="auto"/>
          </w:tcPr>
          <w:p w14:paraId="36881F42"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Cs/>
                <w:i/>
                <w:sz w:val="18"/>
                <w:szCs w:val="18"/>
              </w:rPr>
              <w:t xml:space="preserve">            Options</w:t>
            </w:r>
          </w:p>
        </w:tc>
        <w:tc>
          <w:tcPr>
            <w:tcW w:w="1128" w:type="dxa"/>
            <w:tcBorders>
              <w:top w:val="nil"/>
              <w:left w:val="nil"/>
              <w:bottom w:val="single" w:sz="4" w:space="0" w:color="auto"/>
              <w:right w:val="single" w:sz="4" w:space="0" w:color="auto"/>
            </w:tcBorders>
            <w:shd w:val="clear" w:color="auto" w:fill="auto"/>
            <w:noWrap/>
          </w:tcPr>
          <w:p w14:paraId="1F23F0B5"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w:t>
            </w:r>
          </w:p>
        </w:tc>
        <w:tc>
          <w:tcPr>
            <w:tcW w:w="1236" w:type="dxa"/>
            <w:tcBorders>
              <w:top w:val="single" w:sz="4" w:space="0" w:color="auto"/>
              <w:left w:val="single" w:sz="4" w:space="0" w:color="auto"/>
              <w:bottom w:val="single" w:sz="4" w:space="0" w:color="auto"/>
              <w:right w:val="single" w:sz="4" w:space="0" w:color="auto"/>
            </w:tcBorders>
          </w:tcPr>
          <w:p w14:paraId="40D61F67" w14:textId="77777777" w:rsidR="007C32C5" w:rsidRPr="007C32C5" w:rsidRDefault="007C32C5" w:rsidP="007C32C5">
            <w:pPr>
              <w:jc w:val="right"/>
              <w:rPr>
                <w:rFonts w:ascii="Palatino Linotype" w:hAnsi="Palatino Linotype" w:cs="Arial"/>
                <w:sz w:val="18"/>
                <w:szCs w:val="18"/>
              </w:rPr>
            </w:pPr>
            <w:r w:rsidRPr="007C32C5">
              <w:rPr>
                <w:rFonts w:ascii="Palatino Linotype" w:hAnsi="Palatino Linotype" w:cs="Arial"/>
                <w:sz w:val="18"/>
                <w:szCs w:val="18"/>
              </w:rPr>
              <w:t>72,243</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717F8F7A" w14:textId="77777777" w:rsidR="007C32C5" w:rsidRPr="007C32C5" w:rsidRDefault="007C32C5" w:rsidP="007C32C5">
            <w:pPr>
              <w:jc w:val="right"/>
              <w:rPr>
                <w:rFonts w:ascii="Palatino Linotype" w:hAnsi="Palatino Linotype" w:cs="Arial"/>
                <w:sz w:val="18"/>
                <w:szCs w:val="18"/>
              </w:rPr>
            </w:pPr>
            <w:r w:rsidRPr="007C32C5">
              <w:rPr>
                <w:rFonts w:ascii="Palatino Linotype" w:hAnsi="Palatino Linotype" w:cs="Arial"/>
                <w:sz w:val="18"/>
                <w:szCs w:val="18"/>
              </w:rPr>
              <w:t>71,671</w:t>
            </w:r>
          </w:p>
        </w:tc>
        <w:tc>
          <w:tcPr>
            <w:tcW w:w="2255" w:type="dxa"/>
            <w:tcBorders>
              <w:top w:val="nil"/>
              <w:left w:val="nil"/>
              <w:bottom w:val="single" w:sz="4" w:space="0" w:color="auto"/>
              <w:right w:val="single" w:sz="4" w:space="0" w:color="auto"/>
            </w:tcBorders>
            <w:shd w:val="clear" w:color="auto" w:fill="auto"/>
            <w:noWrap/>
          </w:tcPr>
          <w:p w14:paraId="45B02C16" w14:textId="77777777" w:rsidR="007C32C5" w:rsidRPr="007C32C5" w:rsidRDefault="007C32C5" w:rsidP="007C32C5">
            <w:pPr>
              <w:jc w:val="center"/>
              <w:rPr>
                <w:rFonts w:ascii="Palatino Linotype" w:hAnsi="Palatino Linotype" w:cs="Arial"/>
                <w:sz w:val="18"/>
                <w:szCs w:val="18"/>
              </w:rPr>
            </w:pPr>
            <w:r w:rsidRPr="007C32C5">
              <w:rPr>
                <w:rFonts w:ascii="Palatino Linotype" w:hAnsi="Palatino Linotype" w:cs="Arial"/>
                <w:sz w:val="18"/>
                <w:szCs w:val="18"/>
              </w:rPr>
              <w:t>-0.8</w:t>
            </w:r>
          </w:p>
        </w:tc>
      </w:tr>
      <w:tr w:rsidR="007C32C5" w:rsidRPr="007C32C5" w14:paraId="32CDBD7D" w14:textId="77777777" w:rsidTr="005A4D17">
        <w:trPr>
          <w:trHeight w:val="224"/>
          <w:jc w:val="center"/>
        </w:trPr>
        <w:tc>
          <w:tcPr>
            <w:tcW w:w="3271" w:type="dxa"/>
            <w:tcBorders>
              <w:top w:val="single" w:sz="4" w:space="0" w:color="auto"/>
              <w:left w:val="single" w:sz="4" w:space="0" w:color="auto"/>
              <w:bottom w:val="single" w:sz="4" w:space="0" w:color="auto"/>
              <w:right w:val="single" w:sz="4" w:space="0" w:color="auto"/>
            </w:tcBorders>
            <w:shd w:val="clear" w:color="auto" w:fill="auto"/>
            <w:hideMark/>
          </w:tcPr>
          <w:p w14:paraId="7378E17A"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
                <w:bCs/>
                <w:sz w:val="18"/>
                <w:szCs w:val="18"/>
              </w:rPr>
              <w:t>NSE, of which</w:t>
            </w:r>
          </w:p>
        </w:tc>
        <w:tc>
          <w:tcPr>
            <w:tcW w:w="1128" w:type="dxa"/>
            <w:tcBorders>
              <w:top w:val="single" w:sz="4" w:space="0" w:color="auto"/>
              <w:left w:val="nil"/>
              <w:bottom w:val="single" w:sz="4" w:space="0" w:color="auto"/>
              <w:right w:val="single" w:sz="4" w:space="0" w:color="auto"/>
            </w:tcBorders>
            <w:shd w:val="clear" w:color="auto" w:fill="auto"/>
            <w:noWrap/>
            <w:hideMark/>
          </w:tcPr>
          <w:p w14:paraId="7F6EF556"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 xml:space="preserve">       6,362 </w:t>
            </w:r>
          </w:p>
        </w:tc>
        <w:tc>
          <w:tcPr>
            <w:tcW w:w="1236" w:type="dxa"/>
            <w:tcBorders>
              <w:top w:val="single" w:sz="4" w:space="0" w:color="auto"/>
              <w:left w:val="single" w:sz="4" w:space="0" w:color="auto"/>
              <w:bottom w:val="single" w:sz="4" w:space="0" w:color="auto"/>
              <w:right w:val="single" w:sz="4" w:space="0" w:color="auto"/>
            </w:tcBorders>
          </w:tcPr>
          <w:p w14:paraId="5EC6D35C"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6,281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0CA758A7"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2,474</w:t>
            </w:r>
          </w:p>
        </w:tc>
        <w:tc>
          <w:tcPr>
            <w:tcW w:w="2255" w:type="dxa"/>
            <w:tcBorders>
              <w:top w:val="single" w:sz="4" w:space="0" w:color="auto"/>
              <w:left w:val="nil"/>
              <w:bottom w:val="single" w:sz="4" w:space="0" w:color="auto"/>
              <w:right w:val="single" w:sz="4" w:space="0" w:color="auto"/>
            </w:tcBorders>
            <w:shd w:val="clear" w:color="auto" w:fill="auto"/>
            <w:noWrap/>
          </w:tcPr>
          <w:p w14:paraId="0B00A52F" w14:textId="77777777" w:rsidR="007C32C5" w:rsidRPr="007C32C5" w:rsidRDefault="007C32C5" w:rsidP="007C32C5">
            <w:pPr>
              <w:jc w:val="center"/>
              <w:rPr>
                <w:rFonts w:ascii="Palatino Linotype" w:hAnsi="Palatino Linotype" w:cs="Arial"/>
                <w:b/>
                <w:bCs/>
                <w:sz w:val="18"/>
                <w:szCs w:val="18"/>
              </w:rPr>
            </w:pPr>
            <w:r w:rsidRPr="007C32C5">
              <w:rPr>
                <w:rFonts w:ascii="Palatino Linotype" w:hAnsi="Palatino Linotype" w:cs="Arial"/>
                <w:b/>
                <w:bCs/>
                <w:sz w:val="18"/>
                <w:szCs w:val="18"/>
              </w:rPr>
              <w:t>-60.6</w:t>
            </w:r>
          </w:p>
        </w:tc>
      </w:tr>
      <w:tr w:rsidR="007C32C5" w:rsidRPr="007C32C5" w14:paraId="1A6D2D87" w14:textId="77777777" w:rsidTr="005A4D17">
        <w:trPr>
          <w:trHeight w:val="224"/>
          <w:jc w:val="center"/>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19EB2DD8"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Cs/>
                <w:i/>
                <w:sz w:val="18"/>
                <w:szCs w:val="18"/>
              </w:rPr>
              <w:t xml:space="preserve">             Futures</w:t>
            </w:r>
          </w:p>
        </w:tc>
        <w:tc>
          <w:tcPr>
            <w:tcW w:w="1128" w:type="dxa"/>
            <w:tcBorders>
              <w:top w:val="single" w:sz="4" w:space="0" w:color="auto"/>
              <w:left w:val="nil"/>
              <w:bottom w:val="single" w:sz="4" w:space="0" w:color="auto"/>
              <w:right w:val="single" w:sz="4" w:space="0" w:color="auto"/>
            </w:tcBorders>
            <w:shd w:val="clear" w:color="auto" w:fill="auto"/>
            <w:noWrap/>
          </w:tcPr>
          <w:p w14:paraId="6E4A6B3E" w14:textId="77777777" w:rsidR="007C32C5" w:rsidRPr="007C32C5" w:rsidRDefault="007C32C5" w:rsidP="007C32C5">
            <w:pPr>
              <w:jc w:val="right"/>
              <w:rPr>
                <w:rFonts w:ascii="Palatino Linotype" w:hAnsi="Palatino Linotype" w:cs="Arial"/>
                <w:sz w:val="18"/>
                <w:szCs w:val="18"/>
              </w:rPr>
            </w:pPr>
            <w:r w:rsidRPr="007C32C5">
              <w:rPr>
                <w:rFonts w:ascii="Palatino Linotype" w:hAnsi="Palatino Linotype" w:cs="Arial"/>
                <w:sz w:val="18"/>
                <w:szCs w:val="18"/>
              </w:rPr>
              <w:t xml:space="preserve">       6,362</w:t>
            </w:r>
          </w:p>
        </w:tc>
        <w:tc>
          <w:tcPr>
            <w:tcW w:w="1236" w:type="dxa"/>
            <w:tcBorders>
              <w:top w:val="single" w:sz="4" w:space="0" w:color="auto"/>
              <w:left w:val="single" w:sz="4" w:space="0" w:color="auto"/>
              <w:bottom w:val="single" w:sz="4" w:space="0" w:color="auto"/>
              <w:right w:val="single" w:sz="4" w:space="0" w:color="auto"/>
            </w:tcBorders>
          </w:tcPr>
          <w:p w14:paraId="38011712" w14:textId="77777777" w:rsidR="007C32C5" w:rsidRPr="007C32C5" w:rsidRDefault="007C32C5" w:rsidP="007C32C5">
            <w:pPr>
              <w:jc w:val="right"/>
              <w:rPr>
                <w:rFonts w:ascii="Palatino Linotype" w:hAnsi="Palatino Linotype" w:cs="Arial"/>
                <w:sz w:val="18"/>
                <w:szCs w:val="18"/>
              </w:rPr>
            </w:pPr>
            <w:r w:rsidRPr="007C32C5">
              <w:rPr>
                <w:rFonts w:ascii="Palatino Linotype" w:hAnsi="Palatino Linotype" w:cs="Arial"/>
                <w:sz w:val="18"/>
                <w:szCs w:val="18"/>
              </w:rPr>
              <w:t>45</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1CDED699" w14:textId="77777777" w:rsidR="007C32C5" w:rsidRPr="007C32C5" w:rsidRDefault="007C32C5" w:rsidP="007C32C5">
            <w:pPr>
              <w:jc w:val="right"/>
              <w:rPr>
                <w:rFonts w:ascii="Palatino Linotype" w:hAnsi="Palatino Linotype" w:cs="Arial"/>
                <w:sz w:val="18"/>
                <w:szCs w:val="18"/>
              </w:rPr>
            </w:pPr>
            <w:r w:rsidRPr="007C32C5">
              <w:rPr>
                <w:rFonts w:ascii="Palatino Linotype" w:hAnsi="Palatino Linotype" w:cs="Arial"/>
                <w:sz w:val="18"/>
                <w:szCs w:val="18"/>
              </w:rPr>
              <w:t>92</w:t>
            </w:r>
          </w:p>
        </w:tc>
        <w:tc>
          <w:tcPr>
            <w:tcW w:w="2255" w:type="dxa"/>
            <w:tcBorders>
              <w:top w:val="single" w:sz="4" w:space="0" w:color="auto"/>
              <w:left w:val="nil"/>
              <w:bottom w:val="single" w:sz="4" w:space="0" w:color="auto"/>
              <w:right w:val="single" w:sz="4" w:space="0" w:color="auto"/>
            </w:tcBorders>
            <w:shd w:val="clear" w:color="auto" w:fill="auto"/>
            <w:noWrap/>
          </w:tcPr>
          <w:p w14:paraId="2BDB62E1" w14:textId="77777777" w:rsidR="007C32C5" w:rsidRPr="007C32C5" w:rsidRDefault="007C32C5" w:rsidP="007C32C5">
            <w:pPr>
              <w:jc w:val="center"/>
              <w:rPr>
                <w:rFonts w:ascii="Palatino Linotype" w:hAnsi="Palatino Linotype" w:cs="Arial"/>
                <w:sz w:val="18"/>
                <w:szCs w:val="18"/>
              </w:rPr>
            </w:pPr>
            <w:r w:rsidRPr="007C32C5">
              <w:rPr>
                <w:rFonts w:ascii="Palatino Linotype" w:hAnsi="Palatino Linotype" w:cs="Arial"/>
                <w:sz w:val="18"/>
                <w:szCs w:val="18"/>
              </w:rPr>
              <w:t>102.3</w:t>
            </w:r>
          </w:p>
        </w:tc>
      </w:tr>
      <w:tr w:rsidR="007C32C5" w:rsidRPr="007C32C5" w14:paraId="07E40DB8" w14:textId="77777777" w:rsidTr="005A4D17">
        <w:trPr>
          <w:trHeight w:val="224"/>
          <w:jc w:val="center"/>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69785B13" w14:textId="77777777" w:rsidR="007C32C5" w:rsidRPr="007C32C5" w:rsidRDefault="007C32C5" w:rsidP="007C32C5">
            <w:pPr>
              <w:rPr>
                <w:rFonts w:ascii="Palatino Linotype" w:hAnsi="Palatino Linotype" w:cs="Arial"/>
                <w:b/>
                <w:bCs/>
                <w:sz w:val="18"/>
                <w:szCs w:val="18"/>
              </w:rPr>
            </w:pPr>
            <w:r w:rsidRPr="007C32C5">
              <w:rPr>
                <w:rFonts w:ascii="Palatino Linotype" w:hAnsi="Palatino Linotype" w:cs="Arial"/>
                <w:bCs/>
                <w:i/>
                <w:sz w:val="18"/>
                <w:szCs w:val="18"/>
              </w:rPr>
              <w:t xml:space="preserve">            Options</w:t>
            </w:r>
          </w:p>
        </w:tc>
        <w:tc>
          <w:tcPr>
            <w:tcW w:w="1128" w:type="dxa"/>
            <w:tcBorders>
              <w:top w:val="single" w:sz="4" w:space="0" w:color="auto"/>
              <w:left w:val="nil"/>
              <w:bottom w:val="single" w:sz="4" w:space="0" w:color="auto"/>
              <w:right w:val="single" w:sz="4" w:space="0" w:color="auto"/>
            </w:tcBorders>
            <w:shd w:val="clear" w:color="auto" w:fill="auto"/>
            <w:noWrap/>
          </w:tcPr>
          <w:p w14:paraId="494AC93C" w14:textId="77777777" w:rsidR="007C32C5" w:rsidRPr="007C32C5" w:rsidRDefault="007C32C5" w:rsidP="007C32C5">
            <w:pPr>
              <w:jc w:val="right"/>
              <w:rPr>
                <w:rFonts w:ascii="Palatino Linotype" w:hAnsi="Palatino Linotype" w:cs="Arial"/>
                <w:b/>
                <w:bCs/>
                <w:sz w:val="18"/>
                <w:szCs w:val="18"/>
              </w:rPr>
            </w:pPr>
            <w:r w:rsidRPr="007C32C5">
              <w:rPr>
                <w:rFonts w:ascii="Palatino Linotype" w:hAnsi="Palatino Linotype" w:cs="Arial"/>
                <w:b/>
                <w:bCs/>
                <w:sz w:val="18"/>
                <w:szCs w:val="18"/>
              </w:rPr>
              <w:t>-</w:t>
            </w:r>
          </w:p>
        </w:tc>
        <w:tc>
          <w:tcPr>
            <w:tcW w:w="1236" w:type="dxa"/>
            <w:tcBorders>
              <w:top w:val="single" w:sz="4" w:space="0" w:color="auto"/>
              <w:left w:val="single" w:sz="4" w:space="0" w:color="auto"/>
              <w:bottom w:val="single" w:sz="4" w:space="0" w:color="auto"/>
              <w:right w:val="single" w:sz="4" w:space="0" w:color="auto"/>
            </w:tcBorders>
          </w:tcPr>
          <w:p w14:paraId="5516DAC3" w14:textId="77777777" w:rsidR="007C32C5" w:rsidRPr="007C32C5" w:rsidRDefault="007C32C5" w:rsidP="007C32C5">
            <w:pPr>
              <w:jc w:val="right"/>
              <w:rPr>
                <w:rFonts w:ascii="Palatino Linotype" w:hAnsi="Palatino Linotype" w:cs="Arial"/>
                <w:sz w:val="18"/>
                <w:szCs w:val="18"/>
              </w:rPr>
            </w:pPr>
            <w:r w:rsidRPr="007C32C5">
              <w:rPr>
                <w:rFonts w:ascii="Palatino Linotype" w:hAnsi="Palatino Linotype" w:cs="Arial"/>
                <w:sz w:val="18"/>
                <w:szCs w:val="18"/>
              </w:rPr>
              <w:t>6,236</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14:paraId="68D34E1E" w14:textId="77777777" w:rsidR="007C32C5" w:rsidRPr="007C32C5" w:rsidRDefault="007C32C5" w:rsidP="007C32C5">
            <w:pPr>
              <w:jc w:val="right"/>
              <w:rPr>
                <w:rFonts w:ascii="Palatino Linotype" w:hAnsi="Palatino Linotype" w:cs="Arial"/>
                <w:sz w:val="18"/>
                <w:szCs w:val="18"/>
              </w:rPr>
            </w:pPr>
            <w:r w:rsidRPr="007C32C5">
              <w:rPr>
                <w:rFonts w:ascii="Palatino Linotype" w:hAnsi="Palatino Linotype" w:cs="Arial"/>
                <w:sz w:val="18"/>
                <w:szCs w:val="18"/>
              </w:rPr>
              <w:t>2,382</w:t>
            </w:r>
          </w:p>
        </w:tc>
        <w:tc>
          <w:tcPr>
            <w:tcW w:w="2255" w:type="dxa"/>
            <w:tcBorders>
              <w:top w:val="single" w:sz="4" w:space="0" w:color="auto"/>
              <w:left w:val="nil"/>
              <w:bottom w:val="single" w:sz="4" w:space="0" w:color="auto"/>
              <w:right w:val="single" w:sz="4" w:space="0" w:color="auto"/>
            </w:tcBorders>
            <w:shd w:val="clear" w:color="auto" w:fill="auto"/>
            <w:noWrap/>
          </w:tcPr>
          <w:p w14:paraId="0D68C897" w14:textId="77777777" w:rsidR="007C32C5" w:rsidRPr="007C32C5" w:rsidRDefault="007C32C5" w:rsidP="007C32C5">
            <w:pPr>
              <w:jc w:val="center"/>
              <w:rPr>
                <w:rFonts w:ascii="Palatino Linotype" w:hAnsi="Palatino Linotype" w:cs="Arial"/>
                <w:sz w:val="18"/>
                <w:szCs w:val="18"/>
              </w:rPr>
            </w:pPr>
            <w:r w:rsidRPr="007C32C5">
              <w:rPr>
                <w:rFonts w:ascii="Palatino Linotype" w:hAnsi="Palatino Linotype" w:cs="Arial"/>
                <w:sz w:val="18"/>
                <w:szCs w:val="18"/>
              </w:rPr>
              <w:t>-61.8</w:t>
            </w:r>
          </w:p>
        </w:tc>
      </w:tr>
    </w:tbl>
    <w:p w14:paraId="52EEFC8C" w14:textId="77777777" w:rsidR="007C32C5" w:rsidRPr="007C32C5" w:rsidRDefault="007C32C5" w:rsidP="007C32C5">
      <w:pPr>
        <w:spacing w:line="276" w:lineRule="auto"/>
        <w:jc w:val="both"/>
        <w:rPr>
          <w:rFonts w:ascii="Palatino Linotype" w:hAnsi="Palatino Linotype" w:cs="Arial"/>
          <w:b/>
          <w:bCs/>
          <w:color w:val="0070C0"/>
          <w:sz w:val="22"/>
          <w:szCs w:val="22"/>
        </w:rPr>
      </w:pPr>
      <w:r w:rsidRPr="007C32C5">
        <w:rPr>
          <w:rFonts w:ascii="Palatino Linotype" w:hAnsi="Palatino Linotype" w:cs="Arial"/>
          <w:b/>
          <w:bCs/>
          <w:sz w:val="18"/>
          <w:szCs w:val="18"/>
        </w:rPr>
        <w:t>Source: NCDEX, MCX, ICEX, BSE and NSE.</w:t>
      </w:r>
    </w:p>
    <w:p w14:paraId="355B633F" w14:textId="77777777" w:rsidR="007C32C5" w:rsidRPr="007C32C5" w:rsidRDefault="007C32C5" w:rsidP="007C32C5">
      <w:pPr>
        <w:spacing w:line="276" w:lineRule="auto"/>
        <w:jc w:val="both"/>
        <w:rPr>
          <w:rFonts w:ascii="Palatino Linotype" w:hAnsi="Palatino Linotype" w:cs="Arial"/>
          <w:b/>
          <w:bCs/>
          <w:color w:val="0070C0"/>
          <w:sz w:val="22"/>
          <w:szCs w:val="22"/>
          <w:highlight w:val="yellow"/>
        </w:rPr>
      </w:pPr>
    </w:p>
    <w:p w14:paraId="0DFB404E" w14:textId="77777777" w:rsidR="007C32C5" w:rsidRPr="007C32C5" w:rsidRDefault="007C32C5" w:rsidP="007C32C5">
      <w:pPr>
        <w:numPr>
          <w:ilvl w:val="0"/>
          <w:numId w:val="35"/>
        </w:numPr>
        <w:spacing w:line="276" w:lineRule="auto"/>
        <w:ind w:left="567" w:hanging="567"/>
        <w:contextualSpacing/>
        <w:jc w:val="both"/>
        <w:rPr>
          <w:rFonts w:ascii="Palatino Linotype" w:eastAsia="Times New Roman" w:hAnsi="Palatino Linotype"/>
          <w:b/>
          <w:sz w:val="22"/>
          <w:szCs w:val="22"/>
          <w:lang w:val="en-US"/>
        </w:rPr>
      </w:pPr>
      <w:r w:rsidRPr="007C32C5">
        <w:rPr>
          <w:rFonts w:ascii="Palatino Linotype" w:eastAsia="Times New Roman" w:hAnsi="Palatino Linotype"/>
          <w:b/>
          <w:sz w:val="22"/>
          <w:szCs w:val="22"/>
          <w:lang w:val="en-US"/>
        </w:rPr>
        <w:t>Turnover</w:t>
      </w:r>
    </w:p>
    <w:p w14:paraId="7ADEB0B2" w14:textId="77777777" w:rsidR="007C32C5" w:rsidRPr="007C32C5" w:rsidRDefault="007C32C5" w:rsidP="007C32C5">
      <w:pPr>
        <w:spacing w:line="276" w:lineRule="auto"/>
        <w:jc w:val="both"/>
        <w:rPr>
          <w:rFonts w:ascii="Palatino Linotype" w:hAnsi="Palatino Linotype" w:cs="Arial"/>
          <w:b/>
          <w:bCs/>
          <w:sz w:val="22"/>
          <w:szCs w:val="22"/>
        </w:rPr>
      </w:pPr>
    </w:p>
    <w:p w14:paraId="4C2D9DFD" w14:textId="77777777" w:rsidR="007C32C5" w:rsidRPr="007C32C5" w:rsidRDefault="007C32C5" w:rsidP="007C32C5">
      <w:pPr>
        <w:numPr>
          <w:ilvl w:val="0"/>
          <w:numId w:val="41"/>
        </w:numPr>
        <w:spacing w:line="276" w:lineRule="auto"/>
        <w:rPr>
          <w:rFonts w:ascii="Palatino Linotype" w:hAnsi="Palatino Linotype" w:cs="Arial"/>
          <w:bCs/>
          <w:sz w:val="22"/>
          <w:szCs w:val="22"/>
          <w:lang w:val="en-US"/>
        </w:rPr>
      </w:pPr>
      <w:r w:rsidRPr="007C32C5">
        <w:rPr>
          <w:rFonts w:ascii="Palatino Linotype" w:hAnsi="Palatino Linotype" w:cs="Arial"/>
          <w:bCs/>
          <w:sz w:val="22"/>
          <w:szCs w:val="22"/>
          <w:lang w:val="en-US"/>
        </w:rPr>
        <w:t xml:space="preserve">During August 2020, pan- India turnover of the commodity derivatives increased by 6.8 per cent to </w:t>
      </w:r>
      <w:r w:rsidRPr="007C32C5">
        <w:rPr>
          <w:rFonts w:ascii="Tahoma" w:hAnsi="Tahoma" w:cs="Tahoma"/>
          <w:bCs/>
          <w:sz w:val="22"/>
          <w:szCs w:val="22"/>
          <w:lang w:val="en-US"/>
        </w:rPr>
        <w:t>₹</w:t>
      </w:r>
      <w:r w:rsidRPr="007C32C5">
        <w:rPr>
          <w:rFonts w:ascii="Palatino Linotype" w:hAnsi="Palatino Linotype" w:cs="Arial"/>
          <w:bCs/>
          <w:sz w:val="22"/>
          <w:szCs w:val="22"/>
          <w:lang w:val="en-US"/>
        </w:rPr>
        <w:t xml:space="preserve"> 10,37,849 crore driven by rise in turnover at MCX and NCDEX. However, turnover at ICEX, BSE and NSE declined during the month. The agricultural segment contributed 2.9 per cent to the total turnover, while non-agricultural segment accounted for 97.1 per cent. </w:t>
      </w:r>
    </w:p>
    <w:p w14:paraId="0D12E089" w14:textId="77777777" w:rsidR="007C32C5" w:rsidRPr="007C32C5" w:rsidRDefault="007C32C5" w:rsidP="007C32C5">
      <w:pPr>
        <w:numPr>
          <w:ilvl w:val="0"/>
          <w:numId w:val="41"/>
        </w:numPr>
        <w:spacing w:line="276" w:lineRule="auto"/>
        <w:rPr>
          <w:rFonts w:ascii="Palatino Linotype" w:hAnsi="Palatino Linotype" w:cs="Arial"/>
          <w:bCs/>
          <w:sz w:val="22"/>
          <w:szCs w:val="22"/>
          <w:lang w:val="en-US"/>
        </w:rPr>
      </w:pPr>
      <w:r w:rsidRPr="007C32C5">
        <w:rPr>
          <w:rFonts w:ascii="Palatino Linotype" w:hAnsi="Palatino Linotype" w:cs="Arial"/>
          <w:bCs/>
          <w:sz w:val="22"/>
          <w:szCs w:val="22"/>
          <w:lang w:val="en-US"/>
        </w:rPr>
        <w:t xml:space="preserve">The total turnover (futures &amp; options) at MCX increased by 7.4 per cent to </w:t>
      </w:r>
      <w:r w:rsidRPr="007C32C5">
        <w:rPr>
          <w:rFonts w:ascii="Tahoma" w:hAnsi="Tahoma" w:cs="Tahoma"/>
          <w:bCs/>
          <w:sz w:val="22"/>
          <w:szCs w:val="22"/>
          <w:lang w:val="en-US"/>
        </w:rPr>
        <w:t>₹</w:t>
      </w:r>
      <w:r w:rsidRPr="007C32C5">
        <w:rPr>
          <w:rFonts w:ascii="Palatino Linotype" w:hAnsi="Palatino Linotype" w:cs="Arial"/>
          <w:bCs/>
          <w:sz w:val="22"/>
          <w:szCs w:val="22"/>
          <w:lang w:val="en-US"/>
        </w:rPr>
        <w:t xml:space="preserve">9,39,619 crore during August 2020 due to increase in traded value in bullion and metal futures by 12.0 per cent and 2.4 per cent respectively. However, turnover in energy and agri. futures declined by 10.7 per cent and 20.0 per cent respectively. The notional turnover of option segment at MCX increased by 37.7 per cent during the month, as turnover in bullion segment increased by 46.9 per cent. The options contracts contributed 3.1 per cent to the total turnover at MCX. </w:t>
      </w:r>
    </w:p>
    <w:p w14:paraId="283C9148" w14:textId="77777777" w:rsidR="007C32C5" w:rsidRPr="007C32C5" w:rsidRDefault="007C32C5" w:rsidP="007C32C5">
      <w:pPr>
        <w:numPr>
          <w:ilvl w:val="0"/>
          <w:numId w:val="41"/>
        </w:numPr>
        <w:spacing w:line="276" w:lineRule="auto"/>
        <w:rPr>
          <w:rFonts w:ascii="Palatino Linotype" w:hAnsi="Palatino Linotype" w:cs="Arial"/>
          <w:bCs/>
          <w:sz w:val="22"/>
          <w:szCs w:val="22"/>
          <w:lang w:val="en-US"/>
        </w:rPr>
      </w:pPr>
      <w:r w:rsidRPr="007C32C5">
        <w:rPr>
          <w:rFonts w:ascii="Palatino Linotype" w:hAnsi="Palatino Linotype" w:cs="Arial"/>
          <w:bCs/>
          <w:sz w:val="22"/>
          <w:szCs w:val="22"/>
          <w:lang w:val="en-US"/>
        </w:rPr>
        <w:t>Futures trading in MCXBULLDEX index commenced on 24</w:t>
      </w:r>
      <w:r w:rsidRPr="007C32C5">
        <w:rPr>
          <w:rFonts w:ascii="Palatino Linotype" w:hAnsi="Palatino Linotype" w:cs="Arial"/>
          <w:bCs/>
          <w:sz w:val="22"/>
          <w:szCs w:val="22"/>
          <w:vertAlign w:val="superscript"/>
          <w:lang w:val="en-US"/>
        </w:rPr>
        <w:t>th</w:t>
      </w:r>
      <w:r w:rsidRPr="007C32C5">
        <w:rPr>
          <w:rFonts w:ascii="Palatino Linotype" w:hAnsi="Palatino Linotype" w:cs="Arial"/>
          <w:bCs/>
          <w:sz w:val="22"/>
          <w:szCs w:val="22"/>
          <w:lang w:val="en-US"/>
        </w:rPr>
        <w:t xml:space="preserve"> August, 2020 and registered a total turnover of </w:t>
      </w:r>
      <w:r w:rsidRPr="007C32C5">
        <w:rPr>
          <w:rFonts w:ascii="Tahoma" w:hAnsi="Tahoma" w:cs="Tahoma"/>
          <w:bCs/>
          <w:sz w:val="22"/>
          <w:szCs w:val="22"/>
          <w:lang w:val="en-US"/>
        </w:rPr>
        <w:t>₹</w:t>
      </w:r>
      <w:r w:rsidRPr="007C32C5">
        <w:rPr>
          <w:rFonts w:ascii="Palatino Linotype" w:hAnsi="Palatino Linotype" w:cs="Arial"/>
          <w:bCs/>
          <w:sz w:val="22"/>
          <w:szCs w:val="22"/>
          <w:lang w:val="en-US"/>
        </w:rPr>
        <w:t xml:space="preserve">2,120 crore during the month. </w:t>
      </w:r>
    </w:p>
    <w:p w14:paraId="369E42C3" w14:textId="77777777" w:rsidR="007C32C5" w:rsidRPr="007C32C5" w:rsidRDefault="007C32C5" w:rsidP="007C32C5">
      <w:pPr>
        <w:numPr>
          <w:ilvl w:val="0"/>
          <w:numId w:val="41"/>
        </w:numPr>
        <w:spacing w:line="276" w:lineRule="auto"/>
        <w:rPr>
          <w:rFonts w:ascii="Palatino Linotype" w:hAnsi="Palatino Linotype" w:cs="Arial"/>
          <w:bCs/>
          <w:sz w:val="22"/>
          <w:szCs w:val="22"/>
          <w:lang w:val="en-US"/>
        </w:rPr>
      </w:pPr>
      <w:r w:rsidRPr="007C32C5">
        <w:rPr>
          <w:rFonts w:ascii="Palatino Linotype" w:hAnsi="Palatino Linotype" w:cs="Arial"/>
          <w:bCs/>
          <w:sz w:val="22"/>
          <w:szCs w:val="22"/>
          <w:lang w:val="en-US"/>
        </w:rPr>
        <w:t xml:space="preserve">During the month, the total turnover at NCDEX increased by 32.5 per cent to </w:t>
      </w:r>
      <w:r w:rsidRPr="007C32C5">
        <w:rPr>
          <w:rFonts w:ascii="Tahoma" w:hAnsi="Tahoma" w:cs="Tahoma"/>
          <w:bCs/>
          <w:sz w:val="22"/>
          <w:szCs w:val="22"/>
          <w:lang w:val="en-US"/>
        </w:rPr>
        <w:t>₹</w:t>
      </w:r>
      <w:r w:rsidRPr="007C32C5">
        <w:rPr>
          <w:rFonts w:ascii="Palatino Linotype" w:hAnsi="Palatino Linotype" w:cs="Arial"/>
          <w:bCs/>
          <w:sz w:val="22"/>
          <w:szCs w:val="22"/>
          <w:lang w:val="en-US"/>
        </w:rPr>
        <w:t xml:space="preserve">23,930 crore, due to  increase in traded volume and value of nine out of total 15 traded commodities. </w:t>
      </w:r>
    </w:p>
    <w:p w14:paraId="7073F0E1" w14:textId="77777777" w:rsidR="007C32C5" w:rsidRPr="007C32C5" w:rsidRDefault="007C32C5" w:rsidP="007C32C5">
      <w:pPr>
        <w:numPr>
          <w:ilvl w:val="0"/>
          <w:numId w:val="41"/>
        </w:numPr>
        <w:spacing w:line="276" w:lineRule="auto"/>
        <w:rPr>
          <w:rFonts w:ascii="Palatino Linotype" w:hAnsi="Palatino Linotype" w:cs="Arial"/>
          <w:bCs/>
          <w:sz w:val="22"/>
          <w:szCs w:val="22"/>
          <w:lang w:val="en-US"/>
        </w:rPr>
      </w:pPr>
      <w:r w:rsidRPr="007C32C5">
        <w:rPr>
          <w:rFonts w:ascii="Palatino Linotype" w:hAnsi="Palatino Linotype" w:cs="Arial"/>
          <w:bCs/>
          <w:sz w:val="22"/>
          <w:szCs w:val="22"/>
          <w:lang w:val="en-US"/>
        </w:rPr>
        <w:t xml:space="preserve">In August 2020, turnover at ICEX decreased by 91.5 per cent to </w:t>
      </w:r>
      <w:r w:rsidRPr="007C32C5">
        <w:rPr>
          <w:rFonts w:ascii="Tahoma" w:hAnsi="Tahoma" w:cs="Tahoma"/>
          <w:bCs/>
          <w:sz w:val="22"/>
          <w:szCs w:val="22"/>
          <w:lang w:val="en-US"/>
        </w:rPr>
        <w:t>₹</w:t>
      </w:r>
      <w:r w:rsidRPr="007C32C5">
        <w:rPr>
          <w:rFonts w:ascii="Palatino Linotype" w:hAnsi="Palatino Linotype" w:cs="Arial"/>
          <w:bCs/>
          <w:sz w:val="22"/>
          <w:szCs w:val="22"/>
          <w:lang w:val="en-US"/>
        </w:rPr>
        <w:t xml:space="preserve">2.3 crore as traded value of gems and stone contracts declined by 99.9 per cent. While steel long contracts  was not traded, agri. contracts recorded a total turnover of </w:t>
      </w:r>
      <w:r w:rsidRPr="007C32C5">
        <w:rPr>
          <w:rFonts w:ascii="Tahoma" w:hAnsi="Tahoma" w:cs="Tahoma"/>
          <w:bCs/>
          <w:sz w:val="22"/>
          <w:szCs w:val="22"/>
          <w:lang w:val="en-US"/>
        </w:rPr>
        <w:t>₹</w:t>
      </w:r>
      <w:r w:rsidRPr="007C32C5">
        <w:rPr>
          <w:rFonts w:ascii="Palatino Linotype" w:hAnsi="Palatino Linotype" w:cs="Arial"/>
          <w:bCs/>
          <w:sz w:val="22"/>
          <w:szCs w:val="22"/>
          <w:lang w:val="en-US"/>
        </w:rPr>
        <w:t xml:space="preserve">2 crore, a decline of 89.9 per cent during the month. </w:t>
      </w:r>
    </w:p>
    <w:p w14:paraId="2AECD0DD" w14:textId="77777777" w:rsidR="007C32C5" w:rsidRPr="007C32C5" w:rsidRDefault="007C32C5" w:rsidP="007C32C5">
      <w:pPr>
        <w:numPr>
          <w:ilvl w:val="0"/>
          <w:numId w:val="43"/>
        </w:numPr>
        <w:spacing w:line="276" w:lineRule="auto"/>
        <w:rPr>
          <w:rFonts w:ascii="Palatino Linotype" w:hAnsi="Palatino Linotype" w:cs="Arial"/>
          <w:bCs/>
          <w:sz w:val="22"/>
          <w:szCs w:val="22"/>
          <w:lang w:val="en-US"/>
        </w:rPr>
      </w:pPr>
      <w:r w:rsidRPr="007C32C5">
        <w:rPr>
          <w:rFonts w:ascii="Palatino Linotype" w:hAnsi="Palatino Linotype" w:cs="Arial"/>
          <w:bCs/>
          <w:sz w:val="22"/>
          <w:szCs w:val="22"/>
          <w:lang w:val="en-US"/>
        </w:rPr>
        <w:lastRenderedPageBreak/>
        <w:t xml:space="preserve"> The total turnover at BSE (futures &amp; options) decreased marginally by 0.1 per cent to </w:t>
      </w:r>
      <w:r w:rsidRPr="007C32C5">
        <w:rPr>
          <w:rFonts w:ascii="Tahoma" w:hAnsi="Tahoma" w:cs="Tahoma"/>
          <w:bCs/>
          <w:sz w:val="22"/>
          <w:szCs w:val="22"/>
          <w:lang w:val="en-US"/>
        </w:rPr>
        <w:t>₹</w:t>
      </w:r>
      <w:r w:rsidRPr="007C32C5">
        <w:rPr>
          <w:rFonts w:ascii="Palatino Linotype" w:hAnsi="Palatino Linotype" w:cs="Arial"/>
          <w:bCs/>
          <w:sz w:val="22"/>
          <w:szCs w:val="22"/>
          <w:lang w:val="en-US"/>
        </w:rPr>
        <w:t xml:space="preserve"> 71,825 crore  driven by the bullion options. In the futures segment only agri. contracts were traded with a total turnover of </w:t>
      </w:r>
      <w:r w:rsidRPr="007C32C5">
        <w:rPr>
          <w:rFonts w:ascii="Tahoma" w:hAnsi="Tahoma" w:cs="Tahoma"/>
          <w:bCs/>
          <w:sz w:val="22"/>
          <w:szCs w:val="22"/>
          <w:lang w:val="en-US"/>
        </w:rPr>
        <w:t>₹</w:t>
      </w:r>
      <w:r w:rsidRPr="007C32C5">
        <w:rPr>
          <w:rFonts w:ascii="Palatino Linotype" w:hAnsi="Palatino Linotype" w:cs="Arial"/>
          <w:bCs/>
          <w:sz w:val="22"/>
          <w:szCs w:val="22"/>
          <w:lang w:val="en-US"/>
        </w:rPr>
        <w:t xml:space="preserve">154 crore.  </w:t>
      </w:r>
    </w:p>
    <w:p w14:paraId="5A158221" w14:textId="77777777" w:rsidR="007C32C5" w:rsidRPr="007C32C5" w:rsidRDefault="007C32C5" w:rsidP="007C32C5">
      <w:pPr>
        <w:numPr>
          <w:ilvl w:val="0"/>
          <w:numId w:val="44"/>
        </w:numPr>
        <w:spacing w:line="276" w:lineRule="auto"/>
        <w:rPr>
          <w:rFonts w:ascii="Palatino Linotype" w:hAnsi="Palatino Linotype" w:cs="Arial"/>
          <w:bCs/>
          <w:sz w:val="22"/>
          <w:szCs w:val="22"/>
          <w:lang w:val="en-US"/>
        </w:rPr>
      </w:pPr>
      <w:r w:rsidRPr="007C32C5">
        <w:rPr>
          <w:rFonts w:ascii="Palatino Linotype" w:hAnsi="Palatino Linotype" w:cs="Arial"/>
          <w:bCs/>
          <w:sz w:val="22"/>
          <w:szCs w:val="22"/>
          <w:lang w:val="en-US"/>
        </w:rPr>
        <w:t xml:space="preserve">The total turnover at NSE (futures &amp; options) decreased by 60.6 per cent to </w:t>
      </w:r>
      <w:r w:rsidRPr="007C32C5">
        <w:rPr>
          <w:rFonts w:ascii="Tahoma" w:hAnsi="Tahoma" w:cs="Tahoma"/>
          <w:bCs/>
          <w:sz w:val="22"/>
          <w:szCs w:val="22"/>
          <w:lang w:val="en-US"/>
        </w:rPr>
        <w:t>₹</w:t>
      </w:r>
      <w:r w:rsidRPr="007C32C5">
        <w:rPr>
          <w:rFonts w:ascii="Palatino Linotype" w:hAnsi="Palatino Linotype" w:cs="Arial"/>
          <w:bCs/>
          <w:sz w:val="22"/>
          <w:szCs w:val="22"/>
          <w:lang w:val="en-US"/>
        </w:rPr>
        <w:t xml:space="preserve">2,474 crore during the month on account of decrease in turnover of bullion options by 61.8 per cent. </w:t>
      </w:r>
    </w:p>
    <w:p w14:paraId="062E0FA6" w14:textId="77777777" w:rsidR="007C32C5" w:rsidRPr="007C32C5" w:rsidRDefault="007C32C5" w:rsidP="007C32C5">
      <w:pPr>
        <w:numPr>
          <w:ilvl w:val="0"/>
          <w:numId w:val="44"/>
        </w:numPr>
        <w:spacing w:line="276" w:lineRule="auto"/>
        <w:rPr>
          <w:rFonts w:ascii="Palatino Linotype" w:hAnsi="Palatino Linotype" w:cs="Arial"/>
          <w:bCs/>
          <w:sz w:val="22"/>
          <w:szCs w:val="22"/>
          <w:lang w:val="en-US"/>
        </w:rPr>
      </w:pPr>
      <w:r w:rsidRPr="007C32C5">
        <w:rPr>
          <w:rFonts w:ascii="Palatino Linotype" w:hAnsi="Palatino Linotype" w:cs="Arial"/>
          <w:bCs/>
          <w:sz w:val="22"/>
          <w:szCs w:val="22"/>
          <w:lang w:val="en-US"/>
        </w:rPr>
        <w:t>The turnover of agricultural and non-agricultural commodities at exchanges is shown in Figures 15, 16 and the details are given in Tables 65 to 69.</w:t>
      </w:r>
    </w:p>
    <w:p w14:paraId="301AF6BF" w14:textId="77777777" w:rsidR="007C32C5" w:rsidRPr="007C32C5" w:rsidRDefault="007C32C5" w:rsidP="007C32C5">
      <w:pPr>
        <w:spacing w:line="276" w:lineRule="auto"/>
        <w:rPr>
          <w:rFonts w:ascii="Palatino Linotype" w:hAnsi="Palatino Linotype" w:cs="Arial"/>
          <w:b/>
          <w:bCs/>
          <w:sz w:val="22"/>
          <w:szCs w:val="22"/>
          <w:highlight w:val="yellow"/>
        </w:rPr>
      </w:pPr>
    </w:p>
    <w:p w14:paraId="1578D402" w14:textId="77777777" w:rsidR="007C32C5" w:rsidRPr="007C32C5" w:rsidRDefault="007C32C5" w:rsidP="007C32C5">
      <w:pPr>
        <w:spacing w:line="276" w:lineRule="auto"/>
        <w:jc w:val="center"/>
        <w:rPr>
          <w:rFonts w:ascii="Palatino Linotype" w:hAnsi="Palatino Linotype" w:cs="Arial"/>
          <w:b/>
          <w:bCs/>
          <w:sz w:val="22"/>
          <w:szCs w:val="22"/>
        </w:rPr>
      </w:pPr>
      <w:r w:rsidRPr="007C32C5">
        <w:rPr>
          <w:rFonts w:ascii="Palatino Linotype" w:hAnsi="Palatino Linotype" w:cs="Arial"/>
          <w:b/>
          <w:bCs/>
          <w:sz w:val="22"/>
          <w:szCs w:val="22"/>
        </w:rPr>
        <w:t>Figure 15: Trends in Turnover of Agricultural Commodity Derivatives (</w:t>
      </w:r>
      <w:r w:rsidRPr="007C32C5">
        <w:rPr>
          <w:rFonts w:ascii="Tahoma" w:hAnsi="Tahoma" w:cs="Tahoma"/>
          <w:b/>
          <w:bCs/>
          <w:sz w:val="22"/>
          <w:szCs w:val="22"/>
        </w:rPr>
        <w:t>₹</w:t>
      </w:r>
      <w:r w:rsidRPr="007C32C5">
        <w:rPr>
          <w:rFonts w:ascii="Times New Roman" w:hAnsi="Times New Roman"/>
          <w:b/>
          <w:bCs/>
          <w:sz w:val="22"/>
          <w:szCs w:val="22"/>
        </w:rPr>
        <w:t xml:space="preserve"> </w:t>
      </w:r>
      <w:r w:rsidRPr="007C32C5">
        <w:rPr>
          <w:rFonts w:ascii="Palatino Linotype" w:hAnsi="Palatino Linotype" w:cs="Arial"/>
          <w:b/>
          <w:bCs/>
          <w:sz w:val="22"/>
          <w:szCs w:val="22"/>
        </w:rPr>
        <w:t>crore)</w:t>
      </w:r>
    </w:p>
    <w:p w14:paraId="576A034D" w14:textId="77777777" w:rsidR="007C32C5" w:rsidRPr="007C32C5" w:rsidRDefault="007C32C5" w:rsidP="007C32C5">
      <w:pPr>
        <w:spacing w:line="276" w:lineRule="auto"/>
        <w:ind w:right="107"/>
        <w:jc w:val="center"/>
        <w:rPr>
          <w:rFonts w:ascii="Palatino Linotype" w:hAnsi="Palatino Linotype" w:cs="Arial"/>
          <w:color w:val="0070C0"/>
          <w:sz w:val="22"/>
          <w:szCs w:val="22"/>
        </w:rPr>
      </w:pPr>
      <w:r w:rsidRPr="007C32C5">
        <w:rPr>
          <w:noProof/>
          <w:sz w:val="22"/>
          <w:szCs w:val="22"/>
          <w:lang w:val="en-IN" w:eastAsia="en-IN" w:bidi="hi-IN"/>
        </w:rPr>
        <w:drawing>
          <wp:inline distT="0" distB="0" distL="0" distR="0" wp14:anchorId="6D81E3F8" wp14:editId="2B1392FD">
            <wp:extent cx="6185535" cy="2847109"/>
            <wp:effectExtent l="0" t="0" r="5715" b="10795"/>
            <wp:docPr id="31" name="Chart 3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0D921E" w14:textId="77777777" w:rsidR="007C32C5" w:rsidRPr="007C32C5" w:rsidRDefault="007C32C5" w:rsidP="007C32C5">
      <w:pPr>
        <w:spacing w:line="276" w:lineRule="auto"/>
        <w:rPr>
          <w:rFonts w:ascii="Palatino Linotype" w:hAnsi="Palatino Linotype"/>
          <w:b/>
          <w:sz w:val="18"/>
          <w:szCs w:val="18"/>
        </w:rPr>
      </w:pPr>
      <w:r w:rsidRPr="007C32C5">
        <w:rPr>
          <w:rFonts w:ascii="Palatino Linotype" w:hAnsi="Palatino Linotype"/>
          <w:b/>
          <w:sz w:val="18"/>
          <w:szCs w:val="18"/>
        </w:rPr>
        <w:t>Source: MCX, NCDEX, BSE &amp; ICEX</w:t>
      </w:r>
    </w:p>
    <w:p w14:paraId="38AB4704" w14:textId="77777777" w:rsidR="007C32C5" w:rsidRPr="007C32C5" w:rsidRDefault="007C32C5" w:rsidP="007C32C5">
      <w:pPr>
        <w:spacing w:line="276" w:lineRule="auto"/>
        <w:rPr>
          <w:rFonts w:ascii="Palatino Linotype" w:hAnsi="Palatino Linotype"/>
          <w:b/>
          <w:sz w:val="22"/>
          <w:szCs w:val="22"/>
          <w:highlight w:val="yellow"/>
        </w:rPr>
      </w:pPr>
    </w:p>
    <w:p w14:paraId="1DD02E2F" w14:textId="77777777" w:rsidR="007C32C5" w:rsidRPr="007C32C5" w:rsidRDefault="007C32C5" w:rsidP="007C32C5">
      <w:pPr>
        <w:rPr>
          <w:rFonts w:ascii="Palatino Linotype" w:hAnsi="Palatino Linotype"/>
          <w:b/>
          <w:sz w:val="22"/>
          <w:szCs w:val="22"/>
          <w:highlight w:val="yellow"/>
        </w:rPr>
      </w:pPr>
      <w:r w:rsidRPr="007C32C5">
        <w:rPr>
          <w:rFonts w:ascii="Palatino Linotype" w:hAnsi="Palatino Linotype"/>
          <w:b/>
          <w:sz w:val="22"/>
          <w:szCs w:val="22"/>
          <w:highlight w:val="yellow"/>
        </w:rPr>
        <w:br w:type="page"/>
      </w:r>
    </w:p>
    <w:p w14:paraId="568890B9" w14:textId="77777777" w:rsidR="007C32C5" w:rsidRPr="007C32C5" w:rsidRDefault="007C32C5" w:rsidP="007C32C5">
      <w:pPr>
        <w:spacing w:line="276" w:lineRule="auto"/>
        <w:jc w:val="center"/>
        <w:rPr>
          <w:rFonts w:ascii="Palatino Linotype" w:hAnsi="Palatino Linotype" w:cs="Arial"/>
          <w:b/>
          <w:bCs/>
          <w:sz w:val="22"/>
          <w:szCs w:val="22"/>
        </w:rPr>
      </w:pPr>
      <w:r w:rsidRPr="007C32C5">
        <w:rPr>
          <w:rFonts w:ascii="Palatino Linotype" w:hAnsi="Palatino Linotype"/>
          <w:b/>
          <w:sz w:val="22"/>
          <w:szCs w:val="22"/>
        </w:rPr>
        <w:lastRenderedPageBreak/>
        <w:t xml:space="preserve">Figure 16: Trends in Turnover of Non-Agricultural Commodity Derivatives </w:t>
      </w:r>
      <w:r w:rsidRPr="007C32C5">
        <w:rPr>
          <w:rFonts w:ascii="Palatino Linotype" w:hAnsi="Palatino Linotype" w:cs="Arial"/>
          <w:b/>
          <w:bCs/>
          <w:sz w:val="22"/>
          <w:szCs w:val="22"/>
        </w:rPr>
        <w:t>(</w:t>
      </w:r>
      <w:r w:rsidRPr="007C32C5">
        <w:rPr>
          <w:rFonts w:ascii="Tahoma" w:hAnsi="Tahoma" w:cs="Tahoma"/>
          <w:b/>
          <w:bCs/>
          <w:sz w:val="22"/>
          <w:szCs w:val="22"/>
        </w:rPr>
        <w:t>₹</w:t>
      </w:r>
      <w:r w:rsidRPr="007C32C5">
        <w:rPr>
          <w:rFonts w:ascii="Times New Roman" w:hAnsi="Times New Roman"/>
          <w:b/>
          <w:bCs/>
          <w:sz w:val="22"/>
          <w:szCs w:val="22"/>
        </w:rPr>
        <w:t xml:space="preserve"> </w:t>
      </w:r>
      <w:r w:rsidRPr="007C32C5">
        <w:rPr>
          <w:rFonts w:ascii="Palatino Linotype" w:hAnsi="Palatino Linotype" w:cs="Arial"/>
          <w:b/>
          <w:bCs/>
          <w:sz w:val="22"/>
          <w:szCs w:val="22"/>
        </w:rPr>
        <w:t>crore)</w:t>
      </w:r>
    </w:p>
    <w:p w14:paraId="5024E644" w14:textId="77777777" w:rsidR="007C32C5" w:rsidRPr="007C32C5" w:rsidRDefault="007C32C5" w:rsidP="007C32C5">
      <w:pPr>
        <w:spacing w:line="276" w:lineRule="auto"/>
        <w:contextualSpacing/>
        <w:jc w:val="center"/>
        <w:rPr>
          <w:rFonts w:ascii="Palatino Linotype" w:eastAsia="Calibri" w:hAnsi="Palatino Linotype" w:cs="Arial"/>
          <w:b/>
          <w:bCs/>
          <w:color w:val="0070C0"/>
          <w:sz w:val="22"/>
          <w:szCs w:val="22"/>
          <w:lang w:val="en-US"/>
        </w:rPr>
      </w:pPr>
      <w:r w:rsidRPr="007C32C5">
        <w:rPr>
          <w:rFonts w:ascii="Calibri" w:eastAsia="Calibri" w:hAnsi="Calibri"/>
          <w:noProof/>
          <w:sz w:val="20"/>
          <w:szCs w:val="20"/>
          <w:lang w:val="en-IN" w:eastAsia="en-IN" w:bidi="hi-IN"/>
        </w:rPr>
        <w:drawing>
          <wp:inline distT="0" distB="0" distL="0" distR="0" wp14:anchorId="28FAAAFC" wp14:editId="337E4C6E">
            <wp:extent cx="6132195" cy="3286125"/>
            <wp:effectExtent l="0" t="0" r="1905" b="9525"/>
            <wp:docPr id="32" name="Chart 32">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A2AF79" w14:textId="77777777" w:rsidR="002E0F21" w:rsidRDefault="007C32C5" w:rsidP="007C32C5">
      <w:pPr>
        <w:rPr>
          <w:rFonts w:ascii="Garamond" w:eastAsia="Garamond" w:hAnsi="Garamond" w:cs="Garamond"/>
          <w:b/>
          <w:color w:val="0D0D0D"/>
          <w:sz w:val="18"/>
          <w:szCs w:val="18"/>
        </w:rPr>
      </w:pPr>
      <w:r w:rsidRPr="007C32C5">
        <w:rPr>
          <w:rFonts w:ascii="Palatino Linotype" w:hAnsi="Palatino Linotype"/>
          <w:b/>
          <w:sz w:val="18"/>
          <w:szCs w:val="18"/>
        </w:rPr>
        <w:t>Source: MCX, ICEX, BSE &amp; NSE</w:t>
      </w:r>
      <w:r w:rsidRPr="007C32C5">
        <w:rPr>
          <w:rFonts w:ascii="Garamond" w:eastAsia="Garamond" w:hAnsi="Garamond" w:cs="Garamond"/>
          <w:b/>
          <w:color w:val="0D0D0D"/>
          <w:sz w:val="20"/>
          <w:szCs w:val="20"/>
        </w:rPr>
        <w:t>.</w:t>
      </w:r>
    </w:p>
    <w:p w14:paraId="26327699" w14:textId="77777777" w:rsidR="00297ABE" w:rsidRPr="00297ABE" w:rsidRDefault="00297ABE" w:rsidP="00F437A5">
      <w:pPr>
        <w:rPr>
          <w:rFonts w:ascii="Garamond" w:eastAsia="Garamond" w:hAnsi="Garamond" w:cs="Garamond"/>
          <w:b/>
          <w:color w:val="0D0D0D"/>
          <w:sz w:val="18"/>
          <w:szCs w:val="18"/>
        </w:rPr>
      </w:pPr>
    </w:p>
    <w:p w14:paraId="78FC838D" w14:textId="77777777" w:rsidR="00396049" w:rsidRDefault="00396049" w:rsidP="00FD1851">
      <w:pPr>
        <w:rPr>
          <w:rFonts w:ascii="Garamond" w:eastAsia="Garamond" w:hAnsi="Garamond" w:cs="Garamond"/>
          <w:b/>
          <w:color w:val="0D0D0D"/>
          <w:sz w:val="18"/>
          <w:szCs w:val="18"/>
        </w:rPr>
      </w:pPr>
    </w:p>
    <w:p w14:paraId="0A4FAC5D" w14:textId="77777777" w:rsidR="00396049" w:rsidRDefault="00396049">
      <w:pPr>
        <w:rPr>
          <w:rFonts w:ascii="Garamond" w:hAnsi="Garamond"/>
          <w:b/>
          <w:color w:val="0D0D0D" w:themeColor="text1" w:themeTint="F2"/>
          <w:sz w:val="18"/>
          <w:szCs w:val="18"/>
        </w:rPr>
      </w:pPr>
      <w:r>
        <w:rPr>
          <w:rFonts w:ascii="Garamond" w:hAnsi="Garamond"/>
          <w:b/>
          <w:color w:val="0D0D0D" w:themeColor="text1" w:themeTint="F2"/>
          <w:sz w:val="18"/>
          <w:szCs w:val="18"/>
        </w:rPr>
        <w:br w:type="page"/>
      </w:r>
    </w:p>
    <w:p w14:paraId="2D94343E" w14:textId="77777777" w:rsidR="002576F1" w:rsidRDefault="002576F1" w:rsidP="00146D0E">
      <w:pPr>
        <w:spacing w:after="160" w:line="259" w:lineRule="auto"/>
        <w:rPr>
          <w:rFonts w:ascii="Garamond" w:hAnsi="Garamond"/>
          <w:b/>
          <w:color w:val="0D0D0D" w:themeColor="text1" w:themeTint="F2"/>
          <w:sz w:val="18"/>
          <w:szCs w:val="18"/>
        </w:rPr>
      </w:pPr>
    </w:p>
    <w:p w14:paraId="29A4FACD" w14:textId="77777777" w:rsidR="00D46528" w:rsidRPr="00D46528" w:rsidRDefault="00D46528" w:rsidP="00396049">
      <w:pPr>
        <w:keepNext/>
        <w:keepLines/>
        <w:spacing w:before="240" w:after="40"/>
        <w:contextualSpacing/>
        <w:jc w:val="center"/>
        <w:outlineLvl w:val="3"/>
        <w:rPr>
          <w:rFonts w:ascii="Palatino Linotype" w:eastAsia="Times New Roman" w:hAnsi="Palatino Linotype"/>
          <w:b/>
          <w:color w:val="000000"/>
          <w:lang w:val="en-IN" w:eastAsia="en-IN"/>
        </w:rPr>
      </w:pPr>
      <w:r w:rsidRPr="00D46528">
        <w:rPr>
          <w:rFonts w:ascii="Palatino Linotype" w:eastAsia="Times New Roman" w:hAnsi="Palatino Linotype"/>
          <w:b/>
          <w:color w:val="000000"/>
          <w:lang w:val="en-IN" w:eastAsia="en-IN"/>
        </w:rPr>
        <w:t>OVERVIEW OF THE GLOBAL FINANCIAL MARKETS</w:t>
      </w:r>
    </w:p>
    <w:p w14:paraId="393660DE" w14:textId="77777777" w:rsidR="00D46528" w:rsidRPr="00D46528" w:rsidRDefault="00D46528" w:rsidP="00D46528">
      <w:pPr>
        <w:ind w:left="360"/>
        <w:contextualSpacing/>
        <w:jc w:val="both"/>
        <w:rPr>
          <w:rFonts w:ascii="Times New Roman" w:eastAsia="Times New Roman" w:hAnsi="Times New Roman"/>
          <w:sz w:val="20"/>
          <w:szCs w:val="20"/>
          <w:cs/>
          <w:lang w:val="en-US" w:eastAsia="en-GB" w:bidi="bn-IN"/>
        </w:rPr>
      </w:pPr>
    </w:p>
    <w:p w14:paraId="762EE8AE" w14:textId="77777777" w:rsidR="00D46528" w:rsidRPr="00D46528" w:rsidRDefault="00D46528" w:rsidP="00D46528">
      <w:pPr>
        <w:spacing w:line="23" w:lineRule="atLeast"/>
        <w:ind w:left="360"/>
        <w:contextualSpacing/>
        <w:jc w:val="both"/>
        <w:rPr>
          <w:rFonts w:ascii="Times New Roman" w:eastAsia="Times New Roman" w:hAnsi="Times New Roman"/>
          <w:sz w:val="20"/>
          <w:szCs w:val="20"/>
          <w:cs/>
          <w:lang w:val="en-US" w:eastAsia="en-GB" w:bidi="bn-IN"/>
        </w:rPr>
      </w:pPr>
    </w:p>
    <w:p w14:paraId="00A158B8"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z w:val="22"/>
          <w:szCs w:val="22"/>
          <w:lang w:val="en-US"/>
        </w:rPr>
      </w:pPr>
      <w:r w:rsidRPr="003656FA">
        <w:rPr>
          <w:rFonts w:ascii="Palatino Linotype" w:eastAsia="Times New Roman" w:hAnsi="Palatino Linotype"/>
          <w:sz w:val="22"/>
          <w:szCs w:val="22"/>
          <w:lang w:val="en-US"/>
        </w:rPr>
        <w:t xml:space="preserve">The ongoing coronavirus outbreak continued to cause human and economic distress around the globe even in August 2020. The month of August saw sharp rise in fresh COVID-19 infections in India (2 million new infections), while that in USA (1.5 million new cases) and Brazil (1.2 million new cases) moderated, according to data published by </w:t>
      </w:r>
      <w:r w:rsidRPr="003656FA">
        <w:rPr>
          <w:rFonts w:ascii="Palatino Linotype" w:eastAsia="Times New Roman" w:hAnsi="Palatino Linotype"/>
          <w:i/>
          <w:sz w:val="22"/>
          <w:szCs w:val="22"/>
          <w:lang w:val="en-US"/>
        </w:rPr>
        <w:t>worldometer.info</w:t>
      </w:r>
      <w:r w:rsidRPr="003656FA">
        <w:rPr>
          <w:rFonts w:ascii="Palatino Linotype" w:eastAsia="Times New Roman" w:hAnsi="Palatino Linotype"/>
          <w:sz w:val="22"/>
          <w:szCs w:val="22"/>
          <w:lang w:val="en-US"/>
        </w:rPr>
        <w:t>.</w:t>
      </w:r>
    </w:p>
    <w:p w14:paraId="48D547E9" w14:textId="77777777" w:rsidR="003656FA" w:rsidRPr="003656FA" w:rsidRDefault="003656FA" w:rsidP="003656FA">
      <w:pPr>
        <w:spacing w:before="100" w:beforeAutospacing="1" w:line="276" w:lineRule="auto"/>
        <w:ind w:left="360"/>
        <w:contextualSpacing/>
        <w:jc w:val="both"/>
        <w:rPr>
          <w:rFonts w:ascii="Palatino Linotype" w:eastAsia="Times New Roman" w:hAnsi="Palatino Linotype"/>
          <w:sz w:val="22"/>
          <w:szCs w:val="22"/>
          <w:lang w:val="en-US"/>
        </w:rPr>
      </w:pPr>
    </w:p>
    <w:p w14:paraId="393490E9" w14:textId="77777777" w:rsidR="003656FA" w:rsidRPr="003656FA" w:rsidRDefault="003656FA" w:rsidP="003656FA">
      <w:pPr>
        <w:numPr>
          <w:ilvl w:val="0"/>
          <w:numId w:val="4"/>
        </w:numPr>
        <w:spacing w:before="100" w:beforeAutospacing="1" w:line="276" w:lineRule="auto"/>
        <w:contextualSpacing/>
        <w:jc w:val="both"/>
        <w:rPr>
          <w:rFonts w:ascii="Calibri" w:eastAsia="Calibri" w:hAnsi="Calibri"/>
          <w:sz w:val="20"/>
          <w:szCs w:val="20"/>
          <w:lang w:val="en-US"/>
        </w:rPr>
      </w:pPr>
      <w:r w:rsidRPr="003656FA">
        <w:rPr>
          <w:rFonts w:ascii="Palatino Linotype" w:eastAsia="Times New Roman" w:hAnsi="Palatino Linotype"/>
          <w:sz w:val="22"/>
          <w:szCs w:val="22"/>
          <w:lang w:val="en-US"/>
        </w:rPr>
        <w:t>The IMF chief, Kristalina Georgieva, on September 9, 2020, warned that although the global economy is showing signs of bouncing back from the severe downturn caused by the global coronavirus pandemic, a full recovery is unlikely without a vaccine and the governments should continue to support workers and businesses since the unprecedented nature of the crisis could give rise to a wave of bankruptcies and job destruction.</w:t>
      </w:r>
    </w:p>
    <w:p w14:paraId="30A802BA" w14:textId="77777777" w:rsidR="003656FA" w:rsidRPr="003656FA" w:rsidRDefault="003656FA" w:rsidP="003656FA">
      <w:pPr>
        <w:spacing w:after="200" w:line="276" w:lineRule="auto"/>
        <w:ind w:left="720"/>
        <w:contextualSpacing/>
        <w:rPr>
          <w:rFonts w:ascii="Calibri" w:eastAsia="Calibri" w:hAnsi="Calibri"/>
          <w:sz w:val="20"/>
          <w:szCs w:val="20"/>
          <w:lang w:val="en-US"/>
        </w:rPr>
      </w:pPr>
    </w:p>
    <w:p w14:paraId="387D695F"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z w:val="22"/>
          <w:szCs w:val="22"/>
          <w:lang w:val="en-US"/>
        </w:rPr>
      </w:pPr>
      <w:r w:rsidRPr="003656FA">
        <w:rPr>
          <w:rFonts w:ascii="Palatino Linotype" w:eastAsia="Times New Roman" w:hAnsi="Palatino Linotype"/>
          <w:sz w:val="22"/>
          <w:szCs w:val="22"/>
          <w:lang w:val="en-US"/>
        </w:rPr>
        <w:t>On the positive front, some economic recovery was visible in August 2020 as lockdowns and restrictions in response to the COVID-19 were eased in many countries.  A wide range of economic indicators suggest the uptick in the economic activity. The JPMorgan Global Composite Purchasing Managers’ Index (PMI), compiled by IHS Mark</w:t>
      </w:r>
      <w:r w:rsidR="00080500">
        <w:rPr>
          <w:rFonts w:ascii="Palatino Linotype" w:eastAsia="Times New Roman" w:hAnsi="Palatino Linotype"/>
          <w:sz w:val="22"/>
          <w:szCs w:val="22"/>
          <w:lang w:val="en-US"/>
        </w:rPr>
        <w:t>e</w:t>
      </w:r>
      <w:r w:rsidRPr="003656FA">
        <w:rPr>
          <w:rFonts w:ascii="Palatino Linotype" w:eastAsia="Times New Roman" w:hAnsi="Palatino Linotype"/>
          <w:sz w:val="22"/>
          <w:szCs w:val="22"/>
          <w:lang w:val="en-US"/>
        </w:rPr>
        <w:t xml:space="preserve">t, rose for a fourth successive month in August, up from 51.0 in July to 52.4 in August, its highest since March 2019. A reading of PMI above 50 means growth or expansion in economic activity. </w:t>
      </w:r>
    </w:p>
    <w:p w14:paraId="3E402625" w14:textId="77777777" w:rsidR="003656FA" w:rsidRPr="003656FA" w:rsidRDefault="003656FA" w:rsidP="003656FA">
      <w:pPr>
        <w:spacing w:before="100" w:beforeAutospacing="1" w:line="276" w:lineRule="auto"/>
        <w:ind w:left="360"/>
        <w:contextualSpacing/>
        <w:jc w:val="both"/>
        <w:rPr>
          <w:rFonts w:ascii="Palatino Linotype" w:eastAsia="Times New Roman" w:hAnsi="Palatino Linotype"/>
          <w:sz w:val="22"/>
          <w:szCs w:val="22"/>
          <w:lang w:val="en-US"/>
        </w:rPr>
      </w:pPr>
    </w:p>
    <w:p w14:paraId="3E0441F8"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z w:val="22"/>
          <w:szCs w:val="22"/>
          <w:lang w:val="en-US"/>
        </w:rPr>
      </w:pPr>
      <w:r w:rsidRPr="003656FA">
        <w:rPr>
          <w:rFonts w:ascii="Palatino Linotype" w:eastAsia="Times New Roman" w:hAnsi="Palatino Linotype"/>
          <w:sz w:val="22"/>
          <w:szCs w:val="22"/>
          <w:lang w:val="en-US"/>
        </w:rPr>
        <w:t xml:space="preserve">Meanwhile, the equity markets continued their momentum in August 2020 as well, on the hopes of speedy economic recovery. The Dow Jones Industrial Average of USA gained 7.6 per cent in August 2020 over previous month. The S&amp;P 500 index increased by 7.0 per cent, and the tech heavy NASDAQ Composite rose by 6.8 per cent in August 2020 over previous month. </w:t>
      </w:r>
    </w:p>
    <w:p w14:paraId="4463897B" w14:textId="77777777" w:rsidR="003656FA" w:rsidRPr="003656FA" w:rsidRDefault="003656FA" w:rsidP="003656FA">
      <w:pPr>
        <w:spacing w:before="100" w:beforeAutospacing="1" w:line="276" w:lineRule="auto"/>
        <w:ind w:left="360"/>
        <w:contextualSpacing/>
        <w:jc w:val="both"/>
        <w:rPr>
          <w:rFonts w:ascii="Palatino Linotype" w:eastAsia="Times New Roman" w:hAnsi="Palatino Linotype"/>
          <w:sz w:val="22"/>
          <w:szCs w:val="22"/>
          <w:lang w:val="en-US"/>
        </w:rPr>
      </w:pPr>
    </w:p>
    <w:p w14:paraId="399E0AFA"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trike/>
          <w:sz w:val="22"/>
          <w:szCs w:val="22"/>
          <w:lang w:val="en-US"/>
        </w:rPr>
      </w:pPr>
      <w:r w:rsidRPr="003656FA">
        <w:rPr>
          <w:rFonts w:ascii="Palatino Linotype" w:eastAsia="Times New Roman" w:hAnsi="Palatino Linotype"/>
          <w:sz w:val="22"/>
          <w:szCs w:val="22"/>
          <w:lang w:val="en-US"/>
        </w:rPr>
        <w:t xml:space="preserve">The advanced markets outperform developed markets in August 2020. MSCI Emerging Market (EM) index increased by 2.1 per cent in August 2020 over the previous month, while MSCI World index was up by 6.5 per cent during same period. </w:t>
      </w:r>
    </w:p>
    <w:p w14:paraId="7F17E3BF" w14:textId="77777777" w:rsidR="003656FA" w:rsidRPr="003656FA" w:rsidRDefault="003656FA" w:rsidP="003656FA">
      <w:pPr>
        <w:spacing w:before="100" w:beforeAutospacing="1" w:line="276" w:lineRule="auto"/>
        <w:ind w:left="360"/>
        <w:contextualSpacing/>
        <w:jc w:val="both"/>
        <w:rPr>
          <w:rFonts w:ascii="Palatino Linotype" w:eastAsia="Times New Roman" w:hAnsi="Palatino Linotype"/>
          <w:sz w:val="22"/>
          <w:szCs w:val="22"/>
          <w:lang w:val="en-US"/>
        </w:rPr>
      </w:pPr>
    </w:p>
    <w:p w14:paraId="528908CD"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z w:val="22"/>
          <w:szCs w:val="22"/>
          <w:lang w:val="en-US"/>
        </w:rPr>
      </w:pPr>
      <w:r w:rsidRPr="003656FA">
        <w:rPr>
          <w:rFonts w:ascii="Palatino Linotype" w:eastAsia="Times New Roman" w:hAnsi="Palatino Linotype"/>
          <w:sz w:val="22"/>
          <w:szCs w:val="22"/>
          <w:lang w:val="en-US"/>
        </w:rPr>
        <w:t>The volatility in the equity markets increased somewhat during August 2020. The CBOE VIX index increased from 24.5 on July 31, 2020 to 26.4 on August 31, 2020.</w:t>
      </w:r>
    </w:p>
    <w:p w14:paraId="6E238865" w14:textId="77777777" w:rsidR="003656FA" w:rsidRPr="003656FA" w:rsidRDefault="003656FA" w:rsidP="003656FA">
      <w:pPr>
        <w:spacing w:before="100" w:beforeAutospacing="1" w:line="276" w:lineRule="auto"/>
        <w:ind w:left="360"/>
        <w:contextualSpacing/>
        <w:jc w:val="both"/>
        <w:rPr>
          <w:rFonts w:ascii="Palatino Linotype" w:eastAsia="Times New Roman" w:hAnsi="Palatino Linotype"/>
          <w:sz w:val="22"/>
          <w:szCs w:val="22"/>
          <w:lang w:val="en-US"/>
        </w:rPr>
      </w:pPr>
    </w:p>
    <w:p w14:paraId="6434886B"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z w:val="22"/>
          <w:szCs w:val="22"/>
          <w:lang w:val="en-US"/>
        </w:rPr>
      </w:pPr>
      <w:r w:rsidRPr="003656FA">
        <w:rPr>
          <w:rFonts w:ascii="Palatino Linotype" w:eastAsia="Times New Roman" w:hAnsi="Palatino Linotype"/>
          <w:sz w:val="22"/>
          <w:szCs w:val="22"/>
          <w:lang w:val="en-US"/>
        </w:rPr>
        <w:t>The yields in the bond markets started rising in August 2020, with the exception of Eurozone. The US 10-year government bond yield increased by 18 bps to 0.7 per cent, while the 10 year Eurobond yield declined by 6 bps to 0.2 per cent, as ECB provided more monetary stimulus.</w:t>
      </w:r>
    </w:p>
    <w:p w14:paraId="4E626948" w14:textId="77777777" w:rsidR="003656FA" w:rsidRPr="003656FA" w:rsidRDefault="003656FA" w:rsidP="003656FA">
      <w:pPr>
        <w:spacing w:before="100" w:beforeAutospacing="1" w:line="276" w:lineRule="auto"/>
        <w:ind w:left="360"/>
        <w:contextualSpacing/>
        <w:jc w:val="both"/>
        <w:rPr>
          <w:rFonts w:ascii="Palatino Linotype" w:eastAsia="Times New Roman" w:hAnsi="Palatino Linotype"/>
          <w:sz w:val="22"/>
          <w:szCs w:val="22"/>
          <w:lang w:val="en-US"/>
        </w:rPr>
      </w:pPr>
    </w:p>
    <w:p w14:paraId="306DC506"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z w:val="22"/>
          <w:szCs w:val="22"/>
          <w:lang w:val="en-US"/>
        </w:rPr>
      </w:pPr>
      <w:r w:rsidRPr="003656FA">
        <w:rPr>
          <w:rFonts w:ascii="Palatino Linotype" w:eastAsia="Times New Roman" w:hAnsi="Palatino Linotype"/>
          <w:sz w:val="22"/>
          <w:szCs w:val="22"/>
          <w:lang w:val="en-US"/>
        </w:rPr>
        <w:t>The crude oil prices increased by USD 2.3 per barrel (or by 5.8 per cent) to USD 42.7 per barrel in August 2020 on hope of rising demand globally. Gold prices decreased slightly by USD 7.4 per ounce (or by 0.4 per cent) to USD 1,978.6, after touching high of USD 2,089.2 during the month amid rising investor interest for gold that believed to have provided a safe-haven and hedge against inflation historically. </w:t>
      </w:r>
    </w:p>
    <w:p w14:paraId="7E2C5729" w14:textId="77777777" w:rsidR="003656FA" w:rsidRPr="003656FA" w:rsidRDefault="003656FA" w:rsidP="003656FA">
      <w:pPr>
        <w:spacing w:before="100" w:beforeAutospacing="1" w:line="276" w:lineRule="auto"/>
        <w:ind w:left="360"/>
        <w:contextualSpacing/>
        <w:jc w:val="both"/>
        <w:rPr>
          <w:rFonts w:ascii="Palatino Linotype" w:eastAsia="Times New Roman" w:hAnsi="Palatino Linotype"/>
          <w:sz w:val="22"/>
          <w:szCs w:val="22"/>
          <w:lang w:val="en-US"/>
        </w:rPr>
      </w:pPr>
    </w:p>
    <w:p w14:paraId="0618B3E3"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z w:val="22"/>
          <w:szCs w:val="22"/>
          <w:lang w:val="en-US"/>
        </w:rPr>
      </w:pPr>
      <w:r w:rsidRPr="003656FA">
        <w:rPr>
          <w:rFonts w:ascii="Palatino Linotype" w:eastAsia="Times New Roman" w:hAnsi="Palatino Linotype"/>
          <w:sz w:val="22"/>
          <w:szCs w:val="22"/>
          <w:lang w:val="en-US"/>
        </w:rPr>
        <w:t>The US economy contracted by 32.9 per cent Q-o-Q (in annualised terms) in the Q2 of 2020, compared to contraction of 5.0 per cent in the Q1 of 2020. It is the biggest contraction ever, pushing the economy into a recession as the coronavirus pandemic forced many businesses to stay shut and people to stay at home during Q2 of 2020. The US unemployment rate fell to 8.4 per cent in August of 2020 from 10.2 percent in the previous month, as gradual re-opening of economy continues. The US PMI data indicate the pick-up in the economic activity in July 2020. The IHS Market’s US Composite PMI picked up to 54.6 in August 2020 from 50.3 in July 2020, highest since March 2019.</w:t>
      </w:r>
    </w:p>
    <w:p w14:paraId="7CB9C5D5" w14:textId="77777777" w:rsidR="003656FA" w:rsidRPr="003656FA" w:rsidRDefault="003656FA" w:rsidP="003656FA">
      <w:pPr>
        <w:spacing w:after="200" w:line="276" w:lineRule="auto"/>
        <w:ind w:left="720"/>
        <w:contextualSpacing/>
        <w:rPr>
          <w:rFonts w:ascii="Palatino Linotype" w:eastAsia="Times New Roman" w:hAnsi="Palatino Linotype"/>
          <w:sz w:val="22"/>
          <w:szCs w:val="22"/>
          <w:lang w:val="en-US"/>
        </w:rPr>
      </w:pPr>
    </w:p>
    <w:p w14:paraId="7DE76952"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z w:val="22"/>
          <w:szCs w:val="22"/>
          <w:lang w:val="en-US"/>
        </w:rPr>
      </w:pPr>
      <w:r w:rsidRPr="003656FA">
        <w:rPr>
          <w:rFonts w:ascii="Palatino Linotype" w:eastAsia="Times New Roman" w:hAnsi="Palatino Linotype"/>
          <w:sz w:val="22"/>
          <w:szCs w:val="22"/>
          <w:lang w:val="en-US"/>
        </w:rPr>
        <w:t xml:space="preserve">The UK economy contracted by 20.4 per cent Q-o-Q in Q2 of 2020, largest-ever contraction on record, as the coronavirus lockdown impacted the economic activity in the country. In the previous quarter GDP had contracted by 2.2 per cent Q-o-Q. The flash UK composite PMI for August 2020 rose to 59.1, compared to 57.0 in previous month. </w:t>
      </w:r>
    </w:p>
    <w:p w14:paraId="31C07330" w14:textId="77777777" w:rsidR="003656FA" w:rsidRPr="003656FA" w:rsidRDefault="003656FA" w:rsidP="003656FA">
      <w:pPr>
        <w:spacing w:before="100" w:beforeAutospacing="1" w:line="276" w:lineRule="auto"/>
        <w:ind w:left="360"/>
        <w:contextualSpacing/>
        <w:jc w:val="both"/>
        <w:rPr>
          <w:rFonts w:ascii="Palatino Linotype" w:eastAsia="Times New Roman" w:hAnsi="Palatino Linotype"/>
          <w:sz w:val="22"/>
          <w:szCs w:val="22"/>
          <w:lang w:val="en-US"/>
        </w:rPr>
      </w:pPr>
    </w:p>
    <w:p w14:paraId="3F0FD0C7"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z w:val="22"/>
          <w:szCs w:val="22"/>
          <w:lang w:val="en-US"/>
        </w:rPr>
      </w:pPr>
      <w:r w:rsidRPr="003656FA">
        <w:rPr>
          <w:rFonts w:ascii="Palatino Linotype" w:eastAsia="Times New Roman" w:hAnsi="Palatino Linotype"/>
          <w:sz w:val="22"/>
          <w:szCs w:val="22"/>
          <w:lang w:val="en-US"/>
        </w:rPr>
        <w:t xml:space="preserve">The Eurozone economy contracted by 12.1 per cent Q-o-Q in Q2 of 2020, after a contraction of 3.3 per cent in Q1 of 2020. Among the Member States, Spain (-18.5 per cent Q-o-Q) recorded the highest decline compared to the previous quarter, followed by Portugal (-14.1 per cent), France (-13.8 per cent), Italy (-12.4 per cent), and Germany (-10.1 per cent). The economic activity in the Eurozone declined in August 2020. The flash Eurozone composite PMI for August 2020 fell to 51.9, compared to 54.9 in July 2020. The IMF expects Eurozone output to contract by 10.2 per cent in 2020. </w:t>
      </w:r>
    </w:p>
    <w:p w14:paraId="5CC9420D" w14:textId="77777777" w:rsidR="003656FA" w:rsidRPr="003656FA" w:rsidRDefault="003656FA" w:rsidP="003656FA">
      <w:pPr>
        <w:spacing w:before="100" w:beforeAutospacing="1" w:line="276" w:lineRule="auto"/>
        <w:ind w:left="360"/>
        <w:contextualSpacing/>
        <w:jc w:val="both"/>
        <w:rPr>
          <w:rFonts w:ascii="Palatino Linotype" w:eastAsia="Times New Roman" w:hAnsi="Palatino Linotype"/>
          <w:sz w:val="22"/>
          <w:szCs w:val="22"/>
          <w:lang w:val="en-US"/>
        </w:rPr>
      </w:pPr>
    </w:p>
    <w:p w14:paraId="2FF7CBCF"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z w:val="22"/>
          <w:szCs w:val="22"/>
          <w:lang w:val="en-US"/>
        </w:rPr>
      </w:pPr>
      <w:r w:rsidRPr="003656FA">
        <w:rPr>
          <w:rFonts w:ascii="Palatino Linotype" w:eastAsia="Times New Roman" w:hAnsi="Palatino Linotype"/>
          <w:sz w:val="22"/>
          <w:szCs w:val="22"/>
          <w:lang w:val="en-US"/>
        </w:rPr>
        <w:t>The European Central Bank (ECB) decided to keep its interest rates and emergency coronavirus stimulus program unchanged, while it monitors the economic strength of the Euro zone. The core inflation in the Eurozone dropped unexpectedly to 0.4 per cent in August 2020 from 1.2 per cent in July 2020, which may cause ECB to introduce more monetary stimulus. In April 2020, the ECB started Pandemic Emergency Purchase Program (PEPP), a more flexible program of government bond purchases, and which it further expanded by 600 billion Euros in June 2020, bringing the size of the stimulus program to 1.35 trillion Euros ($1.54 trillion) to be deployed until June 2021, or until the bank believes the crisis is over.</w:t>
      </w:r>
    </w:p>
    <w:p w14:paraId="50528AEE" w14:textId="77777777" w:rsidR="003656FA" w:rsidRPr="003656FA" w:rsidRDefault="003656FA" w:rsidP="003656FA">
      <w:pPr>
        <w:spacing w:before="100" w:beforeAutospacing="1" w:line="276" w:lineRule="auto"/>
        <w:ind w:left="360"/>
        <w:contextualSpacing/>
        <w:jc w:val="both"/>
        <w:rPr>
          <w:rFonts w:ascii="Palatino Linotype" w:eastAsia="Times New Roman" w:hAnsi="Palatino Linotype"/>
          <w:sz w:val="22"/>
          <w:szCs w:val="22"/>
          <w:rtl/>
          <w:cs/>
          <w:lang w:val="en-US"/>
        </w:rPr>
      </w:pPr>
    </w:p>
    <w:p w14:paraId="09A8B849"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z w:val="22"/>
          <w:szCs w:val="22"/>
          <w:lang w:val="en-US"/>
        </w:rPr>
      </w:pPr>
      <w:r w:rsidRPr="003656FA">
        <w:rPr>
          <w:rFonts w:ascii="Palatino Linotype" w:eastAsia="Times New Roman" w:hAnsi="Palatino Linotype"/>
          <w:sz w:val="22"/>
          <w:szCs w:val="22"/>
          <w:lang w:val="en-US"/>
        </w:rPr>
        <w:t xml:space="preserve">GDP growth of China rebounded strongly by 3.2 per cent year-on-year in Q2 of 2020, after contracting by 6.8 per cent in Q1 of 2020. According to IMF projections, the Chinese economy is expected to slow down to 1.0 per cent in 2020 before recovering to strong growth of 8.2 per cent in 2021. </w:t>
      </w:r>
    </w:p>
    <w:p w14:paraId="28B28A9C" w14:textId="77777777" w:rsidR="003656FA" w:rsidRPr="003656FA" w:rsidRDefault="003656FA" w:rsidP="003656FA">
      <w:pPr>
        <w:spacing w:before="100" w:beforeAutospacing="1" w:line="276" w:lineRule="auto"/>
        <w:ind w:left="360"/>
        <w:contextualSpacing/>
        <w:jc w:val="both"/>
        <w:rPr>
          <w:rFonts w:ascii="Palatino Linotype" w:eastAsia="Times New Roman" w:hAnsi="Palatino Linotype"/>
          <w:sz w:val="22"/>
          <w:szCs w:val="22"/>
          <w:lang w:val="en-US"/>
        </w:rPr>
      </w:pPr>
    </w:p>
    <w:p w14:paraId="647C3E17"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z w:val="22"/>
          <w:szCs w:val="22"/>
          <w:lang w:val="en-US"/>
        </w:rPr>
      </w:pPr>
      <w:r w:rsidRPr="003656FA">
        <w:rPr>
          <w:rFonts w:ascii="Palatino Linotype" w:eastAsia="Times New Roman" w:hAnsi="Palatino Linotype"/>
          <w:sz w:val="22"/>
          <w:szCs w:val="22"/>
          <w:lang w:val="en-US"/>
        </w:rPr>
        <w:t xml:space="preserve">India’s GDP growth contracted sharply by 23.9 per cent Y-o-Y in Q1 of 2020-21, the biggest contraction on record, compared to 3.1 per cent in Q4 of 2019-20. The business activity in Construction (-50.3%), hotels and transportation (-47%) and manufacturing (-39.3%) sectors recorded the biggest falls. For the full financial year 2019-20, GDP of India grew by 4.2 per cent, compared to 6.1 per cent growth in 2018-19. </w:t>
      </w:r>
    </w:p>
    <w:p w14:paraId="0D66D3C5" w14:textId="77777777" w:rsidR="003656FA" w:rsidRPr="003656FA" w:rsidRDefault="003656FA" w:rsidP="003656FA">
      <w:pPr>
        <w:spacing w:after="200" w:line="276" w:lineRule="auto"/>
        <w:ind w:left="720"/>
        <w:contextualSpacing/>
        <w:rPr>
          <w:rFonts w:ascii="Palatino Linotype" w:eastAsia="Times New Roman" w:hAnsi="Palatino Linotype"/>
          <w:sz w:val="22"/>
          <w:szCs w:val="22"/>
          <w:lang w:val="en-US"/>
        </w:rPr>
      </w:pPr>
    </w:p>
    <w:p w14:paraId="3CD6F71F" w14:textId="77777777" w:rsidR="003656FA" w:rsidRPr="003656FA" w:rsidRDefault="003656FA" w:rsidP="003656FA">
      <w:pPr>
        <w:numPr>
          <w:ilvl w:val="0"/>
          <w:numId w:val="4"/>
        </w:numPr>
        <w:spacing w:before="100" w:beforeAutospacing="1" w:line="276" w:lineRule="auto"/>
        <w:contextualSpacing/>
        <w:jc w:val="both"/>
        <w:rPr>
          <w:rFonts w:ascii="Palatino Linotype" w:eastAsia="Times New Roman" w:hAnsi="Palatino Linotype"/>
          <w:sz w:val="22"/>
          <w:szCs w:val="22"/>
          <w:lang w:val="en-US"/>
        </w:rPr>
      </w:pPr>
      <w:r w:rsidRPr="003656FA">
        <w:rPr>
          <w:rFonts w:ascii="Palatino Linotype" w:eastAsia="Times New Roman" w:hAnsi="Palatino Linotype"/>
          <w:sz w:val="22"/>
          <w:szCs w:val="22"/>
          <w:lang w:val="en-US"/>
        </w:rPr>
        <w:t xml:space="preserve">Retail inflation (CPI Inflation) in India cooled marginally to 6.7 percent in August 2020 compared to 6.7 per cent in July 2020. India’s forex reserves grew to USD 542.0 billion at the end of August </w:t>
      </w:r>
      <w:r w:rsidRPr="003656FA">
        <w:rPr>
          <w:rFonts w:ascii="Palatino Linotype" w:eastAsia="Times New Roman" w:hAnsi="Palatino Linotype"/>
          <w:sz w:val="22"/>
          <w:szCs w:val="22"/>
          <w:lang w:val="en-US"/>
        </w:rPr>
        <w:lastRenderedPageBreak/>
        <w:t xml:space="preserve">2020, compared to USD 534.6 billion at the end of previous month. Index of Industrial Production (IIP) contracted at slower pace (-10.4 per cent Y-o-Y) in July 2020, compared to 16.6 per cent contraction in June 2020. However, concerns over growth lingered as India’s August manufacturing PMI fell to 51.4, the lowest reading in 15 months, from 52.5 in July 2020. On the other hand, even though the services PMI jumped to 41.8 in August from 34.2 in July, it continued to remain in the contraction zone. </w:t>
      </w:r>
    </w:p>
    <w:p w14:paraId="1DD32FD7" w14:textId="77777777" w:rsidR="003656FA" w:rsidRPr="003656FA" w:rsidRDefault="003656FA" w:rsidP="003656FA">
      <w:pPr>
        <w:spacing w:line="23" w:lineRule="atLeast"/>
        <w:ind w:left="720"/>
        <w:contextualSpacing/>
        <w:rPr>
          <w:rFonts w:ascii="Garamond" w:eastAsia="Times New Roman" w:hAnsi="Garamond"/>
          <w:b/>
          <w:strike/>
          <w:lang w:val="en-US" w:eastAsia="en-GB"/>
        </w:rPr>
      </w:pPr>
    </w:p>
    <w:p w14:paraId="49DEFAD6" w14:textId="77777777" w:rsidR="003656FA" w:rsidRPr="003656FA" w:rsidRDefault="003656FA" w:rsidP="003656FA">
      <w:pPr>
        <w:spacing w:line="23" w:lineRule="atLeast"/>
        <w:ind w:left="720"/>
        <w:contextualSpacing/>
        <w:rPr>
          <w:rFonts w:ascii="Garamond" w:eastAsia="Times New Roman" w:hAnsi="Garamond"/>
          <w:b/>
          <w:strike/>
          <w:sz w:val="22"/>
          <w:szCs w:val="22"/>
          <w:lang w:val="en-US" w:eastAsia="en-GB"/>
        </w:rPr>
      </w:pPr>
    </w:p>
    <w:p w14:paraId="0A49B245" w14:textId="77777777" w:rsidR="003656FA" w:rsidRPr="003656FA" w:rsidRDefault="003656FA" w:rsidP="003656FA">
      <w:pPr>
        <w:spacing w:line="23" w:lineRule="atLeast"/>
        <w:ind w:left="180"/>
        <w:contextualSpacing/>
        <w:rPr>
          <w:rFonts w:ascii="Palatino Linotype" w:eastAsia="Times New Roman" w:hAnsi="Palatino Linotype"/>
          <w:b/>
          <w:sz w:val="22"/>
          <w:szCs w:val="22"/>
          <w:lang w:val="en-US" w:eastAsia="en-GB"/>
        </w:rPr>
      </w:pPr>
      <w:r w:rsidRPr="003656FA">
        <w:rPr>
          <w:rFonts w:ascii="Palatino Linotype" w:eastAsia="Times New Roman" w:hAnsi="Palatino Linotype"/>
          <w:b/>
          <w:sz w:val="22"/>
          <w:szCs w:val="22"/>
          <w:lang w:val="en-US" w:eastAsia="en-GB"/>
        </w:rPr>
        <w:t>Market Trends</w:t>
      </w:r>
      <w:r w:rsidRPr="003656FA">
        <w:rPr>
          <w:rFonts w:ascii="Palatino Linotype" w:eastAsia="Times New Roman" w:hAnsi="Palatino Linotype"/>
          <w:b/>
          <w:sz w:val="22"/>
          <w:szCs w:val="22"/>
          <w:vertAlign w:val="superscript"/>
          <w:lang w:val="en-US" w:eastAsia="en-GB"/>
        </w:rPr>
        <w:footnoteReference w:id="1"/>
      </w:r>
      <w:r w:rsidRPr="003656FA">
        <w:rPr>
          <w:rFonts w:ascii="Palatino Linotype" w:eastAsia="Times New Roman" w:hAnsi="Palatino Linotype"/>
          <w:b/>
          <w:sz w:val="22"/>
          <w:szCs w:val="22"/>
          <w:lang w:val="en-US" w:eastAsia="en-GB"/>
        </w:rPr>
        <w:t xml:space="preserve"> – </w:t>
      </w:r>
    </w:p>
    <w:p w14:paraId="4848C254" w14:textId="77777777" w:rsidR="003656FA" w:rsidRPr="003656FA" w:rsidRDefault="003656FA" w:rsidP="003656FA">
      <w:pPr>
        <w:spacing w:line="23" w:lineRule="atLeast"/>
        <w:ind w:left="180"/>
        <w:contextualSpacing/>
        <w:rPr>
          <w:rFonts w:ascii="Palatino Linotype" w:eastAsia="Times New Roman" w:hAnsi="Palatino Linotype"/>
          <w:b/>
          <w:sz w:val="22"/>
          <w:szCs w:val="22"/>
          <w:lang w:val="en-US" w:eastAsia="en-GB"/>
        </w:rPr>
      </w:pPr>
    </w:p>
    <w:p w14:paraId="2A53F260" w14:textId="77777777" w:rsidR="003656FA" w:rsidRPr="003656FA" w:rsidRDefault="003656FA" w:rsidP="003656FA">
      <w:pPr>
        <w:spacing w:line="360" w:lineRule="auto"/>
        <w:ind w:left="720"/>
        <w:contextualSpacing/>
        <w:rPr>
          <w:rFonts w:ascii="Palatino Linotype" w:eastAsia="Times New Roman" w:hAnsi="Palatino Linotype"/>
          <w:b/>
          <w:sz w:val="22"/>
          <w:szCs w:val="22"/>
          <w:lang w:val="en-US" w:eastAsia="en-GB"/>
        </w:rPr>
      </w:pPr>
      <w:r w:rsidRPr="003656FA">
        <w:rPr>
          <w:rFonts w:ascii="Palatino Linotype" w:eastAsia="Times New Roman" w:hAnsi="Palatino Linotype"/>
          <w:b/>
          <w:sz w:val="22"/>
          <w:szCs w:val="22"/>
          <w:u w:val="single"/>
          <w:lang w:val="en-US" w:eastAsia="en-GB"/>
        </w:rPr>
        <w:t>Equity Markets (Figures 1-2, Table A1)</w:t>
      </w:r>
      <w:r w:rsidRPr="003656FA">
        <w:rPr>
          <w:rFonts w:ascii="Palatino Linotype" w:eastAsia="Times New Roman" w:hAnsi="Palatino Linotype"/>
          <w:b/>
          <w:sz w:val="22"/>
          <w:szCs w:val="22"/>
          <w:lang w:val="en-US" w:eastAsia="en-GB"/>
        </w:rPr>
        <w:t>-</w:t>
      </w:r>
    </w:p>
    <w:p w14:paraId="718608E4" w14:textId="77777777" w:rsidR="003656FA" w:rsidRPr="003656FA" w:rsidRDefault="003656FA" w:rsidP="003656FA">
      <w:pPr>
        <w:numPr>
          <w:ilvl w:val="0"/>
          <w:numId w:val="4"/>
        </w:numPr>
        <w:spacing w:line="276" w:lineRule="auto"/>
        <w:ind w:left="357" w:hanging="357"/>
        <w:jc w:val="both"/>
        <w:rPr>
          <w:rFonts w:ascii="Palatino Linotype" w:eastAsia="Times New Roman" w:hAnsi="Palatino Linotype"/>
          <w:bCs/>
          <w:color w:val="FF0000"/>
          <w:sz w:val="22"/>
          <w:szCs w:val="22"/>
          <w:lang w:val="en-US" w:eastAsia="en-GB"/>
        </w:rPr>
      </w:pPr>
      <w:r w:rsidRPr="003656FA">
        <w:rPr>
          <w:rFonts w:ascii="Palatino Linotype" w:eastAsia="Times New Roman" w:hAnsi="Palatino Linotype"/>
          <w:bCs/>
          <w:sz w:val="22"/>
          <w:szCs w:val="22"/>
          <w:lang w:val="en-US" w:eastAsia="en-GB"/>
        </w:rPr>
        <w:t>In the month of August 2020, highest annualized monthly volatility amongst the BRICS countries was observed in Shanghai Composite (32.5 per cent) followed by Brazil IBOVESPA Index (</w:t>
      </w:r>
      <w:r w:rsidRPr="003656FA">
        <w:rPr>
          <w:rFonts w:ascii="Palatino Linotype" w:eastAsia="Times New Roman" w:hAnsi="Palatino Linotype"/>
          <w:sz w:val="22"/>
          <w:szCs w:val="22"/>
          <w:lang w:val="en-IN" w:eastAsia="en-IN"/>
        </w:rPr>
        <w:t>31.1 per cent</w:t>
      </w:r>
      <w:r w:rsidRPr="003656FA">
        <w:rPr>
          <w:rFonts w:ascii="Palatino Linotype" w:eastAsia="Times New Roman" w:hAnsi="Palatino Linotype"/>
          <w:bCs/>
          <w:sz w:val="22"/>
          <w:szCs w:val="22"/>
          <w:lang w:val="en-US" w:eastAsia="en-GB"/>
        </w:rPr>
        <w:t xml:space="preserve">). The lowest annualized volatility among BRICS was observed in Nifty 50 (16.6 per cent) and S&amp;P BSE SENSEX (16.6 per cent). Among the developed markets, highest annualized volatility was observed in South Korea KOSPI (27.7 per cent) and the lowest was observed at US Dow Jones (13.6 per cent)). </w:t>
      </w:r>
    </w:p>
    <w:p w14:paraId="3E0FFFA0" w14:textId="77777777" w:rsidR="003656FA" w:rsidRPr="003656FA" w:rsidRDefault="003656FA" w:rsidP="003656FA">
      <w:pPr>
        <w:spacing w:line="276" w:lineRule="auto"/>
        <w:ind w:left="357"/>
        <w:jc w:val="both"/>
        <w:rPr>
          <w:rFonts w:ascii="Garamond" w:eastAsia="Times New Roman" w:hAnsi="Garamond"/>
          <w:bCs/>
          <w:color w:val="FF0000"/>
          <w:lang w:val="en-US" w:eastAsia="en-GB"/>
        </w:rPr>
      </w:pPr>
    </w:p>
    <w:p w14:paraId="06CE6D14" w14:textId="77777777" w:rsidR="003656FA" w:rsidRPr="003656FA" w:rsidRDefault="003656FA" w:rsidP="003656FA">
      <w:pPr>
        <w:numPr>
          <w:ilvl w:val="0"/>
          <w:numId w:val="4"/>
        </w:numPr>
        <w:spacing w:line="276" w:lineRule="auto"/>
        <w:contextualSpacing/>
        <w:jc w:val="both"/>
        <w:rPr>
          <w:rFonts w:ascii="Palatino Linotype" w:eastAsia="Times New Roman" w:hAnsi="Palatino Linotype"/>
          <w:bCs/>
          <w:sz w:val="22"/>
          <w:szCs w:val="22"/>
          <w:lang w:val="en-US" w:eastAsia="en-GB"/>
        </w:rPr>
      </w:pPr>
      <w:r w:rsidRPr="003656FA">
        <w:rPr>
          <w:rFonts w:ascii="Palatino Linotype" w:eastAsia="Times New Roman" w:hAnsi="Palatino Linotype"/>
          <w:bCs/>
          <w:sz w:val="22"/>
          <w:szCs w:val="22"/>
          <w:lang w:val="en-US" w:eastAsia="en-GB"/>
        </w:rPr>
        <w:t>In more than half of the analyzed markets, monthly growth was observed in indices during August 2020. In BRICS nations the highest growth was observed in India (Nifty 50 (2.8 per cent) and S&amp;P BSE SENSEX (2.7 per cent)) followed by</w:t>
      </w:r>
      <w:r w:rsidRPr="003656FA">
        <w:t xml:space="preserve"> </w:t>
      </w:r>
      <w:r w:rsidRPr="003656FA">
        <w:rPr>
          <w:rFonts w:ascii="Palatino Linotype" w:eastAsia="Times New Roman" w:hAnsi="Palatino Linotype"/>
          <w:bCs/>
          <w:sz w:val="22"/>
          <w:szCs w:val="22"/>
          <w:lang w:val="en-US" w:eastAsia="en-GB"/>
        </w:rPr>
        <w:t xml:space="preserve">Shanghai Composite (2.6 per cent). The lowest monthly growth was observed in Brazil IBOVESPA (-3.4 per cent) followed by South Africa FTSE (-0.4 per cent). Among the developed economies, in the month of August 2020, highest growth was observed for USA Nasdaq (9.6 per cent) followed by US Down Jones (7.6 per cent) and Japan </w:t>
      </w:r>
      <w:r w:rsidR="00080500" w:rsidRPr="003656FA">
        <w:rPr>
          <w:rFonts w:ascii="Palatino Linotype" w:eastAsia="Times New Roman" w:hAnsi="Palatino Linotype"/>
          <w:bCs/>
          <w:sz w:val="22"/>
          <w:szCs w:val="22"/>
          <w:lang w:val="en-US" w:eastAsia="en-GB"/>
        </w:rPr>
        <w:t>Nikkei</w:t>
      </w:r>
      <w:r w:rsidRPr="003656FA">
        <w:rPr>
          <w:rFonts w:ascii="Palatino Linotype" w:eastAsia="Times New Roman" w:hAnsi="Palatino Linotype"/>
          <w:bCs/>
          <w:sz w:val="22"/>
          <w:szCs w:val="22"/>
          <w:lang w:val="en-US" w:eastAsia="en-GB"/>
        </w:rPr>
        <w:t xml:space="preserve"> (6.6 per cent). The lowest monthly growth was observed in Taiwan (-0.6 per cent) followed by Singapore STI (0.1 per cent) and UK FTSE (1.1 per cent). Growth for France CAC 40, Hong Kong HIS, and Germany DAX was 3.4, 2.4 and 5.1 per cent respectively. </w:t>
      </w:r>
    </w:p>
    <w:p w14:paraId="383B4479" w14:textId="77777777" w:rsidR="003656FA" w:rsidRPr="003656FA" w:rsidRDefault="003656FA" w:rsidP="003656FA">
      <w:pPr>
        <w:spacing w:line="276" w:lineRule="auto"/>
        <w:jc w:val="both"/>
        <w:rPr>
          <w:rFonts w:ascii="Palatino Linotype" w:eastAsia="Times New Roman" w:hAnsi="Palatino Linotype"/>
          <w:bCs/>
          <w:sz w:val="22"/>
          <w:szCs w:val="22"/>
          <w:lang w:eastAsia="en-GB"/>
        </w:rPr>
      </w:pPr>
    </w:p>
    <w:p w14:paraId="54BEB63D" w14:textId="77777777" w:rsidR="003656FA" w:rsidRPr="003656FA" w:rsidRDefault="003656FA" w:rsidP="003656FA">
      <w:pPr>
        <w:rPr>
          <w:rFonts w:ascii="Garamond" w:hAnsi="Garamond"/>
          <w:b/>
          <w:bCs/>
          <w:noProof/>
          <w:lang w:val="en-US"/>
        </w:rPr>
      </w:pPr>
      <w:r w:rsidRPr="003656FA">
        <w:rPr>
          <w:rFonts w:ascii="Garamond" w:hAnsi="Garamond"/>
          <w:b/>
          <w:bCs/>
          <w:noProof/>
          <w:lang w:val="en-US"/>
        </w:rPr>
        <w:br w:type="page"/>
      </w:r>
    </w:p>
    <w:p w14:paraId="33622BA9" w14:textId="77777777" w:rsidR="003656FA" w:rsidRPr="003656FA" w:rsidRDefault="003656FA" w:rsidP="003656FA">
      <w:pPr>
        <w:spacing w:line="23" w:lineRule="atLeast"/>
        <w:jc w:val="both"/>
        <w:outlineLvl w:val="0"/>
        <w:rPr>
          <w:rFonts w:ascii="Garamond" w:hAnsi="Garamond"/>
          <w:b/>
          <w:bCs/>
          <w:szCs w:val="22"/>
        </w:rPr>
      </w:pPr>
      <w:r w:rsidRPr="003656FA">
        <w:rPr>
          <w:rFonts w:ascii="Garamond" w:hAnsi="Garamond"/>
          <w:b/>
          <w:bCs/>
          <w:noProof/>
          <w:lang w:val="en-US"/>
        </w:rPr>
        <w:lastRenderedPageBreak/>
        <w:t>Figure</w:t>
      </w:r>
      <w:r w:rsidRPr="003656FA">
        <w:rPr>
          <w:rFonts w:ascii="Garamond" w:hAnsi="Garamond"/>
          <w:b/>
          <w:bCs/>
          <w:szCs w:val="22"/>
        </w:rPr>
        <w:t xml:space="preserve"> 1: Stock Market Trends in Selected Developed Markets</w:t>
      </w:r>
    </w:p>
    <w:p w14:paraId="5831C2A4" w14:textId="77777777" w:rsidR="003656FA" w:rsidRPr="003656FA" w:rsidRDefault="003656FA" w:rsidP="003656FA">
      <w:pPr>
        <w:spacing w:line="23" w:lineRule="atLeast"/>
        <w:jc w:val="both"/>
        <w:outlineLvl w:val="0"/>
        <w:rPr>
          <w:rFonts w:ascii="Garamond" w:hAnsi="Garamond"/>
          <w:bCs/>
          <w:sz w:val="22"/>
          <w:szCs w:val="22"/>
        </w:rPr>
      </w:pPr>
    </w:p>
    <w:p w14:paraId="0804FC07" w14:textId="7653EF11" w:rsidR="003656FA" w:rsidRPr="003656FA" w:rsidRDefault="0041286F" w:rsidP="003656FA">
      <w:pPr>
        <w:spacing w:line="23" w:lineRule="atLeast"/>
        <w:jc w:val="both"/>
        <w:outlineLvl w:val="0"/>
        <w:rPr>
          <w:rFonts w:ascii="Garamond" w:hAnsi="Garamond"/>
          <w:bCs/>
          <w:sz w:val="18"/>
          <w:szCs w:val="18"/>
        </w:rPr>
      </w:pPr>
      <w:r>
        <w:rPr>
          <w:rFonts w:ascii="Garamond" w:hAnsi="Garamond"/>
          <w:bCs/>
          <w:noProof/>
          <w:sz w:val="18"/>
          <w:szCs w:val="18"/>
          <w:lang w:val="en-IN" w:eastAsia="en-IN" w:bidi="hi-IN"/>
        </w:rPr>
        <w:drawing>
          <wp:inline distT="0" distB="0" distL="0" distR="0" wp14:anchorId="0294AE1C" wp14:editId="0CEFA737">
            <wp:extent cx="5905301" cy="369824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7902" cy="3706131"/>
                    </a:xfrm>
                    <a:prstGeom prst="rect">
                      <a:avLst/>
                    </a:prstGeom>
                    <a:noFill/>
                  </pic:spPr>
                </pic:pic>
              </a:graphicData>
            </a:graphic>
          </wp:inline>
        </w:drawing>
      </w:r>
    </w:p>
    <w:p w14:paraId="424541FA" w14:textId="77777777" w:rsidR="003656FA" w:rsidRPr="003656FA" w:rsidRDefault="003656FA" w:rsidP="003656FA">
      <w:pPr>
        <w:spacing w:line="23" w:lineRule="atLeast"/>
        <w:jc w:val="both"/>
        <w:outlineLvl w:val="0"/>
        <w:rPr>
          <w:rFonts w:ascii="Garamond" w:hAnsi="Garamond"/>
          <w:bCs/>
          <w:sz w:val="18"/>
          <w:szCs w:val="18"/>
        </w:rPr>
      </w:pPr>
      <w:r w:rsidRPr="003656FA">
        <w:rPr>
          <w:rFonts w:ascii="Garamond" w:hAnsi="Garamond"/>
          <w:bCs/>
          <w:sz w:val="18"/>
          <w:szCs w:val="18"/>
        </w:rPr>
        <w:t>Note: All indices have been normalised to 100 on 31 August 2019.</w:t>
      </w:r>
    </w:p>
    <w:p w14:paraId="7600FED1" w14:textId="77777777" w:rsidR="003656FA" w:rsidRPr="003656FA" w:rsidRDefault="003656FA" w:rsidP="003656FA">
      <w:pPr>
        <w:spacing w:line="23" w:lineRule="atLeast"/>
        <w:jc w:val="both"/>
        <w:outlineLvl w:val="0"/>
        <w:rPr>
          <w:rFonts w:ascii="Garamond" w:hAnsi="Garamond"/>
          <w:bCs/>
          <w:sz w:val="18"/>
          <w:szCs w:val="18"/>
        </w:rPr>
      </w:pPr>
      <w:r w:rsidRPr="003656FA">
        <w:rPr>
          <w:rFonts w:ascii="Garamond" w:hAnsi="Garamond"/>
          <w:bCs/>
          <w:sz w:val="18"/>
          <w:szCs w:val="18"/>
        </w:rPr>
        <w:t>Source: Bloomberg</w:t>
      </w:r>
    </w:p>
    <w:p w14:paraId="1F3C8074" w14:textId="77777777" w:rsidR="003656FA" w:rsidRPr="003656FA" w:rsidRDefault="003656FA" w:rsidP="003656FA">
      <w:pPr>
        <w:spacing w:line="23" w:lineRule="atLeast"/>
        <w:rPr>
          <w:rFonts w:ascii="Garamond" w:hAnsi="Garamond"/>
          <w:bCs/>
          <w:sz w:val="22"/>
          <w:szCs w:val="22"/>
        </w:rPr>
      </w:pPr>
    </w:p>
    <w:p w14:paraId="6F18A499" w14:textId="77777777" w:rsidR="003656FA" w:rsidRPr="003656FA" w:rsidRDefault="003656FA" w:rsidP="003656FA">
      <w:pPr>
        <w:spacing w:line="23" w:lineRule="atLeast"/>
        <w:rPr>
          <w:rFonts w:ascii="Garamond" w:hAnsi="Garamond"/>
          <w:b/>
          <w:bCs/>
          <w:szCs w:val="22"/>
        </w:rPr>
      </w:pPr>
    </w:p>
    <w:p w14:paraId="1F6F8635" w14:textId="77777777" w:rsidR="003656FA" w:rsidRPr="003656FA" w:rsidRDefault="003656FA" w:rsidP="003656FA">
      <w:pPr>
        <w:spacing w:line="23" w:lineRule="atLeast"/>
        <w:rPr>
          <w:rFonts w:ascii="Garamond" w:hAnsi="Garamond"/>
          <w:b/>
          <w:bCs/>
          <w:szCs w:val="22"/>
        </w:rPr>
      </w:pPr>
      <w:r w:rsidRPr="003656FA">
        <w:rPr>
          <w:rFonts w:ascii="Garamond" w:hAnsi="Garamond"/>
          <w:b/>
          <w:bCs/>
          <w:szCs w:val="22"/>
        </w:rPr>
        <w:t>Figure 2: Stock Market Trends in Selected Emerging Markets</w:t>
      </w:r>
    </w:p>
    <w:p w14:paraId="147C6637" w14:textId="619369C6" w:rsidR="003656FA" w:rsidRPr="003656FA" w:rsidRDefault="0041286F" w:rsidP="003656FA">
      <w:pPr>
        <w:spacing w:line="23" w:lineRule="atLeast"/>
        <w:rPr>
          <w:rFonts w:ascii="Garamond" w:hAnsi="Garamond"/>
          <w:bCs/>
          <w:sz w:val="22"/>
          <w:szCs w:val="22"/>
        </w:rPr>
      </w:pPr>
      <w:r>
        <w:rPr>
          <w:rFonts w:ascii="Garamond" w:hAnsi="Garamond"/>
          <w:bCs/>
          <w:noProof/>
          <w:sz w:val="22"/>
          <w:szCs w:val="22"/>
          <w:lang w:val="en-IN" w:eastAsia="en-IN" w:bidi="hi-IN"/>
        </w:rPr>
        <w:drawing>
          <wp:inline distT="0" distB="0" distL="0" distR="0" wp14:anchorId="639CE2CA" wp14:editId="6CF940F0">
            <wp:extent cx="5886450" cy="36851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8225" cy="3698736"/>
                    </a:xfrm>
                    <a:prstGeom prst="rect">
                      <a:avLst/>
                    </a:prstGeom>
                    <a:noFill/>
                  </pic:spPr>
                </pic:pic>
              </a:graphicData>
            </a:graphic>
          </wp:inline>
        </w:drawing>
      </w:r>
    </w:p>
    <w:p w14:paraId="0369FFFC" w14:textId="77777777" w:rsidR="003656FA" w:rsidRPr="003656FA" w:rsidRDefault="003656FA" w:rsidP="003656FA">
      <w:pPr>
        <w:spacing w:line="23" w:lineRule="atLeast"/>
        <w:jc w:val="both"/>
        <w:outlineLvl w:val="0"/>
        <w:rPr>
          <w:rFonts w:ascii="Garamond" w:hAnsi="Garamond"/>
          <w:bCs/>
          <w:sz w:val="18"/>
          <w:szCs w:val="18"/>
        </w:rPr>
      </w:pPr>
      <w:r w:rsidRPr="003656FA">
        <w:rPr>
          <w:rFonts w:ascii="Garamond" w:hAnsi="Garamond"/>
          <w:bCs/>
          <w:sz w:val="18"/>
          <w:szCs w:val="18"/>
        </w:rPr>
        <w:t>Note: All indices have been normalised to 100 on 31 August 2019.</w:t>
      </w:r>
    </w:p>
    <w:p w14:paraId="148E1C46" w14:textId="77777777" w:rsidR="003656FA" w:rsidRPr="003656FA" w:rsidRDefault="003656FA" w:rsidP="003656FA">
      <w:pPr>
        <w:spacing w:line="23" w:lineRule="atLeast"/>
        <w:jc w:val="both"/>
        <w:outlineLvl w:val="0"/>
        <w:rPr>
          <w:rFonts w:ascii="Garamond" w:hAnsi="Garamond"/>
          <w:bCs/>
          <w:sz w:val="18"/>
          <w:szCs w:val="18"/>
        </w:rPr>
      </w:pPr>
      <w:r w:rsidRPr="003656FA">
        <w:rPr>
          <w:rFonts w:ascii="Garamond" w:hAnsi="Garamond"/>
          <w:bCs/>
          <w:sz w:val="18"/>
          <w:szCs w:val="18"/>
        </w:rPr>
        <w:t>Source: Bloomberg</w:t>
      </w:r>
    </w:p>
    <w:p w14:paraId="2ADF65F9" w14:textId="77777777" w:rsidR="003656FA" w:rsidRPr="003656FA" w:rsidRDefault="003656FA" w:rsidP="003656FA">
      <w:pPr>
        <w:spacing w:line="23" w:lineRule="atLeast"/>
        <w:ind w:left="360"/>
        <w:contextualSpacing/>
        <w:jc w:val="both"/>
        <w:rPr>
          <w:rFonts w:ascii="Garamond" w:eastAsia="Calibri" w:hAnsi="Garamond"/>
          <w:bCs/>
          <w:strike/>
          <w:sz w:val="22"/>
          <w:szCs w:val="22"/>
          <w:lang w:val="en-US"/>
        </w:rPr>
      </w:pPr>
    </w:p>
    <w:p w14:paraId="5757D24E" w14:textId="77777777" w:rsidR="003656FA" w:rsidRPr="003656FA" w:rsidRDefault="003656FA" w:rsidP="003656FA">
      <w:pPr>
        <w:spacing w:line="360" w:lineRule="auto"/>
        <w:ind w:left="720"/>
        <w:contextualSpacing/>
        <w:rPr>
          <w:rFonts w:ascii="Garamond" w:eastAsia="Times New Roman" w:hAnsi="Garamond"/>
          <w:b/>
          <w:szCs w:val="22"/>
          <w:u w:val="single"/>
          <w:lang w:val="en-US" w:eastAsia="en-GB"/>
        </w:rPr>
      </w:pPr>
    </w:p>
    <w:p w14:paraId="5F2BD3CC" w14:textId="77777777" w:rsidR="003656FA" w:rsidRPr="003656FA" w:rsidRDefault="003656FA" w:rsidP="003656FA">
      <w:pPr>
        <w:spacing w:line="276" w:lineRule="auto"/>
        <w:ind w:left="720"/>
        <w:contextualSpacing/>
        <w:rPr>
          <w:rFonts w:ascii="Garamond" w:eastAsia="Calibri" w:hAnsi="Garamond"/>
          <w:bCs/>
          <w:strike/>
          <w:sz w:val="22"/>
          <w:szCs w:val="22"/>
          <w:lang w:val="en-US"/>
        </w:rPr>
      </w:pPr>
      <w:r w:rsidRPr="003656FA">
        <w:rPr>
          <w:rFonts w:ascii="Garamond" w:eastAsia="Times New Roman" w:hAnsi="Garamond"/>
          <w:b/>
          <w:sz w:val="22"/>
          <w:szCs w:val="22"/>
          <w:u w:val="single"/>
          <w:lang w:val="en-US" w:eastAsia="en-GB"/>
        </w:rPr>
        <w:lastRenderedPageBreak/>
        <w:t>BOND Market (Figures 3 - 4)</w:t>
      </w:r>
    </w:p>
    <w:p w14:paraId="2F6934AB" w14:textId="77777777" w:rsidR="003656FA" w:rsidRPr="003656FA" w:rsidRDefault="003656FA" w:rsidP="003656FA">
      <w:pPr>
        <w:numPr>
          <w:ilvl w:val="0"/>
          <w:numId w:val="4"/>
        </w:numPr>
        <w:spacing w:line="276" w:lineRule="auto"/>
        <w:contextualSpacing/>
        <w:jc w:val="both"/>
        <w:rPr>
          <w:rFonts w:ascii="Palatino Linotype" w:eastAsia="Calibri" w:hAnsi="Palatino Linotype"/>
          <w:bCs/>
          <w:color w:val="FF0000"/>
          <w:sz w:val="22"/>
          <w:szCs w:val="22"/>
          <w:lang w:val="en-US"/>
        </w:rPr>
      </w:pPr>
      <w:r w:rsidRPr="003656FA">
        <w:rPr>
          <w:rFonts w:ascii="Palatino Linotype" w:eastAsia="Times New Roman" w:hAnsi="Palatino Linotype"/>
          <w:bCs/>
          <w:color w:val="000000" w:themeColor="text1"/>
          <w:sz w:val="22"/>
          <w:szCs w:val="22"/>
          <w:lang w:val="en-US" w:eastAsia="en-GB"/>
        </w:rPr>
        <w:t>Among the countries analysed for bond yield</w:t>
      </w:r>
      <w:r w:rsidRPr="003656FA">
        <w:rPr>
          <w:rFonts w:ascii="Palatino Linotype" w:eastAsia="Times New Roman" w:hAnsi="Palatino Linotype"/>
          <w:bCs/>
          <w:color w:val="000000" w:themeColor="text1"/>
          <w:sz w:val="22"/>
          <w:szCs w:val="22"/>
          <w:vertAlign w:val="superscript"/>
          <w:lang w:val="en-US" w:eastAsia="en-GB"/>
        </w:rPr>
        <w:footnoteReference w:id="2"/>
      </w:r>
      <w:r w:rsidRPr="003656FA">
        <w:rPr>
          <w:rFonts w:ascii="Palatino Linotype" w:eastAsia="Times New Roman" w:hAnsi="Palatino Linotype"/>
          <w:bCs/>
          <w:color w:val="000000" w:themeColor="text1"/>
          <w:sz w:val="22"/>
          <w:szCs w:val="22"/>
          <w:lang w:val="en-US" w:eastAsia="en-GB"/>
        </w:rPr>
        <w:t>, 10-year bond yield showed a positive change for most developed and developing economies (Chart 3 &amp; 4) except for Germany and Russia in August 2020.</w:t>
      </w:r>
    </w:p>
    <w:p w14:paraId="72164BC0" w14:textId="77777777" w:rsidR="003656FA" w:rsidRPr="003656FA" w:rsidRDefault="003656FA" w:rsidP="003656FA">
      <w:pPr>
        <w:spacing w:line="276" w:lineRule="auto"/>
        <w:ind w:left="360"/>
        <w:contextualSpacing/>
        <w:jc w:val="both"/>
        <w:rPr>
          <w:rFonts w:ascii="Palatino Linotype" w:eastAsia="Calibri" w:hAnsi="Palatino Linotype"/>
          <w:bCs/>
          <w:color w:val="FF0000"/>
          <w:sz w:val="22"/>
          <w:szCs w:val="22"/>
          <w:lang w:val="en-US"/>
        </w:rPr>
      </w:pPr>
    </w:p>
    <w:p w14:paraId="5C64F777" w14:textId="77777777" w:rsidR="003656FA" w:rsidRPr="003656FA" w:rsidRDefault="003656FA" w:rsidP="003656FA">
      <w:pPr>
        <w:spacing w:line="23" w:lineRule="atLeast"/>
        <w:rPr>
          <w:rFonts w:ascii="Garamond" w:hAnsi="Garamond"/>
          <w:bCs/>
          <w:strike/>
          <w:sz w:val="22"/>
          <w:szCs w:val="22"/>
        </w:rPr>
      </w:pPr>
    </w:p>
    <w:p w14:paraId="28766DAB" w14:textId="77777777" w:rsidR="003656FA" w:rsidRPr="003656FA" w:rsidRDefault="003656FA" w:rsidP="003656FA">
      <w:pPr>
        <w:rPr>
          <w:rFonts w:ascii="Garamond" w:hAnsi="Garamond"/>
          <w:b/>
          <w:bCs/>
          <w:szCs w:val="22"/>
        </w:rPr>
      </w:pPr>
      <w:r w:rsidRPr="003656FA">
        <w:rPr>
          <w:rFonts w:ascii="Garamond" w:hAnsi="Garamond"/>
          <w:b/>
          <w:bCs/>
          <w:szCs w:val="22"/>
        </w:rPr>
        <w:t>Figure 3: Movement of 10-year Government Bond Yields in Developed Nations</w:t>
      </w:r>
    </w:p>
    <w:p w14:paraId="625A0000" w14:textId="77777777" w:rsidR="003656FA" w:rsidRPr="003656FA" w:rsidRDefault="003656FA" w:rsidP="003656FA">
      <w:pPr>
        <w:rPr>
          <w:rFonts w:ascii="Garamond" w:hAnsi="Garamond"/>
          <w:bCs/>
          <w:sz w:val="22"/>
          <w:szCs w:val="22"/>
        </w:rPr>
      </w:pPr>
    </w:p>
    <w:p w14:paraId="31BEF9C2" w14:textId="3071D51C" w:rsidR="003656FA" w:rsidRPr="003656FA" w:rsidRDefault="00B1679C" w:rsidP="003656FA">
      <w:pPr>
        <w:spacing w:line="23" w:lineRule="atLeast"/>
        <w:jc w:val="both"/>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649FB4A4" wp14:editId="209015A9">
            <wp:extent cx="5805036" cy="303119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6714" cy="3042516"/>
                    </a:xfrm>
                    <a:prstGeom prst="rect">
                      <a:avLst/>
                    </a:prstGeom>
                    <a:noFill/>
                  </pic:spPr>
                </pic:pic>
              </a:graphicData>
            </a:graphic>
          </wp:inline>
        </w:drawing>
      </w:r>
    </w:p>
    <w:p w14:paraId="068067B0" w14:textId="77777777" w:rsidR="003656FA" w:rsidRPr="003656FA" w:rsidRDefault="003656FA" w:rsidP="003656FA">
      <w:pPr>
        <w:spacing w:line="23" w:lineRule="atLeast"/>
        <w:jc w:val="both"/>
        <w:outlineLvl w:val="0"/>
        <w:rPr>
          <w:rFonts w:ascii="Garamond" w:hAnsi="Garamond"/>
          <w:bCs/>
          <w:sz w:val="18"/>
          <w:szCs w:val="18"/>
        </w:rPr>
      </w:pPr>
      <w:r w:rsidRPr="003656FA">
        <w:rPr>
          <w:rFonts w:ascii="Garamond" w:hAnsi="Garamond"/>
          <w:bCs/>
          <w:sz w:val="18"/>
          <w:szCs w:val="18"/>
        </w:rPr>
        <w:t>Source: Bloomberg</w:t>
      </w:r>
    </w:p>
    <w:p w14:paraId="0716871C" w14:textId="77777777" w:rsidR="003656FA" w:rsidRPr="003656FA" w:rsidRDefault="003656FA" w:rsidP="003656FA">
      <w:pPr>
        <w:spacing w:line="23" w:lineRule="atLeast"/>
        <w:jc w:val="both"/>
        <w:outlineLvl w:val="0"/>
        <w:rPr>
          <w:rFonts w:ascii="Garamond" w:hAnsi="Garamond"/>
          <w:bCs/>
          <w:sz w:val="22"/>
          <w:szCs w:val="22"/>
        </w:rPr>
      </w:pPr>
    </w:p>
    <w:p w14:paraId="0649EB2F" w14:textId="77777777" w:rsidR="003656FA" w:rsidRPr="003656FA" w:rsidRDefault="003656FA" w:rsidP="003656FA">
      <w:pPr>
        <w:rPr>
          <w:rFonts w:ascii="Garamond" w:hAnsi="Garamond"/>
          <w:bCs/>
          <w:strike/>
          <w:sz w:val="22"/>
          <w:szCs w:val="22"/>
        </w:rPr>
      </w:pPr>
    </w:p>
    <w:p w14:paraId="5CD00B6A" w14:textId="41FDF234" w:rsidR="003656FA" w:rsidRPr="003656FA" w:rsidRDefault="003656FA" w:rsidP="003656FA">
      <w:pPr>
        <w:spacing w:line="23" w:lineRule="atLeast"/>
        <w:jc w:val="both"/>
        <w:outlineLvl w:val="0"/>
        <w:rPr>
          <w:rFonts w:ascii="Garamond" w:hAnsi="Garamond"/>
          <w:b/>
          <w:bCs/>
          <w:szCs w:val="22"/>
        </w:rPr>
      </w:pPr>
      <w:r w:rsidRPr="003656FA">
        <w:rPr>
          <w:rFonts w:ascii="Garamond" w:hAnsi="Garamond"/>
          <w:b/>
          <w:bCs/>
          <w:szCs w:val="22"/>
        </w:rPr>
        <w:t>Figure 4: Movement of 10-year Government Bond Yields in BRIC Nations</w:t>
      </w:r>
    </w:p>
    <w:p w14:paraId="3452DB31" w14:textId="753D14E4" w:rsidR="003656FA" w:rsidRPr="003656FA" w:rsidRDefault="0064380B" w:rsidP="003656FA">
      <w:pPr>
        <w:spacing w:line="23" w:lineRule="atLeast"/>
        <w:jc w:val="both"/>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43576A4F" wp14:editId="0B963FBB">
            <wp:extent cx="5838825" cy="3048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58546" cy="3059138"/>
                    </a:xfrm>
                    <a:prstGeom prst="rect">
                      <a:avLst/>
                    </a:prstGeom>
                    <a:noFill/>
                  </pic:spPr>
                </pic:pic>
              </a:graphicData>
            </a:graphic>
          </wp:inline>
        </w:drawing>
      </w:r>
    </w:p>
    <w:p w14:paraId="69AFC00A" w14:textId="38535811" w:rsidR="003656FA" w:rsidRPr="003656FA" w:rsidRDefault="003656FA" w:rsidP="003656FA">
      <w:pPr>
        <w:spacing w:line="23" w:lineRule="atLeast"/>
        <w:jc w:val="both"/>
        <w:outlineLvl w:val="0"/>
        <w:rPr>
          <w:rFonts w:ascii="Garamond" w:hAnsi="Garamond"/>
          <w:bCs/>
          <w:sz w:val="18"/>
          <w:szCs w:val="18"/>
        </w:rPr>
      </w:pPr>
      <w:r w:rsidRPr="003656FA">
        <w:rPr>
          <w:rFonts w:ascii="Garamond" w:hAnsi="Garamond"/>
          <w:bCs/>
          <w:sz w:val="18"/>
          <w:szCs w:val="18"/>
        </w:rPr>
        <w:t>Source: Bloomberg</w:t>
      </w:r>
    </w:p>
    <w:p w14:paraId="1667264A" w14:textId="21178BEB" w:rsidR="003656FA" w:rsidRPr="003656FA" w:rsidRDefault="003656FA" w:rsidP="003656FA">
      <w:pPr>
        <w:spacing w:line="23" w:lineRule="atLeast"/>
        <w:jc w:val="both"/>
        <w:rPr>
          <w:rFonts w:ascii="Garamond" w:eastAsia="Times New Roman" w:hAnsi="Garamond"/>
          <w:bCs/>
          <w:sz w:val="22"/>
          <w:szCs w:val="22"/>
          <w:lang w:val="en-US"/>
        </w:rPr>
      </w:pPr>
    </w:p>
    <w:p w14:paraId="0E349284" w14:textId="77777777" w:rsidR="003656FA" w:rsidRPr="003656FA" w:rsidRDefault="003656FA" w:rsidP="003656FA">
      <w:pPr>
        <w:spacing w:line="23" w:lineRule="atLeast"/>
        <w:jc w:val="both"/>
        <w:rPr>
          <w:rFonts w:ascii="Garamond" w:eastAsia="Times New Roman" w:hAnsi="Garamond"/>
          <w:b/>
          <w:strike/>
          <w:szCs w:val="22"/>
          <w:u w:val="single"/>
          <w:lang w:val="en-US"/>
        </w:rPr>
      </w:pPr>
    </w:p>
    <w:p w14:paraId="11E59D2F" w14:textId="77777777" w:rsidR="003656FA" w:rsidRPr="003656FA" w:rsidRDefault="003656FA" w:rsidP="003656FA">
      <w:pPr>
        <w:spacing w:line="360" w:lineRule="auto"/>
        <w:jc w:val="both"/>
        <w:rPr>
          <w:rFonts w:ascii="Palatino Linotype" w:eastAsia="Times New Roman" w:hAnsi="Palatino Linotype"/>
          <w:b/>
          <w:sz w:val="22"/>
          <w:szCs w:val="22"/>
          <w:lang w:val="en-US"/>
        </w:rPr>
      </w:pPr>
      <w:r w:rsidRPr="003656FA">
        <w:rPr>
          <w:rFonts w:ascii="Palatino Linotype" w:eastAsia="Times New Roman" w:hAnsi="Palatino Linotype"/>
          <w:b/>
          <w:sz w:val="22"/>
          <w:szCs w:val="22"/>
          <w:u w:val="single"/>
          <w:lang w:val="en-US"/>
        </w:rPr>
        <w:lastRenderedPageBreak/>
        <w:t>Fund Mobilisation by Issuance of Equity and Bonds (Table A2)</w:t>
      </w:r>
      <w:r w:rsidRPr="003656FA">
        <w:rPr>
          <w:rFonts w:ascii="Palatino Linotype" w:eastAsia="Times New Roman" w:hAnsi="Palatino Linotype"/>
          <w:b/>
          <w:sz w:val="22"/>
          <w:szCs w:val="22"/>
          <w:lang w:val="en-US"/>
        </w:rPr>
        <w:t xml:space="preserve"> – </w:t>
      </w:r>
    </w:p>
    <w:p w14:paraId="30CBD5A3" w14:textId="77777777" w:rsidR="003656FA" w:rsidRPr="003656FA" w:rsidRDefault="003656FA" w:rsidP="003656FA">
      <w:pPr>
        <w:numPr>
          <w:ilvl w:val="0"/>
          <w:numId w:val="4"/>
        </w:numPr>
        <w:spacing w:line="276" w:lineRule="auto"/>
        <w:jc w:val="both"/>
        <w:rPr>
          <w:rFonts w:ascii="Palatino Linotype" w:eastAsia="Times New Roman" w:hAnsi="Palatino Linotype"/>
          <w:bCs/>
          <w:sz w:val="22"/>
          <w:szCs w:val="22"/>
          <w:lang w:val="en-US" w:eastAsia="en-GB"/>
        </w:rPr>
      </w:pPr>
      <w:r w:rsidRPr="003656FA">
        <w:rPr>
          <w:rFonts w:ascii="Palatino Linotype" w:eastAsia="Times New Roman" w:hAnsi="Palatino Linotype"/>
          <w:bCs/>
          <w:sz w:val="22"/>
          <w:szCs w:val="22"/>
          <w:lang w:val="en-US" w:eastAsia="en-GB"/>
        </w:rPr>
        <w:t xml:space="preserve">There was a 12.7 per cent decrease in the fund mobilization at the selected analyzed exchanges world-wide during July 2020 (at 4,47,549 million USD) against previous month (at 5,12,761 million USD). Only 11.6 per cent of the total fund mobilization in </w:t>
      </w:r>
      <w:r w:rsidRPr="003656FA">
        <w:rPr>
          <w:rFonts w:ascii="Palatino Linotype" w:eastAsia="Times New Roman" w:hAnsi="Palatino Linotype"/>
          <w:bCs/>
          <w:color w:val="000000" w:themeColor="text1"/>
          <w:sz w:val="22"/>
          <w:szCs w:val="22"/>
          <w:lang w:val="en-US" w:eastAsia="en-GB"/>
        </w:rPr>
        <w:t xml:space="preserve">July 2020 </w:t>
      </w:r>
      <w:r w:rsidRPr="003656FA">
        <w:rPr>
          <w:rFonts w:ascii="Palatino Linotype" w:eastAsia="Times New Roman" w:hAnsi="Palatino Linotype"/>
          <w:bCs/>
          <w:sz w:val="22"/>
          <w:szCs w:val="22"/>
          <w:lang w:val="en-US" w:eastAsia="en-GB"/>
        </w:rPr>
        <w:t>was in equity and remaining was in debt.</w:t>
      </w:r>
    </w:p>
    <w:p w14:paraId="16CFA596" w14:textId="77777777" w:rsidR="003656FA" w:rsidRPr="003656FA" w:rsidRDefault="003656FA" w:rsidP="003656FA">
      <w:pPr>
        <w:numPr>
          <w:ilvl w:val="0"/>
          <w:numId w:val="4"/>
        </w:numPr>
        <w:spacing w:line="276" w:lineRule="auto"/>
        <w:ind w:left="357" w:hanging="357"/>
        <w:jc w:val="both"/>
        <w:rPr>
          <w:rFonts w:ascii="Palatino Linotype" w:eastAsia="Times New Roman" w:hAnsi="Palatino Linotype"/>
          <w:bCs/>
          <w:sz w:val="22"/>
          <w:szCs w:val="22"/>
          <w:lang w:val="en-US" w:eastAsia="en-GB"/>
        </w:rPr>
      </w:pPr>
      <w:r w:rsidRPr="003656FA">
        <w:rPr>
          <w:rFonts w:ascii="Palatino Linotype" w:eastAsia="Times New Roman" w:hAnsi="Palatino Linotype"/>
          <w:bCs/>
          <w:sz w:val="22"/>
          <w:szCs w:val="22"/>
          <w:lang w:val="en-US" w:eastAsia="en-GB"/>
        </w:rPr>
        <w:t>As per the data available on World Federation of Exchanges (WFE), highest amount mobilized through equities and bonds in July 2020 was at LSE Group (97,159 million USD) followed by</w:t>
      </w:r>
      <w:r w:rsidRPr="003656FA">
        <w:rPr>
          <w:rFonts w:ascii="Palatino Linotype" w:hAnsi="Palatino Linotype"/>
          <w:sz w:val="22"/>
          <w:szCs w:val="22"/>
        </w:rPr>
        <w:t xml:space="preserve"> </w:t>
      </w:r>
      <w:r w:rsidRPr="003656FA">
        <w:rPr>
          <w:rFonts w:ascii="Palatino Linotype" w:eastAsia="Times New Roman" w:hAnsi="Palatino Linotype"/>
          <w:bCs/>
          <w:sz w:val="22"/>
          <w:szCs w:val="22"/>
          <w:lang w:val="en-US" w:eastAsia="en-GB"/>
        </w:rPr>
        <w:t xml:space="preserve">NSE (57,176 million USD) and BME Spanish Exchanges (50,227 million USD). </w:t>
      </w:r>
    </w:p>
    <w:p w14:paraId="37101707" w14:textId="77777777" w:rsidR="003656FA" w:rsidRPr="003656FA" w:rsidRDefault="003656FA" w:rsidP="003656FA">
      <w:pPr>
        <w:numPr>
          <w:ilvl w:val="0"/>
          <w:numId w:val="4"/>
        </w:numPr>
        <w:spacing w:line="276" w:lineRule="auto"/>
        <w:ind w:left="357" w:hanging="357"/>
        <w:jc w:val="both"/>
        <w:rPr>
          <w:rFonts w:ascii="Palatino Linotype" w:eastAsia="Times New Roman" w:hAnsi="Palatino Linotype"/>
          <w:bCs/>
          <w:sz w:val="22"/>
          <w:szCs w:val="22"/>
          <w:lang w:val="en-US" w:eastAsia="en-GB"/>
        </w:rPr>
      </w:pPr>
      <w:r w:rsidRPr="003656FA">
        <w:rPr>
          <w:rFonts w:ascii="Palatino Linotype" w:eastAsia="Times New Roman" w:hAnsi="Palatino Linotype"/>
          <w:bCs/>
          <w:sz w:val="22"/>
          <w:szCs w:val="22"/>
          <w:lang w:val="en-US" w:eastAsia="en-GB"/>
        </w:rPr>
        <w:t>In July 2020, at LSE Group, 3,182 million USD were raised through equity and the remaining amount was raised through bonds whereas at NSE 534 million USD were raised through equity and the remaining amount was raised through bonds. At BME Spanish Exchanges 1,868 million USD were mobilized though bonds.</w:t>
      </w:r>
    </w:p>
    <w:p w14:paraId="7F502F78" w14:textId="77777777" w:rsidR="003656FA" w:rsidRPr="003656FA" w:rsidRDefault="003656FA" w:rsidP="003656FA">
      <w:pPr>
        <w:numPr>
          <w:ilvl w:val="0"/>
          <w:numId w:val="4"/>
        </w:numPr>
        <w:spacing w:line="276" w:lineRule="auto"/>
        <w:ind w:left="357" w:hanging="357"/>
        <w:jc w:val="both"/>
        <w:rPr>
          <w:rFonts w:ascii="Palatino Linotype" w:eastAsia="Times New Roman" w:hAnsi="Palatino Linotype"/>
          <w:bCs/>
          <w:sz w:val="22"/>
          <w:szCs w:val="22"/>
          <w:lang w:val="en-US" w:eastAsia="en-GB"/>
        </w:rPr>
      </w:pPr>
      <w:r w:rsidRPr="003656FA">
        <w:rPr>
          <w:rFonts w:ascii="Palatino Linotype" w:eastAsia="Times New Roman" w:hAnsi="Palatino Linotype"/>
          <w:bCs/>
          <w:sz w:val="22"/>
          <w:szCs w:val="22"/>
          <w:lang w:val="en-US" w:eastAsia="en-GB"/>
        </w:rPr>
        <w:t xml:space="preserve">Maximum fund mobilization through equities in July 2020 was at Shanghai Stock Exchange (20,076 million USD) followed by Hong Kong Exchanges and Clearing (10,582 million USD).   </w:t>
      </w:r>
    </w:p>
    <w:p w14:paraId="423A1D2F" w14:textId="77777777" w:rsidR="003656FA" w:rsidRPr="003656FA" w:rsidRDefault="003656FA" w:rsidP="003656FA">
      <w:pPr>
        <w:spacing w:line="276" w:lineRule="auto"/>
        <w:jc w:val="both"/>
        <w:rPr>
          <w:rFonts w:ascii="Palatino Linotype" w:eastAsia="Times New Roman" w:hAnsi="Palatino Linotype"/>
          <w:bCs/>
          <w:strike/>
          <w:sz w:val="22"/>
          <w:szCs w:val="22"/>
          <w:lang w:val="en-US"/>
        </w:rPr>
      </w:pPr>
    </w:p>
    <w:p w14:paraId="4A7E6106" w14:textId="77777777" w:rsidR="003656FA" w:rsidRPr="003656FA" w:rsidRDefault="003656FA" w:rsidP="003656FA">
      <w:pPr>
        <w:spacing w:line="276" w:lineRule="auto"/>
        <w:ind w:left="284"/>
        <w:jc w:val="both"/>
        <w:rPr>
          <w:rFonts w:ascii="Palatino Linotype" w:eastAsia="Times New Roman" w:hAnsi="Palatino Linotype"/>
          <w:b/>
          <w:sz w:val="22"/>
          <w:szCs w:val="22"/>
          <w:lang w:val="en-US"/>
        </w:rPr>
      </w:pPr>
      <w:r w:rsidRPr="003656FA">
        <w:rPr>
          <w:rFonts w:ascii="Palatino Linotype" w:eastAsia="Times New Roman" w:hAnsi="Palatino Linotype"/>
          <w:b/>
          <w:sz w:val="22"/>
          <w:szCs w:val="22"/>
          <w:u w:val="single"/>
          <w:lang w:val="en-US"/>
        </w:rPr>
        <w:t>Market Capitalisation of Major</w:t>
      </w:r>
      <w:r w:rsidRPr="003656FA">
        <w:rPr>
          <w:rFonts w:ascii="Palatino Linotype" w:eastAsia="Times New Roman" w:hAnsi="Palatino Linotype"/>
          <w:b/>
          <w:sz w:val="22"/>
          <w:szCs w:val="22"/>
          <w:lang w:val="en-US"/>
        </w:rPr>
        <w:t xml:space="preserve"> Exchanges (Table A3) –</w:t>
      </w:r>
    </w:p>
    <w:p w14:paraId="6D5D11EC" w14:textId="77777777" w:rsidR="003656FA" w:rsidRPr="003656FA" w:rsidRDefault="003656FA" w:rsidP="003656FA">
      <w:pPr>
        <w:spacing w:line="276" w:lineRule="auto"/>
        <w:ind w:left="360"/>
        <w:contextualSpacing/>
        <w:jc w:val="both"/>
        <w:rPr>
          <w:rFonts w:ascii="Palatino Linotype" w:eastAsia="Times New Roman" w:hAnsi="Palatino Linotype"/>
          <w:b/>
          <w:sz w:val="22"/>
          <w:szCs w:val="22"/>
          <w:lang w:val="en-US" w:eastAsia="en-GB"/>
        </w:rPr>
      </w:pPr>
    </w:p>
    <w:p w14:paraId="26857669" w14:textId="77777777" w:rsidR="003656FA" w:rsidRPr="003656FA" w:rsidRDefault="003656FA" w:rsidP="003656FA">
      <w:pPr>
        <w:numPr>
          <w:ilvl w:val="0"/>
          <w:numId w:val="5"/>
        </w:numPr>
        <w:spacing w:line="276" w:lineRule="auto"/>
        <w:ind w:left="284" w:hanging="284"/>
        <w:contextualSpacing/>
        <w:jc w:val="both"/>
        <w:rPr>
          <w:rFonts w:ascii="Palatino Linotype" w:eastAsia="Times New Roman" w:hAnsi="Palatino Linotype"/>
          <w:bCs/>
          <w:sz w:val="22"/>
          <w:szCs w:val="22"/>
          <w:lang w:val="en-US" w:eastAsia="en-GB"/>
        </w:rPr>
      </w:pPr>
      <w:r w:rsidRPr="003656FA">
        <w:rPr>
          <w:rFonts w:ascii="Palatino Linotype" w:eastAsia="Times New Roman" w:hAnsi="Palatino Linotype"/>
          <w:bCs/>
          <w:sz w:val="22"/>
          <w:szCs w:val="22"/>
          <w:lang w:val="en-US" w:eastAsia="en-GB"/>
        </w:rPr>
        <w:t>Most of the analysed markets including developed markets, reflected an increase in market capitalization in the month of August 2020 as compared to previous month.</w:t>
      </w:r>
    </w:p>
    <w:p w14:paraId="691C4E5E" w14:textId="77777777" w:rsidR="003656FA" w:rsidRPr="003656FA" w:rsidRDefault="003656FA" w:rsidP="003656FA">
      <w:pPr>
        <w:spacing w:line="276" w:lineRule="auto"/>
        <w:jc w:val="both"/>
        <w:rPr>
          <w:rFonts w:ascii="Palatino Linotype" w:eastAsia="Times New Roman" w:hAnsi="Palatino Linotype"/>
          <w:bCs/>
          <w:sz w:val="22"/>
          <w:szCs w:val="22"/>
          <w:lang w:eastAsia="en-GB"/>
        </w:rPr>
      </w:pPr>
    </w:p>
    <w:p w14:paraId="7DF75D23" w14:textId="77777777" w:rsidR="003656FA" w:rsidRPr="003656FA" w:rsidRDefault="003656FA" w:rsidP="003656FA">
      <w:pPr>
        <w:numPr>
          <w:ilvl w:val="0"/>
          <w:numId w:val="5"/>
        </w:numPr>
        <w:spacing w:line="276" w:lineRule="auto"/>
        <w:ind w:left="284" w:hanging="284"/>
        <w:contextualSpacing/>
        <w:jc w:val="both"/>
        <w:rPr>
          <w:rFonts w:ascii="Palatino Linotype" w:eastAsia="Times New Roman" w:hAnsi="Palatino Linotype"/>
          <w:bCs/>
          <w:sz w:val="22"/>
          <w:szCs w:val="22"/>
          <w:lang w:val="en-US" w:eastAsia="en-GB"/>
        </w:rPr>
      </w:pPr>
      <w:r w:rsidRPr="003656FA">
        <w:rPr>
          <w:rFonts w:ascii="Palatino Linotype" w:eastAsia="Times New Roman" w:hAnsi="Palatino Linotype"/>
          <w:bCs/>
          <w:sz w:val="22"/>
          <w:szCs w:val="22"/>
          <w:lang w:val="en-US" w:eastAsia="en-GB"/>
        </w:rPr>
        <w:t>Among the developed markets highest increase in market capitalization was observed for USA (8.4 per cent) followed by Japan (7.6 per cent) and Australia (6.4 per cent) in August 2020 as compared to previous month. For France, Germany and UK change in market capitalization was 4.6, 5.6 and 3.0 per cent, respectively.</w:t>
      </w:r>
    </w:p>
    <w:p w14:paraId="15BD04A0" w14:textId="77777777" w:rsidR="003656FA" w:rsidRPr="003656FA" w:rsidRDefault="003656FA" w:rsidP="003656FA">
      <w:pPr>
        <w:spacing w:line="276" w:lineRule="auto"/>
        <w:ind w:left="720"/>
        <w:contextualSpacing/>
        <w:rPr>
          <w:rFonts w:ascii="Palatino Linotype" w:eastAsia="Times New Roman" w:hAnsi="Palatino Linotype"/>
          <w:bCs/>
          <w:sz w:val="22"/>
          <w:szCs w:val="22"/>
          <w:lang w:val="en-US" w:eastAsia="en-GB"/>
        </w:rPr>
      </w:pPr>
    </w:p>
    <w:p w14:paraId="0F6719D0" w14:textId="77777777" w:rsidR="003656FA" w:rsidRPr="003656FA" w:rsidRDefault="003656FA" w:rsidP="003656FA">
      <w:pPr>
        <w:numPr>
          <w:ilvl w:val="0"/>
          <w:numId w:val="5"/>
        </w:numPr>
        <w:spacing w:line="276" w:lineRule="auto"/>
        <w:ind w:left="360" w:hanging="284"/>
        <w:contextualSpacing/>
        <w:jc w:val="both"/>
        <w:rPr>
          <w:rFonts w:ascii="Palatino Linotype" w:eastAsia="Times New Roman" w:hAnsi="Palatino Linotype"/>
          <w:b/>
          <w:sz w:val="22"/>
          <w:szCs w:val="22"/>
          <w:u w:val="single"/>
          <w:lang w:val="en-US"/>
        </w:rPr>
      </w:pPr>
      <w:r w:rsidRPr="003656FA">
        <w:rPr>
          <w:rFonts w:ascii="Palatino Linotype" w:eastAsia="Times New Roman" w:hAnsi="Palatino Linotype"/>
          <w:bCs/>
          <w:sz w:val="22"/>
          <w:szCs w:val="22"/>
          <w:lang w:val="en-US" w:eastAsia="en-GB"/>
        </w:rPr>
        <w:t>Among BRICS nations the highest increase was observed for India (6.0 per cent) followed by China (4.8 per cent), while a decrease in market capitalization was observed for Brazil (7.2 per cent) and South Africa (0.2 per cent). For Russia, change in market capitalization was 2.4 per cent over the previous month.</w:t>
      </w:r>
    </w:p>
    <w:p w14:paraId="0155F012" w14:textId="77777777" w:rsidR="003656FA" w:rsidRPr="003656FA" w:rsidRDefault="003656FA" w:rsidP="003656FA">
      <w:pPr>
        <w:spacing w:line="276" w:lineRule="auto"/>
        <w:ind w:left="360"/>
        <w:contextualSpacing/>
        <w:jc w:val="both"/>
        <w:rPr>
          <w:rFonts w:ascii="Palatino Linotype" w:eastAsia="Times New Roman" w:hAnsi="Palatino Linotype"/>
          <w:b/>
          <w:sz w:val="22"/>
          <w:szCs w:val="22"/>
          <w:u w:val="single"/>
          <w:lang w:val="en-US"/>
        </w:rPr>
      </w:pPr>
    </w:p>
    <w:p w14:paraId="58E79C28" w14:textId="77777777" w:rsidR="003656FA" w:rsidRPr="003656FA" w:rsidRDefault="003656FA" w:rsidP="003656FA">
      <w:pPr>
        <w:spacing w:line="276" w:lineRule="auto"/>
        <w:ind w:left="360"/>
        <w:contextualSpacing/>
        <w:jc w:val="both"/>
        <w:rPr>
          <w:rFonts w:ascii="Palatino Linotype" w:eastAsia="Times New Roman" w:hAnsi="Palatino Linotype"/>
          <w:b/>
          <w:sz w:val="22"/>
          <w:szCs w:val="22"/>
          <w:lang w:val="en-US" w:eastAsia="en-GB"/>
        </w:rPr>
      </w:pPr>
      <w:r w:rsidRPr="003656FA">
        <w:rPr>
          <w:rFonts w:ascii="Palatino Linotype" w:eastAsia="Times New Roman" w:hAnsi="Palatino Linotype"/>
          <w:b/>
          <w:sz w:val="22"/>
          <w:szCs w:val="22"/>
          <w:u w:val="single"/>
          <w:lang w:val="en-US"/>
        </w:rPr>
        <w:t xml:space="preserve">Derivatives </w:t>
      </w:r>
      <w:r w:rsidRPr="003656FA">
        <w:rPr>
          <w:rFonts w:ascii="Palatino Linotype" w:eastAsia="Times New Roman" w:hAnsi="Palatino Linotype"/>
          <w:b/>
          <w:sz w:val="22"/>
          <w:szCs w:val="22"/>
          <w:lang w:val="en-US" w:eastAsia="en-GB"/>
        </w:rPr>
        <w:t xml:space="preserve">(Figures 5-6, Table A4–A8) – </w:t>
      </w:r>
    </w:p>
    <w:p w14:paraId="485E9E85" w14:textId="77777777" w:rsidR="003656FA" w:rsidRPr="003656FA" w:rsidRDefault="003656FA" w:rsidP="003656FA">
      <w:pPr>
        <w:spacing w:line="276" w:lineRule="auto"/>
        <w:ind w:left="360"/>
        <w:contextualSpacing/>
        <w:jc w:val="both"/>
        <w:rPr>
          <w:rFonts w:ascii="Palatino Linotype" w:eastAsia="Times New Roman" w:hAnsi="Palatino Linotype"/>
          <w:b/>
          <w:sz w:val="22"/>
          <w:szCs w:val="22"/>
          <w:lang w:val="en-US" w:eastAsia="en-GB"/>
        </w:rPr>
      </w:pPr>
    </w:p>
    <w:p w14:paraId="70F44083" w14:textId="77777777" w:rsidR="003656FA" w:rsidRPr="003656FA" w:rsidRDefault="003656FA" w:rsidP="003656FA">
      <w:pPr>
        <w:numPr>
          <w:ilvl w:val="0"/>
          <w:numId w:val="4"/>
        </w:numPr>
        <w:spacing w:line="276" w:lineRule="auto"/>
        <w:ind w:left="357" w:hanging="357"/>
        <w:jc w:val="both"/>
        <w:rPr>
          <w:rFonts w:ascii="Palatino Linotype" w:eastAsia="Times New Roman" w:hAnsi="Palatino Linotype"/>
          <w:bCs/>
          <w:sz w:val="22"/>
          <w:szCs w:val="22"/>
          <w:lang w:val="en-US" w:eastAsia="en-GB"/>
        </w:rPr>
      </w:pPr>
      <w:r w:rsidRPr="003656FA">
        <w:rPr>
          <w:rFonts w:ascii="Palatino Linotype" w:eastAsia="Times New Roman" w:hAnsi="Palatino Linotype"/>
          <w:bCs/>
          <w:sz w:val="22"/>
          <w:szCs w:val="22"/>
          <w:lang w:val="en-US" w:eastAsia="en-GB"/>
        </w:rPr>
        <w:t>During July 2020 the highest number of Single Stock Futures contracts traded was at Borsa Istanbul (11,42,61,423) followed by Korea Exchange (8,66,71,469). The highest number of single stock options were traded at Nasdaq – US (14,87,56,512) followed by B3 - Brasil Bolsa Balcão (12,13,40,382).</w:t>
      </w:r>
    </w:p>
    <w:p w14:paraId="655BC684" w14:textId="77777777" w:rsidR="003656FA" w:rsidRPr="003656FA" w:rsidRDefault="003656FA" w:rsidP="003656FA">
      <w:pPr>
        <w:numPr>
          <w:ilvl w:val="0"/>
          <w:numId w:val="4"/>
        </w:numPr>
        <w:spacing w:line="276" w:lineRule="auto"/>
        <w:ind w:left="357" w:hanging="357"/>
        <w:jc w:val="both"/>
        <w:rPr>
          <w:rFonts w:ascii="Palatino Linotype" w:eastAsia="Times New Roman" w:hAnsi="Palatino Linotype"/>
          <w:bCs/>
          <w:sz w:val="22"/>
          <w:szCs w:val="22"/>
          <w:lang w:val="en-US" w:eastAsia="en-GB"/>
        </w:rPr>
      </w:pPr>
      <w:r w:rsidRPr="003656FA">
        <w:rPr>
          <w:rFonts w:ascii="Palatino Linotype" w:eastAsia="Times New Roman" w:hAnsi="Palatino Linotype"/>
          <w:bCs/>
          <w:sz w:val="22"/>
          <w:szCs w:val="22"/>
          <w:lang w:val="en-US" w:eastAsia="en-GB"/>
        </w:rPr>
        <w:t>In the same period, highest number of contracts of Index Futures were traded at B3 - Brasil Bolsa Balcão (27,31,60,103) followed by CME Group (10,14,07,591). Among the Stock Index Options, the highest number of contacts were traded at NSE (65,89,19,790) followed by Korea Exchange (4,75,40,766).</w:t>
      </w:r>
    </w:p>
    <w:p w14:paraId="0CDBA992" w14:textId="77777777" w:rsidR="003656FA" w:rsidRPr="003656FA" w:rsidRDefault="003656FA" w:rsidP="003656FA">
      <w:pPr>
        <w:numPr>
          <w:ilvl w:val="0"/>
          <w:numId w:val="4"/>
        </w:numPr>
        <w:spacing w:line="276" w:lineRule="auto"/>
        <w:ind w:left="357" w:hanging="357"/>
        <w:jc w:val="both"/>
        <w:rPr>
          <w:rFonts w:ascii="Palatino Linotype" w:eastAsia="Times New Roman" w:hAnsi="Palatino Linotype"/>
          <w:bCs/>
          <w:sz w:val="22"/>
          <w:szCs w:val="22"/>
          <w:lang w:val="en-US" w:eastAsia="en-GB"/>
        </w:rPr>
      </w:pPr>
      <w:r w:rsidRPr="003656FA">
        <w:rPr>
          <w:rFonts w:ascii="Palatino Linotype" w:eastAsia="Times New Roman" w:hAnsi="Palatino Linotype"/>
          <w:bCs/>
          <w:sz w:val="22"/>
          <w:szCs w:val="22"/>
          <w:lang w:val="en-US" w:eastAsia="en-GB"/>
        </w:rPr>
        <w:t>Highest number of Currency Futures contracts were traded at B3 - Brasil Bolsa Balcão (8,25,49,163) followed by Moscow Exchange (6,12,01,541). The highest number of Currency Options were traded at NSE (6,83,56,988) followed by BSE India Limited (3,30,85,332).</w:t>
      </w:r>
    </w:p>
    <w:p w14:paraId="620503EE" w14:textId="77777777" w:rsidR="003656FA" w:rsidRPr="003656FA" w:rsidRDefault="003656FA" w:rsidP="003656FA">
      <w:pPr>
        <w:numPr>
          <w:ilvl w:val="0"/>
          <w:numId w:val="4"/>
        </w:numPr>
        <w:spacing w:line="276" w:lineRule="auto"/>
        <w:ind w:left="357" w:hanging="357"/>
        <w:jc w:val="both"/>
        <w:rPr>
          <w:rFonts w:ascii="Palatino Linotype" w:eastAsia="Times New Roman" w:hAnsi="Palatino Linotype"/>
          <w:bCs/>
          <w:sz w:val="22"/>
          <w:szCs w:val="22"/>
          <w:lang w:val="en-US" w:eastAsia="en-GB"/>
        </w:rPr>
      </w:pPr>
      <w:r w:rsidRPr="003656FA">
        <w:rPr>
          <w:rFonts w:ascii="Palatino Linotype" w:eastAsia="Times New Roman" w:hAnsi="Palatino Linotype"/>
          <w:bCs/>
          <w:sz w:val="22"/>
          <w:szCs w:val="22"/>
          <w:lang w:val="en-US" w:eastAsia="en-GB"/>
        </w:rPr>
        <w:lastRenderedPageBreak/>
        <w:t>In July 2020, the highest number of Interest Rate (IR) Futures were traded at CME Group (6,79,46,890) followed by B3 - Brasil Bolsa Balcão (3,90,63,082) whereas the highest number of Interest Rate Options contracts were traded at CME Group (1,97,22,157) followed by Deutsche Boerse AG (31,33,435).</w:t>
      </w:r>
    </w:p>
    <w:p w14:paraId="75749CA5" w14:textId="77777777" w:rsidR="003656FA" w:rsidRPr="003656FA" w:rsidRDefault="003656FA" w:rsidP="003656FA">
      <w:pPr>
        <w:numPr>
          <w:ilvl w:val="0"/>
          <w:numId w:val="4"/>
        </w:numPr>
        <w:spacing w:line="276" w:lineRule="auto"/>
        <w:ind w:left="357" w:hanging="357"/>
        <w:jc w:val="both"/>
        <w:rPr>
          <w:rFonts w:ascii="Palatino Linotype" w:eastAsia="Times New Roman" w:hAnsi="Palatino Linotype"/>
          <w:bCs/>
          <w:sz w:val="22"/>
          <w:szCs w:val="22"/>
          <w:lang w:val="en-US" w:eastAsia="en-GB"/>
        </w:rPr>
      </w:pPr>
      <w:r w:rsidRPr="003656FA">
        <w:rPr>
          <w:rFonts w:ascii="Palatino Linotype" w:eastAsia="Times New Roman" w:hAnsi="Palatino Linotype"/>
          <w:bCs/>
          <w:sz w:val="22"/>
          <w:szCs w:val="22"/>
          <w:lang w:val="en-US" w:eastAsia="en-GB"/>
        </w:rPr>
        <w:t>The highest number of Commodity Futures contracts were traded at Dalian Commodity Exchange (20,11,01,345) followed by Shanghai Futures Exchange (19,14,12,365) in July 2020. Among the Commodity Options the highest number of contracts were traded at CME Group (1,07,38,005) followed by Dalian Commodity Exchange (69,81,367) during the same period.</w:t>
      </w:r>
    </w:p>
    <w:p w14:paraId="15AA6852" w14:textId="77777777" w:rsidR="003656FA" w:rsidRPr="003656FA" w:rsidRDefault="003656FA" w:rsidP="003656FA">
      <w:pPr>
        <w:numPr>
          <w:ilvl w:val="0"/>
          <w:numId w:val="4"/>
        </w:numPr>
        <w:spacing w:line="276" w:lineRule="auto"/>
        <w:ind w:left="357" w:hanging="357"/>
        <w:contextualSpacing/>
        <w:jc w:val="both"/>
        <w:rPr>
          <w:rFonts w:ascii="Palatino Linotype" w:eastAsia="Calibri" w:hAnsi="Palatino Linotype"/>
          <w:bCs/>
          <w:strike/>
          <w:sz w:val="22"/>
          <w:szCs w:val="22"/>
          <w:lang w:val="en-US"/>
        </w:rPr>
      </w:pPr>
      <w:r w:rsidRPr="003656FA">
        <w:rPr>
          <w:rFonts w:ascii="Palatino Linotype" w:eastAsia="Times New Roman" w:hAnsi="Palatino Linotype"/>
          <w:bCs/>
          <w:sz w:val="22"/>
          <w:szCs w:val="22"/>
          <w:lang w:val="en-US" w:eastAsia="en-GB"/>
        </w:rPr>
        <w:t>In August 2020, Pound and Rupee were most appreciating currency against dollar followed by Renminbi among the analysed currencies. The only depreciating currency was Real.</w:t>
      </w:r>
    </w:p>
    <w:p w14:paraId="4570C75D" w14:textId="77777777" w:rsidR="003656FA" w:rsidRPr="003656FA" w:rsidRDefault="003656FA" w:rsidP="003656FA">
      <w:pPr>
        <w:spacing w:line="276" w:lineRule="auto"/>
        <w:ind w:left="360"/>
        <w:contextualSpacing/>
        <w:jc w:val="both"/>
        <w:rPr>
          <w:rFonts w:ascii="Palatino Linotype" w:eastAsia="Calibri" w:hAnsi="Palatino Linotype"/>
          <w:bCs/>
          <w:strike/>
          <w:sz w:val="22"/>
          <w:szCs w:val="22"/>
          <w:lang w:val="en-US"/>
        </w:rPr>
      </w:pPr>
    </w:p>
    <w:p w14:paraId="129D0FC2" w14:textId="77777777" w:rsidR="003656FA" w:rsidRPr="003656FA" w:rsidRDefault="003656FA" w:rsidP="003656FA">
      <w:pPr>
        <w:spacing w:line="276" w:lineRule="auto"/>
        <w:outlineLvl w:val="0"/>
        <w:rPr>
          <w:rFonts w:ascii="Palatino Linotype" w:eastAsia="Times New Roman" w:hAnsi="Palatino Linotype"/>
          <w:b/>
          <w:strike/>
          <w:sz w:val="22"/>
          <w:szCs w:val="22"/>
          <w:u w:val="single"/>
        </w:rPr>
      </w:pPr>
    </w:p>
    <w:p w14:paraId="2E723834" w14:textId="77777777" w:rsidR="003656FA" w:rsidRPr="003656FA" w:rsidRDefault="003656FA" w:rsidP="003656FA">
      <w:pPr>
        <w:spacing w:line="276" w:lineRule="auto"/>
        <w:outlineLvl w:val="0"/>
        <w:rPr>
          <w:rFonts w:ascii="Palatino Linotype" w:eastAsia="Times New Roman" w:hAnsi="Palatino Linotype"/>
          <w:b/>
          <w:sz w:val="22"/>
          <w:szCs w:val="22"/>
          <w:lang w:eastAsia="en-GB"/>
        </w:rPr>
      </w:pPr>
      <w:r w:rsidRPr="003656FA">
        <w:rPr>
          <w:rFonts w:ascii="Palatino Linotype" w:eastAsia="Times New Roman" w:hAnsi="Palatino Linotype"/>
          <w:b/>
          <w:sz w:val="22"/>
          <w:szCs w:val="22"/>
          <w:u w:val="single"/>
        </w:rPr>
        <w:t xml:space="preserve">US Treasury Securities </w:t>
      </w:r>
      <w:r w:rsidRPr="003656FA">
        <w:rPr>
          <w:rFonts w:ascii="Palatino Linotype" w:eastAsia="Times New Roman" w:hAnsi="Palatino Linotype"/>
          <w:b/>
          <w:sz w:val="22"/>
          <w:szCs w:val="22"/>
          <w:lang w:eastAsia="en-GB"/>
        </w:rPr>
        <w:t>(Table A9)</w:t>
      </w:r>
    </w:p>
    <w:p w14:paraId="6EE2FB9A" w14:textId="77777777" w:rsidR="003656FA" w:rsidRPr="003656FA" w:rsidRDefault="003656FA" w:rsidP="003656FA">
      <w:pPr>
        <w:spacing w:line="276" w:lineRule="auto"/>
        <w:outlineLvl w:val="0"/>
        <w:rPr>
          <w:rFonts w:ascii="Palatino Linotype" w:hAnsi="Palatino Linotype"/>
          <w:bCs/>
          <w:sz w:val="22"/>
          <w:szCs w:val="22"/>
        </w:rPr>
      </w:pPr>
    </w:p>
    <w:p w14:paraId="14DB458C" w14:textId="77777777" w:rsidR="003656FA" w:rsidRPr="003656FA" w:rsidRDefault="003656FA" w:rsidP="003656FA">
      <w:pPr>
        <w:numPr>
          <w:ilvl w:val="0"/>
          <w:numId w:val="4"/>
        </w:numPr>
        <w:spacing w:line="276" w:lineRule="auto"/>
        <w:ind w:left="357" w:hanging="357"/>
        <w:contextualSpacing/>
        <w:jc w:val="both"/>
        <w:rPr>
          <w:rFonts w:ascii="Palatino Linotype" w:eastAsia="Calibri" w:hAnsi="Palatino Linotype"/>
          <w:bCs/>
          <w:strike/>
          <w:sz w:val="22"/>
          <w:szCs w:val="22"/>
          <w:lang w:val="en-US"/>
        </w:rPr>
      </w:pPr>
      <w:r w:rsidRPr="003656FA">
        <w:rPr>
          <w:rFonts w:ascii="Palatino Linotype" w:eastAsia="Times New Roman" w:hAnsi="Palatino Linotype"/>
          <w:bCs/>
          <w:sz w:val="22"/>
          <w:szCs w:val="22"/>
          <w:lang w:val="en-US" w:eastAsia="en-GB"/>
        </w:rPr>
        <w:t>At the end of June 2020, Japan was the biggest foreign holder of US Treasury Securities with 17.9 per cent followed by China with 15.3 per cent. The total major foreign holding of US Treasury Securities was USD 7,038.9 billion. The holdings of US Treasury Securities by India slightly increased to 2.6 per cent at the end of June 2020 from 2.4 per cent a month earlier.</w:t>
      </w:r>
    </w:p>
    <w:p w14:paraId="3B07D66A" w14:textId="77777777" w:rsidR="003656FA" w:rsidRPr="003656FA" w:rsidRDefault="003656FA" w:rsidP="003656FA">
      <w:pPr>
        <w:rPr>
          <w:rFonts w:ascii="Garamond" w:hAnsi="Garamond"/>
          <w:b/>
          <w:bCs/>
          <w:szCs w:val="22"/>
        </w:rPr>
      </w:pPr>
    </w:p>
    <w:p w14:paraId="36B97015" w14:textId="77777777" w:rsidR="003656FA" w:rsidRPr="003656FA" w:rsidRDefault="003656FA" w:rsidP="003656FA">
      <w:pPr>
        <w:rPr>
          <w:rFonts w:ascii="Garamond" w:hAnsi="Garamond"/>
          <w:b/>
          <w:bCs/>
          <w:szCs w:val="22"/>
        </w:rPr>
      </w:pPr>
    </w:p>
    <w:p w14:paraId="030DABBA" w14:textId="313D1EAA" w:rsidR="003656FA" w:rsidRPr="003656FA" w:rsidRDefault="003656FA" w:rsidP="003656FA">
      <w:pPr>
        <w:rPr>
          <w:rFonts w:ascii="Garamond" w:hAnsi="Garamond"/>
          <w:bCs/>
          <w:szCs w:val="22"/>
        </w:rPr>
      </w:pPr>
      <w:r w:rsidRPr="003656FA">
        <w:rPr>
          <w:rFonts w:ascii="Garamond" w:hAnsi="Garamond"/>
          <w:b/>
          <w:bCs/>
          <w:szCs w:val="22"/>
        </w:rPr>
        <w:t>Figure 5: Movement of the Major Currencies against USD</w:t>
      </w:r>
    </w:p>
    <w:p w14:paraId="3E81A6BB" w14:textId="2BFED6AC" w:rsidR="003656FA" w:rsidRPr="003656FA" w:rsidRDefault="0041286F" w:rsidP="003656FA">
      <w:pPr>
        <w:spacing w:line="23" w:lineRule="atLeast"/>
        <w:jc w:val="both"/>
        <w:rPr>
          <w:rFonts w:ascii="Garamond" w:hAnsi="Garamond"/>
          <w:bCs/>
          <w:sz w:val="18"/>
          <w:szCs w:val="18"/>
        </w:rPr>
      </w:pPr>
      <w:r>
        <w:rPr>
          <w:rFonts w:ascii="Garamond" w:hAnsi="Garamond"/>
          <w:bCs/>
          <w:noProof/>
          <w:sz w:val="18"/>
          <w:szCs w:val="18"/>
          <w:lang w:val="en-IN" w:eastAsia="en-IN" w:bidi="hi-IN"/>
        </w:rPr>
        <w:drawing>
          <wp:inline distT="0" distB="0" distL="0" distR="0" wp14:anchorId="51A43E57" wp14:editId="0F54B229">
            <wp:extent cx="5734050" cy="417006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4291" cy="4184785"/>
                    </a:xfrm>
                    <a:prstGeom prst="rect">
                      <a:avLst/>
                    </a:prstGeom>
                    <a:noFill/>
                  </pic:spPr>
                </pic:pic>
              </a:graphicData>
            </a:graphic>
          </wp:inline>
        </w:drawing>
      </w:r>
    </w:p>
    <w:p w14:paraId="0EE63B91" w14:textId="77777777" w:rsidR="003656FA" w:rsidRPr="003656FA" w:rsidRDefault="003656FA" w:rsidP="003656FA">
      <w:pPr>
        <w:spacing w:line="23" w:lineRule="atLeast"/>
        <w:jc w:val="both"/>
        <w:rPr>
          <w:rFonts w:ascii="Garamond" w:hAnsi="Garamond"/>
          <w:bCs/>
          <w:sz w:val="18"/>
          <w:szCs w:val="18"/>
        </w:rPr>
      </w:pPr>
      <w:r w:rsidRPr="003656FA">
        <w:rPr>
          <w:rFonts w:ascii="Garamond" w:hAnsi="Garamond"/>
          <w:bCs/>
          <w:sz w:val="18"/>
          <w:szCs w:val="18"/>
        </w:rPr>
        <w:t>Note: All indices have been normalised to 100 on 31 August 2019.</w:t>
      </w:r>
    </w:p>
    <w:p w14:paraId="3187D5CF" w14:textId="77777777" w:rsidR="003656FA" w:rsidRPr="003656FA" w:rsidRDefault="003656FA" w:rsidP="003656FA">
      <w:pPr>
        <w:spacing w:line="23" w:lineRule="atLeast"/>
        <w:outlineLvl w:val="0"/>
        <w:rPr>
          <w:rFonts w:ascii="Garamond" w:hAnsi="Garamond"/>
          <w:bCs/>
          <w:sz w:val="18"/>
          <w:szCs w:val="18"/>
        </w:rPr>
      </w:pPr>
      <w:r w:rsidRPr="003656FA">
        <w:rPr>
          <w:rFonts w:ascii="Garamond" w:hAnsi="Garamond"/>
          <w:bCs/>
          <w:sz w:val="18"/>
          <w:szCs w:val="18"/>
        </w:rPr>
        <w:t>Source: Bloomberg</w:t>
      </w:r>
    </w:p>
    <w:p w14:paraId="43223F84" w14:textId="77777777" w:rsidR="003656FA" w:rsidRPr="003656FA" w:rsidRDefault="003656FA" w:rsidP="003656FA">
      <w:pPr>
        <w:spacing w:line="23" w:lineRule="atLeast"/>
        <w:outlineLvl w:val="0"/>
        <w:rPr>
          <w:rFonts w:ascii="Garamond" w:hAnsi="Garamond"/>
          <w:b/>
          <w:bCs/>
          <w:szCs w:val="22"/>
        </w:rPr>
      </w:pPr>
    </w:p>
    <w:p w14:paraId="13EB7237" w14:textId="77777777" w:rsidR="003656FA" w:rsidRPr="003656FA" w:rsidRDefault="003656FA" w:rsidP="003656FA">
      <w:pPr>
        <w:rPr>
          <w:rFonts w:ascii="Garamond" w:hAnsi="Garamond"/>
          <w:b/>
          <w:bCs/>
          <w:szCs w:val="22"/>
        </w:rPr>
      </w:pPr>
    </w:p>
    <w:p w14:paraId="4A89517E" w14:textId="77777777" w:rsidR="003656FA" w:rsidRPr="003656FA" w:rsidRDefault="003656FA" w:rsidP="003656FA">
      <w:pPr>
        <w:rPr>
          <w:rFonts w:ascii="Garamond" w:hAnsi="Garamond"/>
          <w:b/>
          <w:bCs/>
          <w:szCs w:val="22"/>
        </w:rPr>
      </w:pPr>
      <w:r w:rsidRPr="003656FA">
        <w:rPr>
          <w:rFonts w:ascii="Garamond" w:hAnsi="Garamond"/>
          <w:b/>
          <w:bCs/>
          <w:szCs w:val="22"/>
        </w:rPr>
        <w:br w:type="page"/>
      </w:r>
      <w:r w:rsidRPr="003656FA">
        <w:rPr>
          <w:rFonts w:ascii="Garamond" w:hAnsi="Garamond"/>
          <w:b/>
          <w:bCs/>
          <w:szCs w:val="22"/>
        </w:rPr>
        <w:lastRenderedPageBreak/>
        <w:t>Figure 6: Movement of the US Dollar Index and MSCI EM Currency Index</w:t>
      </w:r>
    </w:p>
    <w:p w14:paraId="11081A61" w14:textId="77777777" w:rsidR="003656FA" w:rsidRPr="003656FA" w:rsidRDefault="003656FA" w:rsidP="003656FA">
      <w:pPr>
        <w:spacing w:line="23" w:lineRule="atLeast"/>
        <w:outlineLvl w:val="0"/>
        <w:rPr>
          <w:rFonts w:ascii="Garamond" w:hAnsi="Garamond"/>
          <w:bCs/>
          <w:sz w:val="22"/>
          <w:szCs w:val="22"/>
        </w:rPr>
      </w:pPr>
    </w:p>
    <w:p w14:paraId="7EE8B947" w14:textId="35AB32EB" w:rsidR="003656FA" w:rsidRPr="003656FA" w:rsidRDefault="0041286F" w:rsidP="003656FA">
      <w:pPr>
        <w:spacing w:line="23" w:lineRule="atLeast"/>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50FB697A" wp14:editId="09AFCC89">
            <wp:extent cx="6037234" cy="344868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9937" cy="3461654"/>
                    </a:xfrm>
                    <a:prstGeom prst="rect">
                      <a:avLst/>
                    </a:prstGeom>
                    <a:noFill/>
                  </pic:spPr>
                </pic:pic>
              </a:graphicData>
            </a:graphic>
          </wp:inline>
        </w:drawing>
      </w:r>
    </w:p>
    <w:p w14:paraId="4118C1EB" w14:textId="77777777" w:rsidR="003656FA" w:rsidRPr="003656FA" w:rsidRDefault="003656FA" w:rsidP="003656FA">
      <w:pPr>
        <w:tabs>
          <w:tab w:val="left" w:pos="3760"/>
        </w:tabs>
        <w:spacing w:line="23" w:lineRule="atLeast"/>
        <w:rPr>
          <w:rFonts w:ascii="Garamond" w:hAnsi="Garamond"/>
          <w:bCs/>
          <w:sz w:val="18"/>
          <w:szCs w:val="18"/>
        </w:rPr>
      </w:pPr>
      <w:r w:rsidRPr="003656FA">
        <w:rPr>
          <w:rFonts w:ascii="Garamond" w:hAnsi="Garamond"/>
          <w:bCs/>
          <w:sz w:val="18"/>
          <w:szCs w:val="18"/>
        </w:rPr>
        <w:t>Note:</w:t>
      </w:r>
    </w:p>
    <w:p w14:paraId="6DD42837" w14:textId="77777777" w:rsidR="003656FA" w:rsidRPr="003656FA" w:rsidRDefault="003656FA" w:rsidP="003656FA">
      <w:pPr>
        <w:widowControl w:val="0"/>
        <w:numPr>
          <w:ilvl w:val="0"/>
          <w:numId w:val="3"/>
        </w:numPr>
        <w:autoSpaceDE w:val="0"/>
        <w:autoSpaceDN w:val="0"/>
        <w:adjustRightInd w:val="0"/>
        <w:spacing w:line="23" w:lineRule="atLeast"/>
        <w:ind w:right="1788"/>
        <w:jc w:val="both"/>
        <w:rPr>
          <w:rFonts w:ascii="Garamond" w:eastAsia="Times New Roman" w:hAnsi="Garamond"/>
          <w:bCs/>
          <w:sz w:val="18"/>
          <w:szCs w:val="18"/>
        </w:rPr>
      </w:pPr>
      <w:r w:rsidRPr="003656FA">
        <w:rPr>
          <w:rFonts w:ascii="Garamond" w:eastAsia="Times New Roman" w:hAnsi="Garamond"/>
          <w:bCs/>
          <w:sz w:val="18"/>
          <w:szCs w:val="18"/>
        </w:rPr>
        <w:t>All indices have been normalised to 100 on 31 July 2019.</w:t>
      </w:r>
    </w:p>
    <w:p w14:paraId="7F17A9A2" w14:textId="77777777" w:rsidR="003656FA" w:rsidRPr="003656FA" w:rsidRDefault="003656FA" w:rsidP="003656FA">
      <w:pPr>
        <w:widowControl w:val="0"/>
        <w:numPr>
          <w:ilvl w:val="0"/>
          <w:numId w:val="3"/>
        </w:numPr>
        <w:autoSpaceDE w:val="0"/>
        <w:autoSpaceDN w:val="0"/>
        <w:adjustRightInd w:val="0"/>
        <w:spacing w:line="23" w:lineRule="atLeast"/>
        <w:ind w:right="1788"/>
        <w:jc w:val="both"/>
        <w:rPr>
          <w:rFonts w:ascii="Garamond" w:eastAsia="Times New Roman" w:hAnsi="Garamond"/>
          <w:bCs/>
          <w:sz w:val="18"/>
          <w:szCs w:val="18"/>
        </w:rPr>
      </w:pPr>
      <w:r w:rsidRPr="003656FA">
        <w:rPr>
          <w:rFonts w:ascii="Garamond" w:eastAsia="Times New Roman" w:hAnsi="Garamond"/>
          <w:bCs/>
          <w:sz w:val="18"/>
          <w:szCs w:val="18"/>
        </w:rPr>
        <w:t>The U.S. Dollar Index is an index of the value of the United States dollar relative to a basket of foreign currencies. The Index goes up when the U.S. dollar gains value compared to other currencies. The index is maintained and published by Intercontinental Exchange. It is a weighted geometric mean of the dollar's value relative to following select currencies: Euro, Japanese yen, Pound sterling, Canadian dollar, Swedish krona, Swiss franc.</w:t>
      </w:r>
    </w:p>
    <w:p w14:paraId="49D39C2B" w14:textId="77777777" w:rsidR="003656FA" w:rsidRPr="003656FA" w:rsidRDefault="003656FA" w:rsidP="003656FA">
      <w:pPr>
        <w:widowControl w:val="0"/>
        <w:numPr>
          <w:ilvl w:val="0"/>
          <w:numId w:val="3"/>
        </w:numPr>
        <w:autoSpaceDE w:val="0"/>
        <w:autoSpaceDN w:val="0"/>
        <w:adjustRightInd w:val="0"/>
        <w:spacing w:line="23" w:lineRule="atLeast"/>
        <w:ind w:right="1788"/>
        <w:jc w:val="both"/>
        <w:rPr>
          <w:rFonts w:ascii="Garamond" w:eastAsia="Times New Roman" w:hAnsi="Garamond"/>
          <w:bCs/>
          <w:sz w:val="18"/>
          <w:szCs w:val="18"/>
        </w:rPr>
      </w:pPr>
      <w:r w:rsidRPr="003656FA">
        <w:rPr>
          <w:rFonts w:ascii="Garamond" w:eastAsia="Times New Roman" w:hAnsi="Garamond"/>
          <w:bCs/>
          <w:sz w:val="18"/>
          <w:szCs w:val="18"/>
        </w:rPr>
        <w:t>The MSCI Emerging Markets (EM) Currency Index tracks the performance of twenty-five emerging-market currencies relative to the US Dollar.</w:t>
      </w:r>
    </w:p>
    <w:p w14:paraId="561B0240" w14:textId="77777777" w:rsidR="003656FA" w:rsidRPr="003656FA" w:rsidRDefault="003656FA" w:rsidP="003656FA">
      <w:pPr>
        <w:spacing w:line="23" w:lineRule="atLeast"/>
        <w:outlineLvl w:val="0"/>
        <w:rPr>
          <w:rFonts w:ascii="Garamond" w:hAnsi="Garamond"/>
          <w:bCs/>
          <w:sz w:val="18"/>
          <w:szCs w:val="18"/>
        </w:rPr>
      </w:pPr>
      <w:r w:rsidRPr="003656FA">
        <w:rPr>
          <w:rFonts w:ascii="Garamond" w:hAnsi="Garamond"/>
          <w:bCs/>
          <w:sz w:val="18"/>
          <w:szCs w:val="18"/>
        </w:rPr>
        <w:t>Source: Bloomberg</w:t>
      </w:r>
    </w:p>
    <w:p w14:paraId="653228EA" w14:textId="77777777" w:rsidR="003656FA" w:rsidRPr="003656FA" w:rsidRDefault="003656FA" w:rsidP="003656FA">
      <w:pPr>
        <w:spacing w:after="240" w:line="23" w:lineRule="atLeast"/>
        <w:jc w:val="both"/>
        <w:rPr>
          <w:rFonts w:ascii="Garamond" w:eastAsia="Times New Roman" w:hAnsi="Garamond"/>
          <w:bCs/>
          <w:strike/>
          <w:sz w:val="18"/>
          <w:szCs w:val="18"/>
          <w:lang w:eastAsia="en-GB"/>
        </w:rPr>
      </w:pPr>
    </w:p>
    <w:p w14:paraId="505886C7" w14:textId="77777777" w:rsidR="003656FA" w:rsidRPr="003656FA" w:rsidRDefault="003656FA" w:rsidP="003656FA">
      <w:pPr>
        <w:spacing w:after="240" w:line="23" w:lineRule="atLeast"/>
        <w:jc w:val="both"/>
        <w:rPr>
          <w:rFonts w:ascii="Garamond" w:eastAsia="Times New Roman" w:hAnsi="Garamond"/>
          <w:bCs/>
          <w:strike/>
          <w:sz w:val="18"/>
          <w:szCs w:val="18"/>
          <w:lang w:eastAsia="en-GB"/>
        </w:rPr>
      </w:pPr>
    </w:p>
    <w:p w14:paraId="6F375E1A" w14:textId="77777777" w:rsidR="003656FA" w:rsidRPr="003656FA" w:rsidRDefault="003656FA" w:rsidP="003656FA">
      <w:pPr>
        <w:spacing w:after="240" w:line="23" w:lineRule="atLeast"/>
        <w:jc w:val="both"/>
        <w:rPr>
          <w:rFonts w:ascii="Garamond" w:eastAsia="Times New Roman" w:hAnsi="Garamond"/>
          <w:bCs/>
          <w:strike/>
          <w:sz w:val="18"/>
          <w:szCs w:val="18"/>
          <w:lang w:eastAsia="en-GB"/>
        </w:rPr>
      </w:pPr>
    </w:p>
    <w:p w14:paraId="3A21F52B" w14:textId="77777777" w:rsidR="003656FA" w:rsidRPr="003656FA" w:rsidRDefault="003656FA" w:rsidP="003656FA">
      <w:pPr>
        <w:spacing w:after="240" w:line="23" w:lineRule="atLeast"/>
        <w:jc w:val="both"/>
        <w:rPr>
          <w:rFonts w:ascii="Garamond" w:eastAsia="Times New Roman" w:hAnsi="Garamond"/>
          <w:bCs/>
          <w:strike/>
          <w:sz w:val="18"/>
          <w:szCs w:val="18"/>
          <w:lang w:eastAsia="en-GB"/>
        </w:rPr>
      </w:pPr>
    </w:p>
    <w:p w14:paraId="43C757D9" w14:textId="77777777" w:rsidR="003656FA" w:rsidRPr="003656FA" w:rsidRDefault="003656FA" w:rsidP="003656FA">
      <w:pPr>
        <w:spacing w:after="240" w:line="23" w:lineRule="atLeast"/>
        <w:jc w:val="both"/>
        <w:rPr>
          <w:rFonts w:ascii="Garamond" w:eastAsia="Times New Roman" w:hAnsi="Garamond"/>
          <w:bCs/>
          <w:strike/>
          <w:sz w:val="18"/>
          <w:szCs w:val="18"/>
          <w:lang w:eastAsia="en-GB"/>
        </w:rPr>
      </w:pPr>
    </w:p>
    <w:p w14:paraId="518208E1" w14:textId="77777777" w:rsidR="003656FA" w:rsidRPr="003656FA" w:rsidRDefault="003656FA" w:rsidP="003656FA">
      <w:pPr>
        <w:spacing w:after="240" w:line="23" w:lineRule="atLeast"/>
        <w:jc w:val="both"/>
        <w:rPr>
          <w:rFonts w:ascii="Garamond" w:eastAsia="Times New Roman" w:hAnsi="Garamond"/>
          <w:bCs/>
          <w:strike/>
          <w:sz w:val="18"/>
          <w:szCs w:val="18"/>
          <w:lang w:eastAsia="en-GB"/>
        </w:rPr>
      </w:pPr>
    </w:p>
    <w:p w14:paraId="049B92E8" w14:textId="77777777" w:rsidR="003656FA" w:rsidRPr="003656FA" w:rsidRDefault="003656FA" w:rsidP="003656FA">
      <w:pPr>
        <w:spacing w:after="240" w:line="23" w:lineRule="atLeast"/>
        <w:jc w:val="both"/>
        <w:rPr>
          <w:rFonts w:ascii="Garamond" w:eastAsia="Times New Roman" w:hAnsi="Garamond"/>
          <w:bCs/>
          <w:strike/>
          <w:sz w:val="18"/>
          <w:szCs w:val="18"/>
          <w:lang w:eastAsia="en-GB"/>
        </w:rPr>
      </w:pPr>
    </w:p>
    <w:p w14:paraId="5F5F88B9" w14:textId="77777777" w:rsidR="003656FA" w:rsidRPr="003656FA" w:rsidRDefault="003656FA" w:rsidP="003656FA">
      <w:pPr>
        <w:spacing w:after="240" w:line="23" w:lineRule="atLeast"/>
        <w:jc w:val="both"/>
        <w:rPr>
          <w:rFonts w:ascii="Garamond" w:eastAsia="Times New Roman" w:hAnsi="Garamond"/>
          <w:bCs/>
          <w:strike/>
          <w:sz w:val="18"/>
          <w:szCs w:val="18"/>
          <w:lang w:eastAsia="en-GB"/>
        </w:rPr>
      </w:pPr>
    </w:p>
    <w:p w14:paraId="6F0D151E" w14:textId="77777777" w:rsidR="003656FA" w:rsidRPr="003656FA" w:rsidRDefault="003656FA" w:rsidP="003656FA">
      <w:pPr>
        <w:rPr>
          <w:rFonts w:ascii="Garamond" w:hAnsi="Garamond"/>
          <w:b/>
          <w:bCs/>
          <w:szCs w:val="22"/>
        </w:rPr>
      </w:pPr>
      <w:r w:rsidRPr="003656FA">
        <w:rPr>
          <w:rFonts w:ascii="Garamond" w:hAnsi="Garamond"/>
          <w:b/>
          <w:bCs/>
          <w:szCs w:val="22"/>
        </w:rPr>
        <w:br w:type="page"/>
      </w:r>
    </w:p>
    <w:p w14:paraId="63F02006" w14:textId="77777777" w:rsidR="003656FA" w:rsidRPr="003656FA" w:rsidRDefault="003656FA" w:rsidP="003656FA">
      <w:pPr>
        <w:rPr>
          <w:rFonts w:ascii="Garamond" w:hAnsi="Garamond"/>
          <w:b/>
          <w:bCs/>
          <w:szCs w:val="22"/>
        </w:rPr>
      </w:pPr>
      <w:r w:rsidRPr="003656FA">
        <w:rPr>
          <w:rFonts w:ascii="Garamond" w:hAnsi="Garamond"/>
          <w:b/>
          <w:bCs/>
          <w:szCs w:val="22"/>
        </w:rPr>
        <w:lastRenderedPageBreak/>
        <w:t>Table A1: Performance of Stock Indices</w:t>
      </w:r>
    </w:p>
    <w:tbl>
      <w:tblPr>
        <w:tblW w:w="11157" w:type="dxa"/>
        <w:jc w:val="center"/>
        <w:tblLook w:val="04A0" w:firstRow="1" w:lastRow="0" w:firstColumn="1" w:lastColumn="0" w:noHBand="0" w:noVBand="1"/>
      </w:tblPr>
      <w:tblGrid>
        <w:gridCol w:w="989"/>
        <w:gridCol w:w="2120"/>
        <w:gridCol w:w="1595"/>
        <w:gridCol w:w="1116"/>
        <w:gridCol w:w="1027"/>
        <w:gridCol w:w="1121"/>
        <w:gridCol w:w="1122"/>
        <w:gridCol w:w="1317"/>
        <w:gridCol w:w="750"/>
      </w:tblGrid>
      <w:tr w:rsidR="003656FA" w:rsidRPr="003656FA" w14:paraId="08A4A8EE" w14:textId="77777777" w:rsidTr="00A92684">
        <w:trPr>
          <w:trHeight w:val="216"/>
          <w:jc w:val="center"/>
        </w:trPr>
        <w:tc>
          <w:tcPr>
            <w:tcW w:w="989"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14:paraId="0E097766" w14:textId="77777777" w:rsidR="003656FA" w:rsidRPr="003656FA" w:rsidRDefault="003656FA" w:rsidP="003656FA">
            <w:pPr>
              <w:jc w:val="center"/>
              <w:rPr>
                <w:rFonts w:ascii="Garamond" w:eastAsia="Times New Roman" w:hAnsi="Garamond" w:cs="Calibri"/>
                <w:b/>
                <w:bCs/>
                <w:color w:val="000000"/>
                <w:sz w:val="20"/>
                <w:szCs w:val="20"/>
                <w:lang w:val="en-IN" w:eastAsia="en-IN"/>
              </w:rPr>
            </w:pPr>
            <w:r w:rsidRPr="003656FA">
              <w:rPr>
                <w:rFonts w:ascii="Garamond" w:eastAsia="Times New Roman" w:hAnsi="Garamond" w:cs="Calibri"/>
                <w:b/>
                <w:bCs/>
                <w:color w:val="000000"/>
                <w:sz w:val="20"/>
                <w:szCs w:val="20"/>
                <w:lang w:val="en-IN" w:eastAsia="en-IN"/>
              </w:rPr>
              <w:t>Country</w:t>
            </w:r>
          </w:p>
        </w:tc>
        <w:tc>
          <w:tcPr>
            <w:tcW w:w="2120"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14:paraId="1C364924" w14:textId="77777777" w:rsidR="003656FA" w:rsidRPr="003656FA" w:rsidRDefault="003656FA" w:rsidP="003656FA">
            <w:pPr>
              <w:jc w:val="center"/>
              <w:rPr>
                <w:rFonts w:ascii="Garamond" w:eastAsia="Times New Roman" w:hAnsi="Garamond" w:cs="Calibri"/>
                <w:b/>
                <w:bCs/>
                <w:color w:val="000000"/>
                <w:sz w:val="20"/>
                <w:szCs w:val="20"/>
                <w:lang w:val="en-IN" w:eastAsia="en-IN"/>
              </w:rPr>
            </w:pPr>
            <w:r w:rsidRPr="003656FA">
              <w:rPr>
                <w:rFonts w:ascii="Garamond" w:eastAsia="Times New Roman" w:hAnsi="Garamond" w:cs="Calibri"/>
                <w:b/>
                <w:bCs/>
                <w:color w:val="000000"/>
                <w:sz w:val="20"/>
                <w:szCs w:val="20"/>
                <w:lang w:val="en-IN" w:eastAsia="en-IN"/>
              </w:rPr>
              <w:t>Name of the Index</w:t>
            </w:r>
          </w:p>
        </w:tc>
        <w:tc>
          <w:tcPr>
            <w:tcW w:w="1595" w:type="dxa"/>
            <w:tcBorders>
              <w:top w:val="single" w:sz="8" w:space="0" w:color="auto"/>
              <w:left w:val="nil"/>
              <w:bottom w:val="nil"/>
              <w:right w:val="single" w:sz="8" w:space="0" w:color="auto"/>
            </w:tcBorders>
            <w:shd w:val="clear" w:color="000000" w:fill="B4C6E7"/>
            <w:noWrap/>
            <w:hideMark/>
          </w:tcPr>
          <w:p w14:paraId="69A0AFAF" w14:textId="77777777" w:rsidR="003656FA" w:rsidRPr="003656FA" w:rsidRDefault="003656FA" w:rsidP="003656FA">
            <w:pPr>
              <w:jc w:val="center"/>
              <w:rPr>
                <w:rFonts w:ascii="Garamond" w:eastAsia="Times New Roman" w:hAnsi="Garamond" w:cs="Calibri"/>
                <w:b/>
                <w:bCs/>
                <w:color w:val="000000"/>
                <w:sz w:val="20"/>
                <w:szCs w:val="20"/>
                <w:lang w:val="en-IN" w:eastAsia="en-IN"/>
              </w:rPr>
            </w:pPr>
            <w:r w:rsidRPr="003656FA">
              <w:rPr>
                <w:rFonts w:ascii="Garamond" w:eastAsia="Times New Roman" w:hAnsi="Garamond" w:cs="Calibri"/>
                <w:b/>
                <w:bCs/>
                <w:color w:val="000000"/>
                <w:sz w:val="20"/>
                <w:szCs w:val="20"/>
                <w:lang w:val="en-IN" w:eastAsia="en-IN"/>
              </w:rPr>
              <w:t>Closing Value as on</w:t>
            </w:r>
          </w:p>
        </w:tc>
        <w:tc>
          <w:tcPr>
            <w:tcW w:w="4386" w:type="dxa"/>
            <w:gridSpan w:val="4"/>
            <w:tcBorders>
              <w:top w:val="single" w:sz="8" w:space="0" w:color="auto"/>
              <w:left w:val="nil"/>
              <w:bottom w:val="single" w:sz="8" w:space="0" w:color="auto"/>
              <w:right w:val="single" w:sz="8" w:space="0" w:color="000000"/>
            </w:tcBorders>
            <w:shd w:val="clear" w:color="000000" w:fill="B4C6E7"/>
            <w:hideMark/>
          </w:tcPr>
          <w:p w14:paraId="5480C2F6" w14:textId="77777777" w:rsidR="003656FA" w:rsidRPr="003656FA" w:rsidRDefault="003656FA" w:rsidP="003656FA">
            <w:pPr>
              <w:jc w:val="center"/>
              <w:rPr>
                <w:rFonts w:ascii="Garamond" w:eastAsia="Times New Roman" w:hAnsi="Garamond" w:cs="Calibri"/>
                <w:b/>
                <w:bCs/>
                <w:color w:val="000000"/>
                <w:sz w:val="20"/>
                <w:szCs w:val="20"/>
                <w:lang w:val="en-IN" w:eastAsia="en-IN"/>
              </w:rPr>
            </w:pPr>
            <w:r w:rsidRPr="003656FA">
              <w:rPr>
                <w:rFonts w:ascii="Garamond" w:eastAsia="Times New Roman" w:hAnsi="Garamond" w:cs="Calibri"/>
                <w:b/>
                <w:bCs/>
                <w:color w:val="000000"/>
                <w:sz w:val="20"/>
                <w:szCs w:val="20"/>
                <w:lang w:val="en-IN" w:eastAsia="en-IN"/>
              </w:rPr>
              <w:t>Closing Value before</w:t>
            </w:r>
          </w:p>
        </w:tc>
        <w:tc>
          <w:tcPr>
            <w:tcW w:w="1317"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14:paraId="6AC430E7" w14:textId="77777777" w:rsidR="003656FA" w:rsidRPr="003656FA" w:rsidRDefault="003656FA" w:rsidP="003656FA">
            <w:pPr>
              <w:jc w:val="center"/>
              <w:rPr>
                <w:rFonts w:ascii="Garamond" w:eastAsia="Times New Roman" w:hAnsi="Garamond" w:cs="Calibri"/>
                <w:b/>
                <w:bCs/>
                <w:color w:val="000000"/>
                <w:sz w:val="20"/>
                <w:szCs w:val="20"/>
                <w:lang w:val="en-IN" w:eastAsia="en-IN"/>
              </w:rPr>
            </w:pPr>
            <w:r w:rsidRPr="003656FA">
              <w:rPr>
                <w:rFonts w:ascii="Garamond" w:eastAsia="Times New Roman" w:hAnsi="Garamond" w:cs="Calibri"/>
                <w:b/>
                <w:bCs/>
                <w:color w:val="000000"/>
                <w:sz w:val="20"/>
                <w:szCs w:val="20"/>
                <w:lang w:val="en-IN" w:eastAsia="en-IN"/>
              </w:rPr>
              <w:t>Monthly Volatility (Annualised)</w:t>
            </w:r>
          </w:p>
        </w:tc>
        <w:tc>
          <w:tcPr>
            <w:tcW w:w="745"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14:paraId="03951072" w14:textId="77777777" w:rsidR="003656FA" w:rsidRPr="003656FA" w:rsidRDefault="003656FA" w:rsidP="003656FA">
            <w:pPr>
              <w:jc w:val="center"/>
              <w:rPr>
                <w:rFonts w:ascii="Garamond" w:eastAsia="Times New Roman" w:hAnsi="Garamond" w:cs="Calibri"/>
                <w:b/>
                <w:bCs/>
                <w:color w:val="000000"/>
                <w:sz w:val="20"/>
                <w:szCs w:val="20"/>
                <w:lang w:val="en-IN" w:eastAsia="en-IN"/>
              </w:rPr>
            </w:pPr>
            <w:r w:rsidRPr="003656FA">
              <w:rPr>
                <w:rFonts w:ascii="Garamond" w:eastAsia="Times New Roman" w:hAnsi="Garamond" w:cs="Calibri"/>
                <w:b/>
                <w:bCs/>
                <w:color w:val="000000"/>
                <w:sz w:val="20"/>
                <w:szCs w:val="20"/>
                <w:lang w:val="en-IN" w:eastAsia="en-IN"/>
              </w:rPr>
              <w:t>P/E Ratio</w:t>
            </w:r>
          </w:p>
        </w:tc>
      </w:tr>
      <w:tr w:rsidR="003656FA" w:rsidRPr="003656FA" w14:paraId="2D92D3AB" w14:textId="77777777" w:rsidTr="00A92684">
        <w:trPr>
          <w:trHeight w:val="216"/>
          <w:jc w:val="center"/>
        </w:trPr>
        <w:tc>
          <w:tcPr>
            <w:tcW w:w="989" w:type="dxa"/>
            <w:vMerge/>
            <w:tcBorders>
              <w:top w:val="single" w:sz="8" w:space="0" w:color="auto"/>
              <w:left w:val="single" w:sz="8" w:space="0" w:color="auto"/>
              <w:bottom w:val="single" w:sz="8" w:space="0" w:color="000000"/>
              <w:right w:val="single" w:sz="8" w:space="0" w:color="auto"/>
            </w:tcBorders>
            <w:vAlign w:val="center"/>
            <w:hideMark/>
          </w:tcPr>
          <w:p w14:paraId="2FF158D3" w14:textId="77777777" w:rsidR="003656FA" w:rsidRPr="003656FA" w:rsidRDefault="003656FA" w:rsidP="003656FA">
            <w:pPr>
              <w:rPr>
                <w:rFonts w:ascii="Garamond" w:eastAsia="Times New Roman" w:hAnsi="Garamond" w:cs="Calibri"/>
                <w:b/>
                <w:bCs/>
                <w:color w:val="000000"/>
                <w:sz w:val="20"/>
                <w:szCs w:val="20"/>
                <w:lang w:val="en-IN" w:eastAsia="en-IN"/>
              </w:rPr>
            </w:pPr>
          </w:p>
        </w:tc>
        <w:tc>
          <w:tcPr>
            <w:tcW w:w="2120" w:type="dxa"/>
            <w:vMerge/>
            <w:tcBorders>
              <w:top w:val="single" w:sz="8" w:space="0" w:color="auto"/>
              <w:left w:val="single" w:sz="8" w:space="0" w:color="auto"/>
              <w:bottom w:val="single" w:sz="8" w:space="0" w:color="000000"/>
              <w:right w:val="single" w:sz="8" w:space="0" w:color="auto"/>
            </w:tcBorders>
            <w:vAlign w:val="center"/>
            <w:hideMark/>
          </w:tcPr>
          <w:p w14:paraId="58E9707D" w14:textId="77777777" w:rsidR="003656FA" w:rsidRPr="003656FA" w:rsidRDefault="003656FA" w:rsidP="003656FA">
            <w:pPr>
              <w:rPr>
                <w:rFonts w:ascii="Garamond" w:eastAsia="Times New Roman" w:hAnsi="Garamond" w:cs="Calibri"/>
                <w:b/>
                <w:bCs/>
                <w:color w:val="000000"/>
                <w:sz w:val="20"/>
                <w:szCs w:val="20"/>
                <w:lang w:val="en-IN" w:eastAsia="en-IN"/>
              </w:rPr>
            </w:pPr>
          </w:p>
        </w:tc>
        <w:tc>
          <w:tcPr>
            <w:tcW w:w="1595" w:type="dxa"/>
            <w:tcBorders>
              <w:top w:val="nil"/>
              <w:left w:val="nil"/>
              <w:bottom w:val="single" w:sz="8" w:space="0" w:color="auto"/>
              <w:right w:val="single" w:sz="8" w:space="0" w:color="auto"/>
            </w:tcBorders>
            <w:shd w:val="clear" w:color="000000" w:fill="B4C6E7"/>
            <w:noWrap/>
            <w:hideMark/>
          </w:tcPr>
          <w:p w14:paraId="0E8D6373" w14:textId="77777777" w:rsidR="003656FA" w:rsidRPr="003656FA" w:rsidRDefault="003656FA" w:rsidP="003656FA">
            <w:pPr>
              <w:jc w:val="center"/>
              <w:rPr>
                <w:rFonts w:ascii="Garamond" w:eastAsia="Times New Roman" w:hAnsi="Garamond" w:cs="Calibri"/>
                <w:b/>
                <w:bCs/>
                <w:color w:val="000000"/>
                <w:sz w:val="20"/>
                <w:szCs w:val="20"/>
                <w:lang w:val="en-IN" w:eastAsia="en-IN"/>
              </w:rPr>
            </w:pPr>
            <w:r w:rsidRPr="003656FA">
              <w:rPr>
                <w:rFonts w:ascii="Garamond" w:eastAsia="Times New Roman" w:hAnsi="Garamond" w:cs="Calibri"/>
                <w:b/>
                <w:bCs/>
                <w:color w:val="000000"/>
                <w:sz w:val="20"/>
                <w:szCs w:val="20"/>
                <w:lang w:val="en-IN" w:eastAsia="en-IN"/>
              </w:rPr>
              <w:t>31-Aug-2020</w:t>
            </w:r>
          </w:p>
        </w:tc>
        <w:tc>
          <w:tcPr>
            <w:tcW w:w="1116" w:type="dxa"/>
            <w:tcBorders>
              <w:top w:val="nil"/>
              <w:left w:val="nil"/>
              <w:bottom w:val="single" w:sz="8" w:space="0" w:color="auto"/>
              <w:right w:val="single" w:sz="8" w:space="0" w:color="auto"/>
            </w:tcBorders>
            <w:shd w:val="clear" w:color="000000" w:fill="B4C6E7"/>
            <w:noWrap/>
            <w:hideMark/>
          </w:tcPr>
          <w:p w14:paraId="612CE5CD" w14:textId="77777777" w:rsidR="003656FA" w:rsidRPr="003656FA" w:rsidRDefault="003656FA" w:rsidP="003656FA">
            <w:pPr>
              <w:jc w:val="center"/>
              <w:rPr>
                <w:rFonts w:ascii="Garamond" w:eastAsia="Times New Roman" w:hAnsi="Garamond" w:cs="Calibri"/>
                <w:b/>
                <w:bCs/>
                <w:color w:val="000000"/>
                <w:sz w:val="20"/>
                <w:szCs w:val="20"/>
                <w:lang w:val="en-IN" w:eastAsia="en-IN"/>
              </w:rPr>
            </w:pPr>
            <w:r w:rsidRPr="003656FA">
              <w:rPr>
                <w:rFonts w:ascii="Garamond" w:eastAsia="Times New Roman" w:hAnsi="Garamond" w:cs="Calibri"/>
                <w:b/>
                <w:bCs/>
                <w:color w:val="000000"/>
                <w:sz w:val="20"/>
                <w:szCs w:val="20"/>
                <w:lang w:val="en-IN" w:eastAsia="en-IN"/>
              </w:rPr>
              <w:t>1-Month</w:t>
            </w:r>
          </w:p>
        </w:tc>
        <w:tc>
          <w:tcPr>
            <w:tcW w:w="1027" w:type="dxa"/>
            <w:tcBorders>
              <w:top w:val="nil"/>
              <w:left w:val="nil"/>
              <w:bottom w:val="single" w:sz="8" w:space="0" w:color="auto"/>
              <w:right w:val="single" w:sz="8" w:space="0" w:color="auto"/>
            </w:tcBorders>
            <w:shd w:val="clear" w:color="000000" w:fill="B4C6E7"/>
            <w:noWrap/>
            <w:hideMark/>
          </w:tcPr>
          <w:p w14:paraId="1278DE10" w14:textId="77777777" w:rsidR="003656FA" w:rsidRPr="003656FA" w:rsidRDefault="003656FA" w:rsidP="003656FA">
            <w:pPr>
              <w:jc w:val="center"/>
              <w:rPr>
                <w:rFonts w:ascii="Garamond" w:eastAsia="Times New Roman" w:hAnsi="Garamond" w:cs="Calibri"/>
                <w:b/>
                <w:bCs/>
                <w:color w:val="000000"/>
                <w:sz w:val="20"/>
                <w:szCs w:val="20"/>
                <w:lang w:val="en-IN" w:eastAsia="en-IN"/>
              </w:rPr>
            </w:pPr>
            <w:r w:rsidRPr="003656FA">
              <w:rPr>
                <w:rFonts w:ascii="Garamond" w:eastAsia="Times New Roman" w:hAnsi="Garamond" w:cs="Calibri"/>
                <w:b/>
                <w:bCs/>
                <w:color w:val="000000"/>
                <w:sz w:val="20"/>
                <w:szCs w:val="20"/>
                <w:lang w:val="en-IN" w:eastAsia="en-IN"/>
              </w:rPr>
              <w:t>3-Month</w:t>
            </w:r>
          </w:p>
        </w:tc>
        <w:tc>
          <w:tcPr>
            <w:tcW w:w="1121" w:type="dxa"/>
            <w:tcBorders>
              <w:top w:val="nil"/>
              <w:left w:val="nil"/>
              <w:bottom w:val="single" w:sz="8" w:space="0" w:color="auto"/>
              <w:right w:val="single" w:sz="8" w:space="0" w:color="auto"/>
            </w:tcBorders>
            <w:shd w:val="clear" w:color="000000" w:fill="B4C6E7"/>
            <w:noWrap/>
            <w:hideMark/>
          </w:tcPr>
          <w:p w14:paraId="41EBD791" w14:textId="77777777" w:rsidR="003656FA" w:rsidRPr="003656FA" w:rsidRDefault="003656FA" w:rsidP="003656FA">
            <w:pPr>
              <w:jc w:val="center"/>
              <w:rPr>
                <w:rFonts w:ascii="Garamond" w:eastAsia="Times New Roman" w:hAnsi="Garamond" w:cs="Calibri"/>
                <w:b/>
                <w:bCs/>
                <w:color w:val="000000"/>
                <w:sz w:val="20"/>
                <w:szCs w:val="20"/>
                <w:lang w:val="en-IN" w:eastAsia="en-IN"/>
              </w:rPr>
            </w:pPr>
            <w:r w:rsidRPr="003656FA">
              <w:rPr>
                <w:rFonts w:ascii="Garamond" w:eastAsia="Times New Roman" w:hAnsi="Garamond" w:cs="Calibri"/>
                <w:b/>
                <w:bCs/>
                <w:color w:val="000000"/>
                <w:sz w:val="20"/>
                <w:szCs w:val="20"/>
                <w:lang w:val="en-IN" w:eastAsia="en-IN"/>
              </w:rPr>
              <w:t>6-Month</w:t>
            </w:r>
          </w:p>
        </w:tc>
        <w:tc>
          <w:tcPr>
            <w:tcW w:w="1122" w:type="dxa"/>
            <w:tcBorders>
              <w:top w:val="nil"/>
              <w:left w:val="nil"/>
              <w:bottom w:val="single" w:sz="8" w:space="0" w:color="auto"/>
              <w:right w:val="single" w:sz="8" w:space="0" w:color="auto"/>
            </w:tcBorders>
            <w:shd w:val="clear" w:color="000000" w:fill="B4C6E7"/>
            <w:noWrap/>
            <w:hideMark/>
          </w:tcPr>
          <w:p w14:paraId="0FB9A1A8" w14:textId="77777777" w:rsidR="003656FA" w:rsidRPr="003656FA" w:rsidRDefault="003656FA" w:rsidP="003656FA">
            <w:pPr>
              <w:jc w:val="center"/>
              <w:rPr>
                <w:rFonts w:ascii="Garamond" w:eastAsia="Times New Roman" w:hAnsi="Garamond" w:cs="Calibri"/>
                <w:b/>
                <w:bCs/>
                <w:color w:val="000000"/>
                <w:sz w:val="20"/>
                <w:szCs w:val="20"/>
                <w:lang w:val="en-IN" w:eastAsia="en-IN"/>
              </w:rPr>
            </w:pPr>
            <w:r w:rsidRPr="003656FA">
              <w:rPr>
                <w:rFonts w:ascii="Garamond" w:eastAsia="Times New Roman" w:hAnsi="Garamond" w:cs="Calibri"/>
                <w:b/>
                <w:bCs/>
                <w:color w:val="000000"/>
                <w:sz w:val="20"/>
                <w:szCs w:val="20"/>
                <w:lang w:val="en-IN" w:eastAsia="en-IN"/>
              </w:rPr>
              <w:t>1-Year</w:t>
            </w:r>
          </w:p>
        </w:tc>
        <w:tc>
          <w:tcPr>
            <w:tcW w:w="1317" w:type="dxa"/>
            <w:vMerge/>
            <w:tcBorders>
              <w:top w:val="single" w:sz="8" w:space="0" w:color="auto"/>
              <w:left w:val="single" w:sz="8" w:space="0" w:color="auto"/>
              <w:bottom w:val="single" w:sz="8" w:space="0" w:color="000000"/>
              <w:right w:val="single" w:sz="8" w:space="0" w:color="auto"/>
            </w:tcBorders>
            <w:vAlign w:val="center"/>
            <w:hideMark/>
          </w:tcPr>
          <w:p w14:paraId="5F7B648C" w14:textId="77777777" w:rsidR="003656FA" w:rsidRPr="003656FA" w:rsidRDefault="003656FA" w:rsidP="003656FA">
            <w:pPr>
              <w:rPr>
                <w:rFonts w:ascii="Garamond" w:eastAsia="Times New Roman" w:hAnsi="Garamond" w:cs="Calibri"/>
                <w:b/>
                <w:bCs/>
                <w:color w:val="000000"/>
                <w:sz w:val="20"/>
                <w:szCs w:val="20"/>
                <w:lang w:val="en-IN" w:eastAsia="en-IN"/>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BCD49BF" w14:textId="77777777" w:rsidR="003656FA" w:rsidRPr="003656FA" w:rsidRDefault="003656FA" w:rsidP="003656FA">
            <w:pPr>
              <w:rPr>
                <w:rFonts w:ascii="Garamond" w:eastAsia="Times New Roman" w:hAnsi="Garamond" w:cs="Calibri"/>
                <w:b/>
                <w:bCs/>
                <w:color w:val="000000"/>
                <w:sz w:val="20"/>
                <w:szCs w:val="20"/>
                <w:lang w:val="en-IN" w:eastAsia="en-IN"/>
              </w:rPr>
            </w:pPr>
          </w:p>
        </w:tc>
      </w:tr>
      <w:tr w:rsidR="003656FA" w:rsidRPr="003656FA" w14:paraId="46FA0884" w14:textId="77777777" w:rsidTr="00A92684">
        <w:trPr>
          <w:trHeight w:val="216"/>
          <w:jc w:val="center"/>
        </w:trPr>
        <w:tc>
          <w:tcPr>
            <w:tcW w:w="11157" w:type="dxa"/>
            <w:gridSpan w:val="9"/>
            <w:tcBorders>
              <w:top w:val="single" w:sz="8" w:space="0" w:color="auto"/>
              <w:left w:val="single" w:sz="8" w:space="0" w:color="auto"/>
              <w:bottom w:val="single" w:sz="8" w:space="0" w:color="auto"/>
              <w:right w:val="single" w:sz="8" w:space="0" w:color="000000"/>
            </w:tcBorders>
            <w:shd w:val="clear" w:color="000000" w:fill="D9E1F2"/>
            <w:noWrap/>
            <w:hideMark/>
          </w:tcPr>
          <w:p w14:paraId="74CF1232" w14:textId="77777777" w:rsidR="003656FA" w:rsidRPr="003656FA" w:rsidRDefault="003656FA" w:rsidP="003656FA">
            <w:pPr>
              <w:jc w:val="center"/>
              <w:rPr>
                <w:rFonts w:ascii="Garamond" w:eastAsia="Times New Roman" w:hAnsi="Garamond" w:cs="Calibri"/>
                <w:b/>
                <w:bCs/>
                <w:color w:val="000000"/>
                <w:sz w:val="20"/>
                <w:szCs w:val="20"/>
                <w:lang w:val="en-IN" w:eastAsia="en-IN"/>
              </w:rPr>
            </w:pPr>
            <w:r w:rsidRPr="003656FA">
              <w:rPr>
                <w:rFonts w:ascii="Garamond" w:eastAsia="Times New Roman" w:hAnsi="Garamond" w:cs="Calibri"/>
                <w:b/>
                <w:bCs/>
                <w:color w:val="000000"/>
                <w:sz w:val="20"/>
                <w:szCs w:val="20"/>
                <w:lang w:val="en-IN" w:eastAsia="en-IN"/>
              </w:rPr>
              <w:t>BRICS Nations</w:t>
            </w:r>
          </w:p>
        </w:tc>
      </w:tr>
      <w:tr w:rsidR="003656FA" w:rsidRPr="003656FA" w14:paraId="13F28823" w14:textId="77777777" w:rsidTr="00A92684">
        <w:trPr>
          <w:trHeight w:val="324"/>
          <w:jc w:val="center"/>
        </w:trPr>
        <w:tc>
          <w:tcPr>
            <w:tcW w:w="989" w:type="dxa"/>
            <w:tcBorders>
              <w:top w:val="nil"/>
              <w:left w:val="single" w:sz="8" w:space="0" w:color="auto"/>
              <w:bottom w:val="nil"/>
              <w:right w:val="single" w:sz="8" w:space="0" w:color="auto"/>
            </w:tcBorders>
            <w:shd w:val="clear" w:color="000000" w:fill="D9E1F2"/>
            <w:noWrap/>
            <w:hideMark/>
          </w:tcPr>
          <w:p w14:paraId="01258FA4"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Brazil</w:t>
            </w:r>
          </w:p>
        </w:tc>
        <w:tc>
          <w:tcPr>
            <w:tcW w:w="2120" w:type="dxa"/>
            <w:tcBorders>
              <w:top w:val="nil"/>
              <w:left w:val="nil"/>
              <w:bottom w:val="nil"/>
              <w:right w:val="single" w:sz="8" w:space="0" w:color="auto"/>
            </w:tcBorders>
            <w:shd w:val="clear" w:color="000000" w:fill="D9E1F2"/>
            <w:noWrap/>
            <w:hideMark/>
          </w:tcPr>
          <w:p w14:paraId="19043855"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 xml:space="preserve">BRAZIL IBOVESPA </w:t>
            </w:r>
          </w:p>
        </w:tc>
        <w:tc>
          <w:tcPr>
            <w:tcW w:w="1595" w:type="dxa"/>
            <w:tcBorders>
              <w:top w:val="nil"/>
              <w:left w:val="nil"/>
              <w:bottom w:val="nil"/>
              <w:right w:val="single" w:sz="8" w:space="0" w:color="auto"/>
            </w:tcBorders>
            <w:shd w:val="clear" w:color="auto" w:fill="auto"/>
            <w:noWrap/>
            <w:hideMark/>
          </w:tcPr>
          <w:p w14:paraId="51F1DFBC"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99369.2</w:t>
            </w:r>
          </w:p>
        </w:tc>
        <w:tc>
          <w:tcPr>
            <w:tcW w:w="1116" w:type="dxa"/>
            <w:tcBorders>
              <w:top w:val="nil"/>
              <w:left w:val="nil"/>
              <w:bottom w:val="nil"/>
              <w:right w:val="single" w:sz="8" w:space="0" w:color="auto"/>
            </w:tcBorders>
            <w:shd w:val="clear" w:color="auto" w:fill="auto"/>
            <w:noWrap/>
            <w:hideMark/>
          </w:tcPr>
          <w:p w14:paraId="4720FFE2"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102912.2</w:t>
            </w:r>
          </w:p>
        </w:tc>
        <w:tc>
          <w:tcPr>
            <w:tcW w:w="1027" w:type="dxa"/>
            <w:tcBorders>
              <w:top w:val="nil"/>
              <w:left w:val="nil"/>
              <w:bottom w:val="nil"/>
              <w:right w:val="single" w:sz="8" w:space="0" w:color="auto"/>
            </w:tcBorders>
            <w:shd w:val="clear" w:color="auto" w:fill="auto"/>
            <w:noWrap/>
            <w:hideMark/>
          </w:tcPr>
          <w:p w14:paraId="58055552"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87402.6</w:t>
            </w:r>
          </w:p>
        </w:tc>
        <w:tc>
          <w:tcPr>
            <w:tcW w:w="1121" w:type="dxa"/>
            <w:tcBorders>
              <w:top w:val="nil"/>
              <w:left w:val="nil"/>
              <w:bottom w:val="nil"/>
              <w:right w:val="single" w:sz="8" w:space="0" w:color="auto"/>
            </w:tcBorders>
            <w:shd w:val="clear" w:color="auto" w:fill="auto"/>
            <w:noWrap/>
            <w:hideMark/>
          </w:tcPr>
          <w:p w14:paraId="5FA70AEC"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104171.6</w:t>
            </w:r>
          </w:p>
        </w:tc>
        <w:tc>
          <w:tcPr>
            <w:tcW w:w="1122" w:type="dxa"/>
            <w:tcBorders>
              <w:top w:val="nil"/>
              <w:left w:val="nil"/>
              <w:bottom w:val="nil"/>
              <w:right w:val="single" w:sz="8" w:space="0" w:color="auto"/>
            </w:tcBorders>
            <w:shd w:val="clear" w:color="auto" w:fill="auto"/>
            <w:noWrap/>
            <w:hideMark/>
          </w:tcPr>
          <w:p w14:paraId="265ADB4C"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101134.6</w:t>
            </w:r>
          </w:p>
        </w:tc>
        <w:tc>
          <w:tcPr>
            <w:tcW w:w="1317" w:type="dxa"/>
            <w:tcBorders>
              <w:top w:val="nil"/>
              <w:left w:val="nil"/>
              <w:bottom w:val="nil"/>
              <w:right w:val="single" w:sz="8" w:space="0" w:color="auto"/>
            </w:tcBorders>
            <w:shd w:val="clear" w:color="auto" w:fill="auto"/>
            <w:noWrap/>
            <w:hideMark/>
          </w:tcPr>
          <w:p w14:paraId="069BCB1B"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31.1</w:t>
            </w:r>
          </w:p>
        </w:tc>
        <w:tc>
          <w:tcPr>
            <w:tcW w:w="745" w:type="dxa"/>
            <w:tcBorders>
              <w:top w:val="nil"/>
              <w:left w:val="nil"/>
              <w:bottom w:val="nil"/>
              <w:right w:val="single" w:sz="8" w:space="0" w:color="auto"/>
            </w:tcBorders>
            <w:shd w:val="clear" w:color="auto" w:fill="auto"/>
            <w:noWrap/>
            <w:hideMark/>
          </w:tcPr>
          <w:p w14:paraId="21CB6BC7"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66.9</w:t>
            </w:r>
          </w:p>
        </w:tc>
      </w:tr>
      <w:tr w:rsidR="003656FA" w:rsidRPr="003656FA" w14:paraId="57BFFC71" w14:textId="77777777" w:rsidTr="00A92684">
        <w:trPr>
          <w:trHeight w:val="205"/>
          <w:jc w:val="center"/>
        </w:trPr>
        <w:tc>
          <w:tcPr>
            <w:tcW w:w="989" w:type="dxa"/>
            <w:tcBorders>
              <w:top w:val="nil"/>
              <w:left w:val="single" w:sz="8" w:space="0" w:color="auto"/>
              <w:bottom w:val="nil"/>
              <w:right w:val="single" w:sz="8" w:space="0" w:color="auto"/>
            </w:tcBorders>
            <w:shd w:val="clear" w:color="000000" w:fill="D9E1F2"/>
            <w:noWrap/>
            <w:hideMark/>
          </w:tcPr>
          <w:p w14:paraId="5A5D6E32"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Russia</w:t>
            </w:r>
          </w:p>
        </w:tc>
        <w:tc>
          <w:tcPr>
            <w:tcW w:w="2120" w:type="dxa"/>
            <w:tcBorders>
              <w:top w:val="nil"/>
              <w:left w:val="nil"/>
              <w:bottom w:val="nil"/>
              <w:right w:val="single" w:sz="8" w:space="0" w:color="auto"/>
            </w:tcBorders>
            <w:shd w:val="clear" w:color="000000" w:fill="D9E1F2"/>
            <w:noWrap/>
            <w:hideMark/>
          </w:tcPr>
          <w:p w14:paraId="4D5958F1"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 xml:space="preserve">RUSSIAN TRADED </w:t>
            </w:r>
          </w:p>
        </w:tc>
        <w:tc>
          <w:tcPr>
            <w:tcW w:w="1595" w:type="dxa"/>
            <w:tcBorders>
              <w:top w:val="nil"/>
              <w:left w:val="nil"/>
              <w:bottom w:val="nil"/>
              <w:right w:val="single" w:sz="8" w:space="0" w:color="auto"/>
            </w:tcBorders>
            <w:shd w:val="clear" w:color="auto" w:fill="auto"/>
            <w:noWrap/>
            <w:hideMark/>
          </w:tcPr>
          <w:p w14:paraId="77B5FB27"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1617.5</w:t>
            </w:r>
          </w:p>
        </w:tc>
        <w:tc>
          <w:tcPr>
            <w:tcW w:w="1116" w:type="dxa"/>
            <w:tcBorders>
              <w:top w:val="nil"/>
              <w:left w:val="nil"/>
              <w:bottom w:val="nil"/>
              <w:right w:val="single" w:sz="8" w:space="0" w:color="auto"/>
            </w:tcBorders>
            <w:shd w:val="clear" w:color="auto" w:fill="auto"/>
            <w:noWrap/>
            <w:hideMark/>
          </w:tcPr>
          <w:p w14:paraId="1B70ECB3"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1618.1</w:t>
            </w:r>
          </w:p>
        </w:tc>
        <w:tc>
          <w:tcPr>
            <w:tcW w:w="1027" w:type="dxa"/>
            <w:tcBorders>
              <w:top w:val="nil"/>
              <w:left w:val="nil"/>
              <w:bottom w:val="nil"/>
              <w:right w:val="single" w:sz="8" w:space="0" w:color="auto"/>
            </w:tcBorders>
            <w:shd w:val="clear" w:color="auto" w:fill="auto"/>
            <w:noWrap/>
            <w:hideMark/>
          </w:tcPr>
          <w:p w14:paraId="5635474C"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1678.0</w:t>
            </w:r>
          </w:p>
        </w:tc>
        <w:tc>
          <w:tcPr>
            <w:tcW w:w="1121" w:type="dxa"/>
            <w:tcBorders>
              <w:top w:val="nil"/>
              <w:left w:val="nil"/>
              <w:bottom w:val="nil"/>
              <w:right w:val="single" w:sz="8" w:space="0" w:color="auto"/>
            </w:tcBorders>
            <w:shd w:val="clear" w:color="auto" w:fill="auto"/>
            <w:noWrap/>
            <w:hideMark/>
          </w:tcPr>
          <w:p w14:paraId="54FD1842"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1856.2</w:t>
            </w:r>
          </w:p>
        </w:tc>
        <w:tc>
          <w:tcPr>
            <w:tcW w:w="1122" w:type="dxa"/>
            <w:tcBorders>
              <w:top w:val="nil"/>
              <w:left w:val="nil"/>
              <w:bottom w:val="nil"/>
              <w:right w:val="single" w:sz="8" w:space="0" w:color="auto"/>
            </w:tcBorders>
            <w:shd w:val="clear" w:color="auto" w:fill="auto"/>
            <w:noWrap/>
            <w:hideMark/>
          </w:tcPr>
          <w:p w14:paraId="0C987A2A"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1904.7</w:t>
            </w:r>
          </w:p>
        </w:tc>
        <w:tc>
          <w:tcPr>
            <w:tcW w:w="1317" w:type="dxa"/>
            <w:tcBorders>
              <w:top w:val="nil"/>
              <w:left w:val="nil"/>
              <w:bottom w:val="nil"/>
              <w:right w:val="single" w:sz="8" w:space="0" w:color="auto"/>
            </w:tcBorders>
            <w:shd w:val="clear" w:color="auto" w:fill="auto"/>
            <w:noWrap/>
            <w:hideMark/>
          </w:tcPr>
          <w:p w14:paraId="50935D19"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26.3</w:t>
            </w:r>
          </w:p>
        </w:tc>
        <w:tc>
          <w:tcPr>
            <w:tcW w:w="745" w:type="dxa"/>
            <w:tcBorders>
              <w:top w:val="nil"/>
              <w:left w:val="nil"/>
              <w:bottom w:val="nil"/>
              <w:right w:val="single" w:sz="8" w:space="0" w:color="auto"/>
            </w:tcBorders>
            <w:shd w:val="clear" w:color="auto" w:fill="auto"/>
            <w:noWrap/>
            <w:hideMark/>
          </w:tcPr>
          <w:p w14:paraId="406758A1"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8.1</w:t>
            </w:r>
          </w:p>
        </w:tc>
      </w:tr>
      <w:tr w:rsidR="003656FA" w:rsidRPr="003656FA" w14:paraId="15A0A4E2" w14:textId="77777777" w:rsidTr="00A92684">
        <w:trPr>
          <w:trHeight w:val="205"/>
          <w:jc w:val="center"/>
        </w:trPr>
        <w:tc>
          <w:tcPr>
            <w:tcW w:w="989" w:type="dxa"/>
            <w:tcBorders>
              <w:top w:val="nil"/>
              <w:left w:val="single" w:sz="8" w:space="0" w:color="auto"/>
              <w:bottom w:val="nil"/>
              <w:right w:val="single" w:sz="8" w:space="0" w:color="auto"/>
            </w:tcBorders>
            <w:shd w:val="clear" w:color="000000" w:fill="D9E1F2"/>
            <w:noWrap/>
            <w:hideMark/>
          </w:tcPr>
          <w:p w14:paraId="7B4460BA"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India</w:t>
            </w:r>
          </w:p>
        </w:tc>
        <w:tc>
          <w:tcPr>
            <w:tcW w:w="2120" w:type="dxa"/>
            <w:tcBorders>
              <w:top w:val="nil"/>
              <w:left w:val="nil"/>
              <w:bottom w:val="nil"/>
              <w:right w:val="single" w:sz="8" w:space="0" w:color="auto"/>
            </w:tcBorders>
            <w:shd w:val="clear" w:color="000000" w:fill="D9E1F2"/>
            <w:noWrap/>
            <w:hideMark/>
          </w:tcPr>
          <w:p w14:paraId="093FAC12"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Nifty 50</w:t>
            </w:r>
          </w:p>
        </w:tc>
        <w:tc>
          <w:tcPr>
            <w:tcW w:w="1595" w:type="dxa"/>
            <w:tcBorders>
              <w:top w:val="nil"/>
              <w:left w:val="nil"/>
              <w:bottom w:val="nil"/>
              <w:right w:val="single" w:sz="8" w:space="0" w:color="auto"/>
            </w:tcBorders>
            <w:shd w:val="clear" w:color="auto" w:fill="auto"/>
            <w:noWrap/>
            <w:hideMark/>
          </w:tcPr>
          <w:p w14:paraId="6AB8E29D"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11387.5</w:t>
            </w:r>
          </w:p>
        </w:tc>
        <w:tc>
          <w:tcPr>
            <w:tcW w:w="1116" w:type="dxa"/>
            <w:tcBorders>
              <w:top w:val="nil"/>
              <w:left w:val="nil"/>
              <w:bottom w:val="nil"/>
              <w:right w:val="single" w:sz="8" w:space="0" w:color="auto"/>
            </w:tcBorders>
            <w:shd w:val="clear" w:color="auto" w:fill="auto"/>
            <w:noWrap/>
            <w:hideMark/>
          </w:tcPr>
          <w:p w14:paraId="51DA8417"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11073.5</w:t>
            </w:r>
          </w:p>
        </w:tc>
        <w:tc>
          <w:tcPr>
            <w:tcW w:w="1027" w:type="dxa"/>
            <w:tcBorders>
              <w:top w:val="nil"/>
              <w:left w:val="nil"/>
              <w:bottom w:val="nil"/>
              <w:right w:val="single" w:sz="8" w:space="0" w:color="auto"/>
            </w:tcBorders>
            <w:shd w:val="clear" w:color="auto" w:fill="auto"/>
            <w:noWrap/>
            <w:hideMark/>
          </w:tcPr>
          <w:p w14:paraId="470A4524"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9580.3</w:t>
            </w:r>
          </w:p>
        </w:tc>
        <w:tc>
          <w:tcPr>
            <w:tcW w:w="1121" w:type="dxa"/>
            <w:tcBorders>
              <w:top w:val="nil"/>
              <w:left w:val="nil"/>
              <w:bottom w:val="nil"/>
              <w:right w:val="single" w:sz="8" w:space="0" w:color="auto"/>
            </w:tcBorders>
            <w:shd w:val="clear" w:color="auto" w:fill="auto"/>
            <w:noWrap/>
            <w:hideMark/>
          </w:tcPr>
          <w:p w14:paraId="700B474C"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11201.8</w:t>
            </w:r>
          </w:p>
        </w:tc>
        <w:tc>
          <w:tcPr>
            <w:tcW w:w="1122" w:type="dxa"/>
            <w:tcBorders>
              <w:top w:val="nil"/>
              <w:left w:val="nil"/>
              <w:bottom w:val="nil"/>
              <w:right w:val="single" w:sz="8" w:space="0" w:color="auto"/>
            </w:tcBorders>
            <w:shd w:val="clear" w:color="auto" w:fill="auto"/>
            <w:noWrap/>
            <w:hideMark/>
          </w:tcPr>
          <w:p w14:paraId="7BBB2AE9"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11023.3</w:t>
            </w:r>
          </w:p>
        </w:tc>
        <w:tc>
          <w:tcPr>
            <w:tcW w:w="1317" w:type="dxa"/>
            <w:tcBorders>
              <w:top w:val="nil"/>
              <w:left w:val="nil"/>
              <w:bottom w:val="nil"/>
              <w:right w:val="single" w:sz="8" w:space="0" w:color="auto"/>
            </w:tcBorders>
            <w:shd w:val="clear" w:color="auto" w:fill="auto"/>
            <w:noWrap/>
            <w:hideMark/>
          </w:tcPr>
          <w:p w14:paraId="566A3A08"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16.6</w:t>
            </w:r>
          </w:p>
        </w:tc>
        <w:tc>
          <w:tcPr>
            <w:tcW w:w="745" w:type="dxa"/>
            <w:tcBorders>
              <w:top w:val="nil"/>
              <w:left w:val="nil"/>
              <w:bottom w:val="nil"/>
              <w:right w:val="single" w:sz="8" w:space="0" w:color="auto"/>
            </w:tcBorders>
            <w:shd w:val="clear" w:color="auto" w:fill="auto"/>
            <w:noWrap/>
            <w:hideMark/>
          </w:tcPr>
          <w:p w14:paraId="44413BD1"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32.3</w:t>
            </w:r>
          </w:p>
        </w:tc>
      </w:tr>
      <w:tr w:rsidR="003656FA" w:rsidRPr="003656FA" w14:paraId="39B86671" w14:textId="77777777" w:rsidTr="00A92684">
        <w:trPr>
          <w:trHeight w:val="205"/>
          <w:jc w:val="center"/>
        </w:trPr>
        <w:tc>
          <w:tcPr>
            <w:tcW w:w="989" w:type="dxa"/>
            <w:tcBorders>
              <w:top w:val="nil"/>
              <w:left w:val="single" w:sz="8" w:space="0" w:color="auto"/>
              <w:bottom w:val="nil"/>
              <w:right w:val="single" w:sz="8" w:space="0" w:color="auto"/>
            </w:tcBorders>
            <w:shd w:val="clear" w:color="000000" w:fill="D9E1F2"/>
            <w:noWrap/>
            <w:hideMark/>
          </w:tcPr>
          <w:p w14:paraId="4EE2316A"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India</w:t>
            </w:r>
          </w:p>
        </w:tc>
        <w:tc>
          <w:tcPr>
            <w:tcW w:w="2120" w:type="dxa"/>
            <w:tcBorders>
              <w:top w:val="nil"/>
              <w:left w:val="nil"/>
              <w:bottom w:val="nil"/>
              <w:right w:val="single" w:sz="8" w:space="0" w:color="auto"/>
            </w:tcBorders>
            <w:shd w:val="clear" w:color="000000" w:fill="D9E1F2"/>
            <w:noWrap/>
            <w:hideMark/>
          </w:tcPr>
          <w:p w14:paraId="568E9C01"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 xml:space="preserve">S&amp;P BSE SENSEX </w:t>
            </w:r>
          </w:p>
        </w:tc>
        <w:tc>
          <w:tcPr>
            <w:tcW w:w="1595" w:type="dxa"/>
            <w:tcBorders>
              <w:top w:val="nil"/>
              <w:left w:val="nil"/>
              <w:bottom w:val="nil"/>
              <w:right w:val="single" w:sz="8" w:space="0" w:color="auto"/>
            </w:tcBorders>
            <w:shd w:val="clear" w:color="auto" w:fill="auto"/>
            <w:noWrap/>
            <w:hideMark/>
          </w:tcPr>
          <w:p w14:paraId="3803ACCD"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38628.3</w:t>
            </w:r>
          </w:p>
        </w:tc>
        <w:tc>
          <w:tcPr>
            <w:tcW w:w="1116" w:type="dxa"/>
            <w:tcBorders>
              <w:top w:val="nil"/>
              <w:left w:val="nil"/>
              <w:bottom w:val="nil"/>
              <w:right w:val="single" w:sz="8" w:space="0" w:color="auto"/>
            </w:tcBorders>
            <w:shd w:val="clear" w:color="auto" w:fill="auto"/>
            <w:noWrap/>
            <w:hideMark/>
          </w:tcPr>
          <w:p w14:paraId="00091788"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37606.9</w:t>
            </w:r>
          </w:p>
        </w:tc>
        <w:tc>
          <w:tcPr>
            <w:tcW w:w="1027" w:type="dxa"/>
            <w:tcBorders>
              <w:top w:val="nil"/>
              <w:left w:val="nil"/>
              <w:bottom w:val="nil"/>
              <w:right w:val="single" w:sz="8" w:space="0" w:color="auto"/>
            </w:tcBorders>
            <w:shd w:val="clear" w:color="auto" w:fill="auto"/>
            <w:noWrap/>
            <w:hideMark/>
          </w:tcPr>
          <w:p w14:paraId="77D874D3"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32424.1</w:t>
            </w:r>
          </w:p>
        </w:tc>
        <w:tc>
          <w:tcPr>
            <w:tcW w:w="1121" w:type="dxa"/>
            <w:tcBorders>
              <w:top w:val="nil"/>
              <w:left w:val="nil"/>
              <w:bottom w:val="nil"/>
              <w:right w:val="single" w:sz="8" w:space="0" w:color="auto"/>
            </w:tcBorders>
            <w:shd w:val="clear" w:color="auto" w:fill="auto"/>
            <w:noWrap/>
            <w:hideMark/>
          </w:tcPr>
          <w:p w14:paraId="4606BA3D"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38297.3</w:t>
            </w:r>
          </w:p>
        </w:tc>
        <w:tc>
          <w:tcPr>
            <w:tcW w:w="1122" w:type="dxa"/>
            <w:tcBorders>
              <w:top w:val="nil"/>
              <w:left w:val="nil"/>
              <w:bottom w:val="nil"/>
              <w:right w:val="single" w:sz="8" w:space="0" w:color="auto"/>
            </w:tcBorders>
            <w:shd w:val="clear" w:color="auto" w:fill="auto"/>
            <w:noWrap/>
            <w:hideMark/>
          </w:tcPr>
          <w:p w14:paraId="0B2399E5"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37332.8</w:t>
            </w:r>
          </w:p>
        </w:tc>
        <w:tc>
          <w:tcPr>
            <w:tcW w:w="1317" w:type="dxa"/>
            <w:tcBorders>
              <w:top w:val="nil"/>
              <w:left w:val="nil"/>
              <w:bottom w:val="nil"/>
              <w:right w:val="single" w:sz="8" w:space="0" w:color="auto"/>
            </w:tcBorders>
            <w:shd w:val="clear" w:color="auto" w:fill="auto"/>
            <w:noWrap/>
            <w:hideMark/>
          </w:tcPr>
          <w:p w14:paraId="6FD39099"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16.6</w:t>
            </w:r>
          </w:p>
        </w:tc>
        <w:tc>
          <w:tcPr>
            <w:tcW w:w="745" w:type="dxa"/>
            <w:tcBorders>
              <w:top w:val="nil"/>
              <w:left w:val="nil"/>
              <w:bottom w:val="nil"/>
              <w:right w:val="single" w:sz="8" w:space="0" w:color="auto"/>
            </w:tcBorders>
            <w:shd w:val="clear" w:color="auto" w:fill="auto"/>
            <w:noWrap/>
            <w:hideMark/>
          </w:tcPr>
          <w:p w14:paraId="225F3672"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27.3</w:t>
            </w:r>
          </w:p>
        </w:tc>
      </w:tr>
      <w:tr w:rsidR="003656FA" w:rsidRPr="003656FA" w14:paraId="50475BAB" w14:textId="77777777" w:rsidTr="00A92684">
        <w:trPr>
          <w:trHeight w:val="205"/>
          <w:jc w:val="center"/>
        </w:trPr>
        <w:tc>
          <w:tcPr>
            <w:tcW w:w="989" w:type="dxa"/>
            <w:tcBorders>
              <w:top w:val="nil"/>
              <w:left w:val="single" w:sz="8" w:space="0" w:color="auto"/>
              <w:bottom w:val="nil"/>
              <w:right w:val="single" w:sz="8" w:space="0" w:color="auto"/>
            </w:tcBorders>
            <w:shd w:val="clear" w:color="000000" w:fill="D9E1F2"/>
            <w:noWrap/>
            <w:hideMark/>
          </w:tcPr>
          <w:p w14:paraId="723ECB46"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China</w:t>
            </w:r>
          </w:p>
        </w:tc>
        <w:tc>
          <w:tcPr>
            <w:tcW w:w="2120" w:type="dxa"/>
            <w:tcBorders>
              <w:top w:val="nil"/>
              <w:left w:val="nil"/>
              <w:bottom w:val="nil"/>
              <w:right w:val="single" w:sz="8" w:space="0" w:color="auto"/>
            </w:tcBorders>
            <w:shd w:val="clear" w:color="000000" w:fill="D9E1F2"/>
            <w:noWrap/>
            <w:hideMark/>
          </w:tcPr>
          <w:p w14:paraId="6E092E8B"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SHANGHAI SE COMPOSITE</w:t>
            </w:r>
          </w:p>
        </w:tc>
        <w:tc>
          <w:tcPr>
            <w:tcW w:w="1595" w:type="dxa"/>
            <w:tcBorders>
              <w:top w:val="nil"/>
              <w:left w:val="nil"/>
              <w:bottom w:val="nil"/>
              <w:right w:val="single" w:sz="8" w:space="0" w:color="auto"/>
            </w:tcBorders>
            <w:shd w:val="clear" w:color="auto" w:fill="auto"/>
            <w:noWrap/>
            <w:hideMark/>
          </w:tcPr>
          <w:p w14:paraId="714B7CE9"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3395.7</w:t>
            </w:r>
          </w:p>
        </w:tc>
        <w:tc>
          <w:tcPr>
            <w:tcW w:w="1116" w:type="dxa"/>
            <w:tcBorders>
              <w:top w:val="nil"/>
              <w:left w:val="nil"/>
              <w:bottom w:val="nil"/>
              <w:right w:val="single" w:sz="8" w:space="0" w:color="auto"/>
            </w:tcBorders>
            <w:shd w:val="clear" w:color="auto" w:fill="auto"/>
            <w:noWrap/>
            <w:hideMark/>
          </w:tcPr>
          <w:p w14:paraId="7803DE91"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3310.0</w:t>
            </w:r>
          </w:p>
        </w:tc>
        <w:tc>
          <w:tcPr>
            <w:tcW w:w="1027" w:type="dxa"/>
            <w:tcBorders>
              <w:top w:val="nil"/>
              <w:left w:val="nil"/>
              <w:bottom w:val="nil"/>
              <w:right w:val="single" w:sz="8" w:space="0" w:color="auto"/>
            </w:tcBorders>
            <w:shd w:val="clear" w:color="auto" w:fill="auto"/>
            <w:noWrap/>
            <w:hideMark/>
          </w:tcPr>
          <w:p w14:paraId="477E5E7B"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2852.4</w:t>
            </w:r>
          </w:p>
        </w:tc>
        <w:tc>
          <w:tcPr>
            <w:tcW w:w="1121" w:type="dxa"/>
            <w:tcBorders>
              <w:top w:val="nil"/>
              <w:left w:val="nil"/>
              <w:bottom w:val="nil"/>
              <w:right w:val="single" w:sz="8" w:space="0" w:color="auto"/>
            </w:tcBorders>
            <w:shd w:val="clear" w:color="auto" w:fill="auto"/>
            <w:noWrap/>
            <w:hideMark/>
          </w:tcPr>
          <w:p w14:paraId="55FB6D9F"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2880.3</w:t>
            </w:r>
          </w:p>
        </w:tc>
        <w:tc>
          <w:tcPr>
            <w:tcW w:w="1122" w:type="dxa"/>
            <w:tcBorders>
              <w:top w:val="nil"/>
              <w:left w:val="nil"/>
              <w:bottom w:val="nil"/>
              <w:right w:val="single" w:sz="8" w:space="0" w:color="auto"/>
            </w:tcBorders>
            <w:shd w:val="clear" w:color="auto" w:fill="auto"/>
            <w:noWrap/>
            <w:hideMark/>
          </w:tcPr>
          <w:p w14:paraId="29A95DE8"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2886.2</w:t>
            </w:r>
          </w:p>
        </w:tc>
        <w:tc>
          <w:tcPr>
            <w:tcW w:w="1317" w:type="dxa"/>
            <w:tcBorders>
              <w:top w:val="nil"/>
              <w:left w:val="nil"/>
              <w:bottom w:val="nil"/>
              <w:right w:val="single" w:sz="8" w:space="0" w:color="auto"/>
            </w:tcBorders>
            <w:shd w:val="clear" w:color="auto" w:fill="auto"/>
            <w:noWrap/>
            <w:hideMark/>
          </w:tcPr>
          <w:p w14:paraId="61844B65"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32.5</w:t>
            </w:r>
          </w:p>
        </w:tc>
        <w:tc>
          <w:tcPr>
            <w:tcW w:w="745" w:type="dxa"/>
            <w:tcBorders>
              <w:top w:val="nil"/>
              <w:left w:val="nil"/>
              <w:bottom w:val="nil"/>
              <w:right w:val="single" w:sz="8" w:space="0" w:color="auto"/>
            </w:tcBorders>
            <w:shd w:val="clear" w:color="auto" w:fill="auto"/>
            <w:noWrap/>
            <w:hideMark/>
          </w:tcPr>
          <w:p w14:paraId="2B4D51C9"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18.2</w:t>
            </w:r>
          </w:p>
        </w:tc>
      </w:tr>
      <w:tr w:rsidR="003656FA" w:rsidRPr="003656FA" w14:paraId="7AF49D3B" w14:textId="77777777" w:rsidTr="00A92684">
        <w:trPr>
          <w:trHeight w:val="216"/>
          <w:jc w:val="center"/>
        </w:trPr>
        <w:tc>
          <w:tcPr>
            <w:tcW w:w="989" w:type="dxa"/>
            <w:tcBorders>
              <w:top w:val="nil"/>
              <w:left w:val="single" w:sz="8" w:space="0" w:color="auto"/>
              <w:bottom w:val="single" w:sz="8" w:space="0" w:color="auto"/>
              <w:right w:val="single" w:sz="8" w:space="0" w:color="auto"/>
            </w:tcBorders>
            <w:shd w:val="clear" w:color="000000" w:fill="D9E1F2"/>
            <w:noWrap/>
            <w:hideMark/>
          </w:tcPr>
          <w:p w14:paraId="5C948C2E"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South Africa</w:t>
            </w:r>
          </w:p>
        </w:tc>
        <w:tc>
          <w:tcPr>
            <w:tcW w:w="2120" w:type="dxa"/>
            <w:tcBorders>
              <w:top w:val="nil"/>
              <w:left w:val="nil"/>
              <w:bottom w:val="single" w:sz="8" w:space="0" w:color="auto"/>
              <w:right w:val="single" w:sz="8" w:space="0" w:color="auto"/>
            </w:tcBorders>
            <w:shd w:val="clear" w:color="000000" w:fill="D9E1F2"/>
            <w:noWrap/>
            <w:hideMark/>
          </w:tcPr>
          <w:p w14:paraId="49D2B17A"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FTSE/JSE AFRICA ALL SHR</w:t>
            </w:r>
          </w:p>
        </w:tc>
        <w:tc>
          <w:tcPr>
            <w:tcW w:w="1595" w:type="dxa"/>
            <w:tcBorders>
              <w:top w:val="nil"/>
              <w:left w:val="nil"/>
              <w:bottom w:val="single" w:sz="8" w:space="0" w:color="auto"/>
              <w:right w:val="single" w:sz="8" w:space="0" w:color="auto"/>
            </w:tcBorders>
            <w:shd w:val="clear" w:color="auto" w:fill="auto"/>
            <w:noWrap/>
            <w:hideMark/>
          </w:tcPr>
          <w:p w14:paraId="32EF7D52"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55476.1</w:t>
            </w:r>
          </w:p>
        </w:tc>
        <w:tc>
          <w:tcPr>
            <w:tcW w:w="1116" w:type="dxa"/>
            <w:tcBorders>
              <w:top w:val="nil"/>
              <w:left w:val="nil"/>
              <w:bottom w:val="single" w:sz="8" w:space="0" w:color="auto"/>
              <w:right w:val="single" w:sz="8" w:space="0" w:color="auto"/>
            </w:tcBorders>
            <w:shd w:val="clear" w:color="auto" w:fill="auto"/>
            <w:noWrap/>
            <w:hideMark/>
          </w:tcPr>
          <w:p w14:paraId="28A79120"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55721.8</w:t>
            </w:r>
          </w:p>
        </w:tc>
        <w:tc>
          <w:tcPr>
            <w:tcW w:w="1027" w:type="dxa"/>
            <w:tcBorders>
              <w:top w:val="nil"/>
              <w:left w:val="nil"/>
              <w:bottom w:val="single" w:sz="8" w:space="0" w:color="auto"/>
              <w:right w:val="single" w:sz="8" w:space="0" w:color="auto"/>
            </w:tcBorders>
            <w:shd w:val="clear" w:color="auto" w:fill="auto"/>
            <w:noWrap/>
            <w:hideMark/>
          </w:tcPr>
          <w:p w14:paraId="3F774667"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50483.0</w:t>
            </w:r>
          </w:p>
        </w:tc>
        <w:tc>
          <w:tcPr>
            <w:tcW w:w="1121" w:type="dxa"/>
            <w:tcBorders>
              <w:top w:val="nil"/>
              <w:left w:val="nil"/>
              <w:bottom w:val="single" w:sz="8" w:space="0" w:color="auto"/>
              <w:right w:val="single" w:sz="8" w:space="0" w:color="auto"/>
            </w:tcBorders>
            <w:shd w:val="clear" w:color="auto" w:fill="auto"/>
            <w:noWrap/>
            <w:hideMark/>
          </w:tcPr>
          <w:p w14:paraId="5DD4A5B9"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51038.2</w:t>
            </w:r>
          </w:p>
        </w:tc>
        <w:tc>
          <w:tcPr>
            <w:tcW w:w="1122" w:type="dxa"/>
            <w:tcBorders>
              <w:top w:val="nil"/>
              <w:left w:val="nil"/>
              <w:bottom w:val="single" w:sz="8" w:space="0" w:color="auto"/>
              <w:right w:val="single" w:sz="8" w:space="0" w:color="auto"/>
            </w:tcBorders>
            <w:shd w:val="clear" w:color="auto" w:fill="auto"/>
            <w:noWrap/>
            <w:hideMark/>
          </w:tcPr>
          <w:p w14:paraId="41E68EE9"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55259.6</w:t>
            </w:r>
          </w:p>
        </w:tc>
        <w:tc>
          <w:tcPr>
            <w:tcW w:w="1317" w:type="dxa"/>
            <w:tcBorders>
              <w:top w:val="nil"/>
              <w:left w:val="nil"/>
              <w:bottom w:val="nil"/>
              <w:right w:val="single" w:sz="8" w:space="0" w:color="auto"/>
            </w:tcBorders>
            <w:shd w:val="clear" w:color="auto" w:fill="auto"/>
            <w:noWrap/>
            <w:hideMark/>
          </w:tcPr>
          <w:p w14:paraId="45055F47"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17.5</w:t>
            </w:r>
          </w:p>
        </w:tc>
        <w:tc>
          <w:tcPr>
            <w:tcW w:w="745" w:type="dxa"/>
            <w:tcBorders>
              <w:top w:val="nil"/>
              <w:left w:val="nil"/>
              <w:bottom w:val="nil"/>
              <w:right w:val="single" w:sz="8" w:space="0" w:color="auto"/>
            </w:tcBorders>
            <w:shd w:val="clear" w:color="auto" w:fill="auto"/>
            <w:noWrap/>
            <w:hideMark/>
          </w:tcPr>
          <w:p w14:paraId="7A251070"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19.5</w:t>
            </w:r>
          </w:p>
        </w:tc>
      </w:tr>
      <w:tr w:rsidR="003656FA" w:rsidRPr="003656FA" w14:paraId="76D3C97E" w14:textId="77777777" w:rsidTr="00A92684">
        <w:trPr>
          <w:trHeight w:val="216"/>
          <w:jc w:val="center"/>
        </w:trPr>
        <w:tc>
          <w:tcPr>
            <w:tcW w:w="11157" w:type="dxa"/>
            <w:gridSpan w:val="9"/>
            <w:tcBorders>
              <w:top w:val="single" w:sz="8" w:space="0" w:color="auto"/>
              <w:left w:val="single" w:sz="8" w:space="0" w:color="auto"/>
              <w:bottom w:val="single" w:sz="8" w:space="0" w:color="auto"/>
              <w:right w:val="single" w:sz="8" w:space="0" w:color="000000"/>
            </w:tcBorders>
            <w:shd w:val="clear" w:color="000000" w:fill="D9E1F2"/>
            <w:hideMark/>
          </w:tcPr>
          <w:p w14:paraId="1540ED14" w14:textId="77777777" w:rsidR="003656FA" w:rsidRPr="003656FA" w:rsidRDefault="003656FA" w:rsidP="003656FA">
            <w:pPr>
              <w:jc w:val="center"/>
              <w:rPr>
                <w:rFonts w:ascii="Garamond" w:eastAsia="Times New Roman" w:hAnsi="Garamond" w:cs="Calibri"/>
                <w:b/>
                <w:bCs/>
                <w:color w:val="000000"/>
                <w:sz w:val="20"/>
                <w:szCs w:val="20"/>
                <w:lang w:val="en-IN" w:eastAsia="en-IN"/>
              </w:rPr>
            </w:pPr>
            <w:r w:rsidRPr="003656FA">
              <w:rPr>
                <w:rFonts w:ascii="Garamond" w:eastAsia="Times New Roman" w:hAnsi="Garamond" w:cs="Calibri"/>
                <w:b/>
                <w:bCs/>
                <w:color w:val="000000"/>
                <w:sz w:val="20"/>
                <w:szCs w:val="20"/>
                <w:lang w:val="en-IN" w:eastAsia="en-IN"/>
              </w:rPr>
              <w:t>Developed Markets</w:t>
            </w:r>
          </w:p>
        </w:tc>
      </w:tr>
      <w:tr w:rsidR="003656FA" w:rsidRPr="003656FA" w14:paraId="56B5A774" w14:textId="77777777" w:rsidTr="00A92684">
        <w:trPr>
          <w:trHeight w:val="205"/>
          <w:jc w:val="center"/>
        </w:trPr>
        <w:tc>
          <w:tcPr>
            <w:tcW w:w="989" w:type="dxa"/>
            <w:tcBorders>
              <w:top w:val="nil"/>
              <w:left w:val="single" w:sz="8" w:space="0" w:color="auto"/>
              <w:bottom w:val="nil"/>
              <w:right w:val="single" w:sz="8" w:space="0" w:color="auto"/>
            </w:tcBorders>
            <w:shd w:val="clear" w:color="000000" w:fill="D9E1F2"/>
            <w:noWrap/>
            <w:hideMark/>
          </w:tcPr>
          <w:p w14:paraId="35E5CD93"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USA</w:t>
            </w:r>
          </w:p>
        </w:tc>
        <w:tc>
          <w:tcPr>
            <w:tcW w:w="2120" w:type="dxa"/>
            <w:tcBorders>
              <w:top w:val="nil"/>
              <w:left w:val="nil"/>
              <w:bottom w:val="nil"/>
              <w:right w:val="single" w:sz="8" w:space="0" w:color="auto"/>
            </w:tcBorders>
            <w:shd w:val="clear" w:color="000000" w:fill="D9E1F2"/>
            <w:noWrap/>
            <w:hideMark/>
          </w:tcPr>
          <w:p w14:paraId="4C0C6255"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 xml:space="preserve">NASDAQ COMPOSITE </w:t>
            </w:r>
          </w:p>
        </w:tc>
        <w:tc>
          <w:tcPr>
            <w:tcW w:w="1595" w:type="dxa"/>
            <w:tcBorders>
              <w:top w:val="nil"/>
              <w:left w:val="nil"/>
              <w:bottom w:val="nil"/>
              <w:right w:val="single" w:sz="8" w:space="0" w:color="auto"/>
            </w:tcBorders>
            <w:shd w:val="clear" w:color="auto" w:fill="auto"/>
            <w:noWrap/>
            <w:hideMark/>
          </w:tcPr>
          <w:p w14:paraId="1225403B"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11775.5</w:t>
            </w:r>
          </w:p>
        </w:tc>
        <w:tc>
          <w:tcPr>
            <w:tcW w:w="1116" w:type="dxa"/>
            <w:tcBorders>
              <w:top w:val="nil"/>
              <w:left w:val="nil"/>
              <w:bottom w:val="nil"/>
              <w:right w:val="single" w:sz="8" w:space="0" w:color="auto"/>
            </w:tcBorders>
            <w:shd w:val="clear" w:color="auto" w:fill="auto"/>
            <w:noWrap/>
            <w:hideMark/>
          </w:tcPr>
          <w:p w14:paraId="3A1DD9BF"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10745.3</w:t>
            </w:r>
          </w:p>
        </w:tc>
        <w:tc>
          <w:tcPr>
            <w:tcW w:w="1027" w:type="dxa"/>
            <w:tcBorders>
              <w:top w:val="nil"/>
              <w:left w:val="nil"/>
              <w:bottom w:val="nil"/>
              <w:right w:val="single" w:sz="8" w:space="0" w:color="auto"/>
            </w:tcBorders>
            <w:shd w:val="clear" w:color="auto" w:fill="auto"/>
            <w:noWrap/>
            <w:hideMark/>
          </w:tcPr>
          <w:p w14:paraId="263744B6"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9489.9</w:t>
            </w:r>
          </w:p>
        </w:tc>
        <w:tc>
          <w:tcPr>
            <w:tcW w:w="1121" w:type="dxa"/>
            <w:tcBorders>
              <w:top w:val="nil"/>
              <w:left w:val="nil"/>
              <w:bottom w:val="nil"/>
              <w:right w:val="single" w:sz="8" w:space="0" w:color="auto"/>
            </w:tcBorders>
            <w:shd w:val="clear" w:color="auto" w:fill="auto"/>
            <w:noWrap/>
            <w:hideMark/>
          </w:tcPr>
          <w:p w14:paraId="3153C92B"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8567.4</w:t>
            </w:r>
          </w:p>
        </w:tc>
        <w:tc>
          <w:tcPr>
            <w:tcW w:w="1122" w:type="dxa"/>
            <w:tcBorders>
              <w:top w:val="nil"/>
              <w:left w:val="nil"/>
              <w:bottom w:val="nil"/>
              <w:right w:val="single" w:sz="8" w:space="0" w:color="auto"/>
            </w:tcBorders>
            <w:shd w:val="clear" w:color="auto" w:fill="auto"/>
            <w:noWrap/>
            <w:hideMark/>
          </w:tcPr>
          <w:p w14:paraId="7659424C"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7962.9</w:t>
            </w:r>
          </w:p>
        </w:tc>
        <w:tc>
          <w:tcPr>
            <w:tcW w:w="1317" w:type="dxa"/>
            <w:tcBorders>
              <w:top w:val="nil"/>
              <w:left w:val="nil"/>
              <w:bottom w:val="nil"/>
              <w:right w:val="single" w:sz="8" w:space="0" w:color="auto"/>
            </w:tcBorders>
            <w:shd w:val="clear" w:color="auto" w:fill="auto"/>
            <w:noWrap/>
            <w:hideMark/>
          </w:tcPr>
          <w:p w14:paraId="595148FB"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24.8</w:t>
            </w:r>
          </w:p>
        </w:tc>
        <w:tc>
          <w:tcPr>
            <w:tcW w:w="745" w:type="dxa"/>
            <w:tcBorders>
              <w:top w:val="nil"/>
              <w:left w:val="nil"/>
              <w:bottom w:val="nil"/>
              <w:right w:val="single" w:sz="8" w:space="0" w:color="auto"/>
            </w:tcBorders>
            <w:shd w:val="clear" w:color="auto" w:fill="auto"/>
            <w:noWrap/>
            <w:hideMark/>
          </w:tcPr>
          <w:p w14:paraId="1E69AA44"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66.5</w:t>
            </w:r>
          </w:p>
        </w:tc>
      </w:tr>
      <w:tr w:rsidR="003656FA" w:rsidRPr="003656FA" w14:paraId="083966F5" w14:textId="77777777" w:rsidTr="00A92684">
        <w:trPr>
          <w:trHeight w:val="205"/>
          <w:jc w:val="center"/>
        </w:trPr>
        <w:tc>
          <w:tcPr>
            <w:tcW w:w="989" w:type="dxa"/>
            <w:tcBorders>
              <w:top w:val="nil"/>
              <w:left w:val="single" w:sz="8" w:space="0" w:color="auto"/>
              <w:bottom w:val="nil"/>
              <w:right w:val="single" w:sz="8" w:space="0" w:color="auto"/>
            </w:tcBorders>
            <w:shd w:val="clear" w:color="000000" w:fill="D9E1F2"/>
            <w:noWrap/>
            <w:hideMark/>
          </w:tcPr>
          <w:p w14:paraId="11E5E230"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USA</w:t>
            </w:r>
          </w:p>
        </w:tc>
        <w:tc>
          <w:tcPr>
            <w:tcW w:w="2120" w:type="dxa"/>
            <w:tcBorders>
              <w:top w:val="nil"/>
              <w:left w:val="nil"/>
              <w:bottom w:val="nil"/>
              <w:right w:val="single" w:sz="8" w:space="0" w:color="auto"/>
            </w:tcBorders>
            <w:shd w:val="clear" w:color="000000" w:fill="D9E1F2"/>
            <w:noWrap/>
            <w:hideMark/>
          </w:tcPr>
          <w:p w14:paraId="3B230522"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DOW JONES INDUS. AVG</w:t>
            </w:r>
          </w:p>
        </w:tc>
        <w:tc>
          <w:tcPr>
            <w:tcW w:w="1595" w:type="dxa"/>
            <w:tcBorders>
              <w:top w:val="nil"/>
              <w:left w:val="nil"/>
              <w:bottom w:val="nil"/>
              <w:right w:val="single" w:sz="8" w:space="0" w:color="auto"/>
            </w:tcBorders>
            <w:shd w:val="clear" w:color="auto" w:fill="auto"/>
            <w:noWrap/>
            <w:hideMark/>
          </w:tcPr>
          <w:p w14:paraId="4988BDF2"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28430.1</w:t>
            </w:r>
          </w:p>
        </w:tc>
        <w:tc>
          <w:tcPr>
            <w:tcW w:w="1116" w:type="dxa"/>
            <w:tcBorders>
              <w:top w:val="nil"/>
              <w:left w:val="nil"/>
              <w:bottom w:val="nil"/>
              <w:right w:val="single" w:sz="8" w:space="0" w:color="auto"/>
            </w:tcBorders>
            <w:shd w:val="clear" w:color="auto" w:fill="auto"/>
            <w:noWrap/>
            <w:hideMark/>
          </w:tcPr>
          <w:p w14:paraId="1DEBC987"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26428.3</w:t>
            </w:r>
          </w:p>
        </w:tc>
        <w:tc>
          <w:tcPr>
            <w:tcW w:w="1027" w:type="dxa"/>
            <w:tcBorders>
              <w:top w:val="nil"/>
              <w:left w:val="nil"/>
              <w:bottom w:val="nil"/>
              <w:right w:val="single" w:sz="8" w:space="0" w:color="auto"/>
            </w:tcBorders>
            <w:shd w:val="clear" w:color="auto" w:fill="auto"/>
            <w:noWrap/>
            <w:hideMark/>
          </w:tcPr>
          <w:p w14:paraId="799F06FF"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25383.1</w:t>
            </w:r>
          </w:p>
        </w:tc>
        <w:tc>
          <w:tcPr>
            <w:tcW w:w="1121" w:type="dxa"/>
            <w:tcBorders>
              <w:top w:val="nil"/>
              <w:left w:val="nil"/>
              <w:bottom w:val="nil"/>
              <w:right w:val="single" w:sz="8" w:space="0" w:color="auto"/>
            </w:tcBorders>
            <w:shd w:val="clear" w:color="auto" w:fill="auto"/>
            <w:noWrap/>
            <w:hideMark/>
          </w:tcPr>
          <w:p w14:paraId="64DC655D"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25409.4</w:t>
            </w:r>
          </w:p>
        </w:tc>
        <w:tc>
          <w:tcPr>
            <w:tcW w:w="1122" w:type="dxa"/>
            <w:tcBorders>
              <w:top w:val="nil"/>
              <w:left w:val="nil"/>
              <w:bottom w:val="nil"/>
              <w:right w:val="single" w:sz="8" w:space="0" w:color="auto"/>
            </w:tcBorders>
            <w:shd w:val="clear" w:color="auto" w:fill="auto"/>
            <w:noWrap/>
            <w:hideMark/>
          </w:tcPr>
          <w:p w14:paraId="76297D05"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26403.3</w:t>
            </w:r>
          </w:p>
        </w:tc>
        <w:tc>
          <w:tcPr>
            <w:tcW w:w="1317" w:type="dxa"/>
            <w:tcBorders>
              <w:top w:val="nil"/>
              <w:left w:val="nil"/>
              <w:bottom w:val="nil"/>
              <w:right w:val="single" w:sz="8" w:space="0" w:color="auto"/>
            </w:tcBorders>
            <w:shd w:val="clear" w:color="auto" w:fill="auto"/>
            <w:noWrap/>
            <w:hideMark/>
          </w:tcPr>
          <w:p w14:paraId="30AE19A9"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13.6</w:t>
            </w:r>
          </w:p>
        </w:tc>
        <w:tc>
          <w:tcPr>
            <w:tcW w:w="745" w:type="dxa"/>
            <w:tcBorders>
              <w:top w:val="nil"/>
              <w:left w:val="nil"/>
              <w:bottom w:val="nil"/>
              <w:right w:val="single" w:sz="8" w:space="0" w:color="auto"/>
            </w:tcBorders>
            <w:shd w:val="clear" w:color="auto" w:fill="auto"/>
            <w:noWrap/>
            <w:hideMark/>
          </w:tcPr>
          <w:p w14:paraId="221B3127"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24.5</w:t>
            </w:r>
          </w:p>
        </w:tc>
      </w:tr>
      <w:tr w:rsidR="003656FA" w:rsidRPr="003656FA" w14:paraId="6DDDF785" w14:textId="77777777" w:rsidTr="00A92684">
        <w:trPr>
          <w:trHeight w:val="205"/>
          <w:jc w:val="center"/>
        </w:trPr>
        <w:tc>
          <w:tcPr>
            <w:tcW w:w="989" w:type="dxa"/>
            <w:tcBorders>
              <w:top w:val="nil"/>
              <w:left w:val="single" w:sz="8" w:space="0" w:color="auto"/>
              <w:bottom w:val="nil"/>
              <w:right w:val="single" w:sz="8" w:space="0" w:color="auto"/>
            </w:tcBorders>
            <w:shd w:val="clear" w:color="000000" w:fill="D9E1F2"/>
            <w:noWrap/>
            <w:hideMark/>
          </w:tcPr>
          <w:p w14:paraId="1D2F8AEA"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France</w:t>
            </w:r>
          </w:p>
        </w:tc>
        <w:tc>
          <w:tcPr>
            <w:tcW w:w="2120" w:type="dxa"/>
            <w:tcBorders>
              <w:top w:val="nil"/>
              <w:left w:val="nil"/>
              <w:bottom w:val="nil"/>
              <w:right w:val="single" w:sz="8" w:space="0" w:color="auto"/>
            </w:tcBorders>
            <w:shd w:val="clear" w:color="000000" w:fill="D9E1F2"/>
            <w:noWrap/>
            <w:hideMark/>
          </w:tcPr>
          <w:p w14:paraId="43F0F88B"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 xml:space="preserve">CAC 40 </w:t>
            </w:r>
          </w:p>
        </w:tc>
        <w:tc>
          <w:tcPr>
            <w:tcW w:w="1595" w:type="dxa"/>
            <w:tcBorders>
              <w:top w:val="nil"/>
              <w:left w:val="nil"/>
              <w:bottom w:val="nil"/>
              <w:right w:val="single" w:sz="8" w:space="0" w:color="auto"/>
            </w:tcBorders>
            <w:shd w:val="clear" w:color="auto" w:fill="auto"/>
            <w:noWrap/>
            <w:hideMark/>
          </w:tcPr>
          <w:p w14:paraId="0E7BB58E"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4947.2</w:t>
            </w:r>
          </w:p>
        </w:tc>
        <w:tc>
          <w:tcPr>
            <w:tcW w:w="1116" w:type="dxa"/>
            <w:tcBorders>
              <w:top w:val="nil"/>
              <w:left w:val="nil"/>
              <w:bottom w:val="nil"/>
              <w:right w:val="single" w:sz="8" w:space="0" w:color="auto"/>
            </w:tcBorders>
            <w:shd w:val="clear" w:color="auto" w:fill="auto"/>
            <w:noWrap/>
            <w:hideMark/>
          </w:tcPr>
          <w:p w14:paraId="3AF0BFE2"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4783.7</w:t>
            </w:r>
          </w:p>
        </w:tc>
        <w:tc>
          <w:tcPr>
            <w:tcW w:w="1027" w:type="dxa"/>
            <w:tcBorders>
              <w:top w:val="nil"/>
              <w:left w:val="nil"/>
              <w:bottom w:val="nil"/>
              <w:right w:val="single" w:sz="8" w:space="0" w:color="auto"/>
            </w:tcBorders>
            <w:shd w:val="clear" w:color="auto" w:fill="auto"/>
            <w:noWrap/>
            <w:hideMark/>
          </w:tcPr>
          <w:p w14:paraId="40FE1CE4"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4695.4</w:t>
            </w:r>
          </w:p>
        </w:tc>
        <w:tc>
          <w:tcPr>
            <w:tcW w:w="1121" w:type="dxa"/>
            <w:tcBorders>
              <w:top w:val="nil"/>
              <w:left w:val="nil"/>
              <w:bottom w:val="nil"/>
              <w:right w:val="single" w:sz="8" w:space="0" w:color="auto"/>
            </w:tcBorders>
            <w:shd w:val="clear" w:color="auto" w:fill="auto"/>
            <w:noWrap/>
            <w:hideMark/>
          </w:tcPr>
          <w:p w14:paraId="6FA71DDC"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5309.9</w:t>
            </w:r>
          </w:p>
        </w:tc>
        <w:tc>
          <w:tcPr>
            <w:tcW w:w="1122" w:type="dxa"/>
            <w:tcBorders>
              <w:top w:val="nil"/>
              <w:left w:val="nil"/>
              <w:bottom w:val="nil"/>
              <w:right w:val="single" w:sz="8" w:space="0" w:color="auto"/>
            </w:tcBorders>
            <w:shd w:val="clear" w:color="auto" w:fill="auto"/>
            <w:noWrap/>
            <w:hideMark/>
          </w:tcPr>
          <w:p w14:paraId="79316240"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5480.5</w:t>
            </w:r>
          </w:p>
        </w:tc>
        <w:tc>
          <w:tcPr>
            <w:tcW w:w="1317" w:type="dxa"/>
            <w:tcBorders>
              <w:top w:val="nil"/>
              <w:left w:val="nil"/>
              <w:bottom w:val="nil"/>
              <w:right w:val="single" w:sz="8" w:space="0" w:color="auto"/>
            </w:tcBorders>
            <w:shd w:val="clear" w:color="auto" w:fill="auto"/>
            <w:noWrap/>
            <w:hideMark/>
          </w:tcPr>
          <w:p w14:paraId="76932FA7"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20.2</w:t>
            </w:r>
          </w:p>
        </w:tc>
        <w:tc>
          <w:tcPr>
            <w:tcW w:w="745" w:type="dxa"/>
            <w:tcBorders>
              <w:top w:val="nil"/>
              <w:left w:val="nil"/>
              <w:bottom w:val="nil"/>
              <w:right w:val="single" w:sz="8" w:space="0" w:color="auto"/>
            </w:tcBorders>
            <w:shd w:val="clear" w:color="auto" w:fill="auto"/>
            <w:noWrap/>
            <w:hideMark/>
          </w:tcPr>
          <w:p w14:paraId="079803FF"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44.1</w:t>
            </w:r>
          </w:p>
        </w:tc>
      </w:tr>
      <w:tr w:rsidR="003656FA" w:rsidRPr="003656FA" w14:paraId="5C5BA85A" w14:textId="77777777" w:rsidTr="00A92684">
        <w:trPr>
          <w:trHeight w:val="205"/>
          <w:jc w:val="center"/>
        </w:trPr>
        <w:tc>
          <w:tcPr>
            <w:tcW w:w="989" w:type="dxa"/>
            <w:tcBorders>
              <w:top w:val="nil"/>
              <w:left w:val="single" w:sz="8" w:space="0" w:color="auto"/>
              <w:bottom w:val="nil"/>
              <w:right w:val="single" w:sz="8" w:space="0" w:color="auto"/>
            </w:tcBorders>
            <w:shd w:val="clear" w:color="000000" w:fill="D9E1F2"/>
            <w:noWrap/>
            <w:hideMark/>
          </w:tcPr>
          <w:p w14:paraId="776D97C2"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Germany</w:t>
            </w:r>
          </w:p>
        </w:tc>
        <w:tc>
          <w:tcPr>
            <w:tcW w:w="2120" w:type="dxa"/>
            <w:tcBorders>
              <w:top w:val="nil"/>
              <w:left w:val="nil"/>
              <w:bottom w:val="nil"/>
              <w:right w:val="single" w:sz="8" w:space="0" w:color="auto"/>
            </w:tcBorders>
            <w:shd w:val="clear" w:color="000000" w:fill="D9E1F2"/>
            <w:noWrap/>
            <w:hideMark/>
          </w:tcPr>
          <w:p w14:paraId="4263E3CA"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 xml:space="preserve">DAX </w:t>
            </w:r>
          </w:p>
        </w:tc>
        <w:tc>
          <w:tcPr>
            <w:tcW w:w="1595" w:type="dxa"/>
            <w:tcBorders>
              <w:top w:val="nil"/>
              <w:left w:val="nil"/>
              <w:bottom w:val="nil"/>
              <w:right w:val="single" w:sz="8" w:space="0" w:color="auto"/>
            </w:tcBorders>
            <w:shd w:val="clear" w:color="auto" w:fill="auto"/>
            <w:noWrap/>
            <w:hideMark/>
          </w:tcPr>
          <w:p w14:paraId="0D268F08"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12945.4</w:t>
            </w:r>
          </w:p>
        </w:tc>
        <w:tc>
          <w:tcPr>
            <w:tcW w:w="1116" w:type="dxa"/>
            <w:tcBorders>
              <w:top w:val="nil"/>
              <w:left w:val="nil"/>
              <w:bottom w:val="nil"/>
              <w:right w:val="single" w:sz="8" w:space="0" w:color="auto"/>
            </w:tcBorders>
            <w:shd w:val="clear" w:color="auto" w:fill="auto"/>
            <w:noWrap/>
            <w:hideMark/>
          </w:tcPr>
          <w:p w14:paraId="1B49E6CC"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12313.4</w:t>
            </w:r>
          </w:p>
        </w:tc>
        <w:tc>
          <w:tcPr>
            <w:tcW w:w="1027" w:type="dxa"/>
            <w:tcBorders>
              <w:top w:val="nil"/>
              <w:left w:val="nil"/>
              <w:bottom w:val="nil"/>
              <w:right w:val="single" w:sz="8" w:space="0" w:color="auto"/>
            </w:tcBorders>
            <w:shd w:val="clear" w:color="auto" w:fill="auto"/>
            <w:noWrap/>
            <w:hideMark/>
          </w:tcPr>
          <w:p w14:paraId="7D27DF1F"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11586.9</w:t>
            </w:r>
          </w:p>
        </w:tc>
        <w:tc>
          <w:tcPr>
            <w:tcW w:w="1121" w:type="dxa"/>
            <w:tcBorders>
              <w:top w:val="nil"/>
              <w:left w:val="nil"/>
              <w:bottom w:val="nil"/>
              <w:right w:val="single" w:sz="8" w:space="0" w:color="auto"/>
            </w:tcBorders>
            <w:shd w:val="clear" w:color="auto" w:fill="auto"/>
            <w:noWrap/>
            <w:hideMark/>
          </w:tcPr>
          <w:p w14:paraId="7DA79F3F"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11890.4</w:t>
            </w:r>
          </w:p>
        </w:tc>
        <w:tc>
          <w:tcPr>
            <w:tcW w:w="1122" w:type="dxa"/>
            <w:tcBorders>
              <w:top w:val="nil"/>
              <w:left w:val="nil"/>
              <w:bottom w:val="nil"/>
              <w:right w:val="single" w:sz="8" w:space="0" w:color="auto"/>
            </w:tcBorders>
            <w:shd w:val="clear" w:color="auto" w:fill="auto"/>
            <w:noWrap/>
            <w:hideMark/>
          </w:tcPr>
          <w:p w14:paraId="22951ED0"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11939.3</w:t>
            </w:r>
          </w:p>
        </w:tc>
        <w:tc>
          <w:tcPr>
            <w:tcW w:w="1317" w:type="dxa"/>
            <w:tcBorders>
              <w:top w:val="nil"/>
              <w:left w:val="nil"/>
              <w:bottom w:val="nil"/>
              <w:right w:val="single" w:sz="8" w:space="0" w:color="auto"/>
            </w:tcBorders>
            <w:shd w:val="clear" w:color="auto" w:fill="auto"/>
            <w:noWrap/>
            <w:hideMark/>
          </w:tcPr>
          <w:p w14:paraId="4DCBCCD5"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14.0</w:t>
            </w:r>
          </w:p>
        </w:tc>
        <w:tc>
          <w:tcPr>
            <w:tcW w:w="745" w:type="dxa"/>
            <w:tcBorders>
              <w:top w:val="nil"/>
              <w:left w:val="nil"/>
              <w:bottom w:val="nil"/>
              <w:right w:val="single" w:sz="8" w:space="0" w:color="auto"/>
            </w:tcBorders>
            <w:shd w:val="clear" w:color="auto" w:fill="auto"/>
            <w:noWrap/>
            <w:hideMark/>
          </w:tcPr>
          <w:p w14:paraId="1E7DD4DB"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40.5</w:t>
            </w:r>
          </w:p>
        </w:tc>
      </w:tr>
      <w:tr w:rsidR="003656FA" w:rsidRPr="003656FA" w14:paraId="6F715F18" w14:textId="77777777" w:rsidTr="00A92684">
        <w:trPr>
          <w:trHeight w:val="205"/>
          <w:jc w:val="center"/>
        </w:trPr>
        <w:tc>
          <w:tcPr>
            <w:tcW w:w="989" w:type="dxa"/>
            <w:tcBorders>
              <w:top w:val="nil"/>
              <w:left w:val="single" w:sz="8" w:space="0" w:color="auto"/>
              <w:bottom w:val="nil"/>
              <w:right w:val="single" w:sz="8" w:space="0" w:color="auto"/>
            </w:tcBorders>
            <w:shd w:val="clear" w:color="000000" w:fill="D9E1F2"/>
            <w:noWrap/>
            <w:hideMark/>
          </w:tcPr>
          <w:p w14:paraId="435679E2"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UK</w:t>
            </w:r>
          </w:p>
        </w:tc>
        <w:tc>
          <w:tcPr>
            <w:tcW w:w="2120" w:type="dxa"/>
            <w:tcBorders>
              <w:top w:val="nil"/>
              <w:left w:val="nil"/>
              <w:bottom w:val="nil"/>
              <w:right w:val="single" w:sz="8" w:space="0" w:color="auto"/>
            </w:tcBorders>
            <w:shd w:val="clear" w:color="000000" w:fill="D9E1F2"/>
            <w:noWrap/>
            <w:hideMark/>
          </w:tcPr>
          <w:p w14:paraId="678EB03C"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 xml:space="preserve">FTSE 100 </w:t>
            </w:r>
          </w:p>
        </w:tc>
        <w:tc>
          <w:tcPr>
            <w:tcW w:w="1595" w:type="dxa"/>
            <w:tcBorders>
              <w:top w:val="nil"/>
              <w:left w:val="nil"/>
              <w:bottom w:val="nil"/>
              <w:right w:val="single" w:sz="8" w:space="0" w:color="auto"/>
            </w:tcBorders>
            <w:shd w:val="clear" w:color="auto" w:fill="auto"/>
            <w:noWrap/>
            <w:hideMark/>
          </w:tcPr>
          <w:p w14:paraId="680BE588"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5963.6</w:t>
            </w:r>
          </w:p>
        </w:tc>
        <w:tc>
          <w:tcPr>
            <w:tcW w:w="1116" w:type="dxa"/>
            <w:tcBorders>
              <w:top w:val="nil"/>
              <w:left w:val="nil"/>
              <w:bottom w:val="nil"/>
              <w:right w:val="single" w:sz="8" w:space="0" w:color="auto"/>
            </w:tcBorders>
            <w:shd w:val="clear" w:color="auto" w:fill="auto"/>
            <w:noWrap/>
            <w:hideMark/>
          </w:tcPr>
          <w:p w14:paraId="2B71764A"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5897.8</w:t>
            </w:r>
          </w:p>
        </w:tc>
        <w:tc>
          <w:tcPr>
            <w:tcW w:w="1027" w:type="dxa"/>
            <w:tcBorders>
              <w:top w:val="nil"/>
              <w:left w:val="nil"/>
              <w:bottom w:val="nil"/>
              <w:right w:val="single" w:sz="8" w:space="0" w:color="auto"/>
            </w:tcBorders>
            <w:shd w:val="clear" w:color="auto" w:fill="auto"/>
            <w:noWrap/>
            <w:hideMark/>
          </w:tcPr>
          <w:p w14:paraId="3AD3AD3B"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6076.6</w:t>
            </w:r>
          </w:p>
        </w:tc>
        <w:tc>
          <w:tcPr>
            <w:tcW w:w="1121" w:type="dxa"/>
            <w:tcBorders>
              <w:top w:val="nil"/>
              <w:left w:val="nil"/>
              <w:bottom w:val="nil"/>
              <w:right w:val="single" w:sz="8" w:space="0" w:color="auto"/>
            </w:tcBorders>
            <w:shd w:val="clear" w:color="auto" w:fill="auto"/>
            <w:noWrap/>
            <w:hideMark/>
          </w:tcPr>
          <w:p w14:paraId="65A97AB0"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6580.6</w:t>
            </w:r>
          </w:p>
        </w:tc>
        <w:tc>
          <w:tcPr>
            <w:tcW w:w="1122" w:type="dxa"/>
            <w:tcBorders>
              <w:top w:val="nil"/>
              <w:left w:val="nil"/>
              <w:bottom w:val="nil"/>
              <w:right w:val="single" w:sz="8" w:space="0" w:color="auto"/>
            </w:tcBorders>
            <w:shd w:val="clear" w:color="auto" w:fill="auto"/>
            <w:noWrap/>
            <w:hideMark/>
          </w:tcPr>
          <w:p w14:paraId="31D48C01"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7207.2</w:t>
            </w:r>
          </w:p>
        </w:tc>
        <w:tc>
          <w:tcPr>
            <w:tcW w:w="1317" w:type="dxa"/>
            <w:tcBorders>
              <w:top w:val="nil"/>
              <w:left w:val="nil"/>
              <w:bottom w:val="nil"/>
              <w:right w:val="single" w:sz="8" w:space="0" w:color="auto"/>
            </w:tcBorders>
            <w:shd w:val="clear" w:color="auto" w:fill="auto"/>
            <w:noWrap/>
            <w:hideMark/>
          </w:tcPr>
          <w:p w14:paraId="420BC294"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20.3</w:t>
            </w:r>
          </w:p>
        </w:tc>
        <w:tc>
          <w:tcPr>
            <w:tcW w:w="745" w:type="dxa"/>
            <w:tcBorders>
              <w:top w:val="nil"/>
              <w:left w:val="nil"/>
              <w:bottom w:val="nil"/>
              <w:right w:val="single" w:sz="8" w:space="0" w:color="auto"/>
            </w:tcBorders>
            <w:shd w:val="clear" w:color="auto" w:fill="auto"/>
            <w:noWrap/>
            <w:hideMark/>
          </w:tcPr>
          <w:p w14:paraId="583474CA"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92.7</w:t>
            </w:r>
          </w:p>
        </w:tc>
      </w:tr>
      <w:tr w:rsidR="003656FA" w:rsidRPr="003656FA" w14:paraId="2B3A872D" w14:textId="77777777" w:rsidTr="00A92684">
        <w:trPr>
          <w:trHeight w:val="205"/>
          <w:jc w:val="center"/>
        </w:trPr>
        <w:tc>
          <w:tcPr>
            <w:tcW w:w="989" w:type="dxa"/>
            <w:tcBorders>
              <w:top w:val="nil"/>
              <w:left w:val="single" w:sz="8" w:space="0" w:color="auto"/>
              <w:bottom w:val="nil"/>
              <w:right w:val="single" w:sz="8" w:space="0" w:color="auto"/>
            </w:tcBorders>
            <w:shd w:val="clear" w:color="000000" w:fill="D9E1F2"/>
            <w:noWrap/>
            <w:hideMark/>
          </w:tcPr>
          <w:p w14:paraId="6B5A0344"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Hong Kong</w:t>
            </w:r>
          </w:p>
        </w:tc>
        <w:tc>
          <w:tcPr>
            <w:tcW w:w="2120" w:type="dxa"/>
            <w:tcBorders>
              <w:top w:val="nil"/>
              <w:left w:val="nil"/>
              <w:bottom w:val="nil"/>
              <w:right w:val="single" w:sz="8" w:space="0" w:color="auto"/>
            </w:tcBorders>
            <w:shd w:val="clear" w:color="000000" w:fill="D9E1F2"/>
            <w:noWrap/>
            <w:hideMark/>
          </w:tcPr>
          <w:p w14:paraId="773C491A"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 xml:space="preserve">HANG SENG </w:t>
            </w:r>
          </w:p>
        </w:tc>
        <w:tc>
          <w:tcPr>
            <w:tcW w:w="1595" w:type="dxa"/>
            <w:tcBorders>
              <w:top w:val="nil"/>
              <w:left w:val="nil"/>
              <w:bottom w:val="nil"/>
              <w:right w:val="single" w:sz="8" w:space="0" w:color="auto"/>
            </w:tcBorders>
            <w:shd w:val="clear" w:color="auto" w:fill="auto"/>
            <w:noWrap/>
            <w:hideMark/>
          </w:tcPr>
          <w:p w14:paraId="5ECD5EF5"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25177.1</w:t>
            </w:r>
          </w:p>
        </w:tc>
        <w:tc>
          <w:tcPr>
            <w:tcW w:w="1116" w:type="dxa"/>
            <w:tcBorders>
              <w:top w:val="nil"/>
              <w:left w:val="nil"/>
              <w:bottom w:val="nil"/>
              <w:right w:val="single" w:sz="8" w:space="0" w:color="auto"/>
            </w:tcBorders>
            <w:shd w:val="clear" w:color="auto" w:fill="auto"/>
            <w:noWrap/>
            <w:hideMark/>
          </w:tcPr>
          <w:p w14:paraId="07C0C83B"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24595.4</w:t>
            </w:r>
          </w:p>
        </w:tc>
        <w:tc>
          <w:tcPr>
            <w:tcW w:w="1027" w:type="dxa"/>
            <w:tcBorders>
              <w:top w:val="nil"/>
              <w:left w:val="nil"/>
              <w:bottom w:val="nil"/>
              <w:right w:val="single" w:sz="8" w:space="0" w:color="auto"/>
            </w:tcBorders>
            <w:shd w:val="clear" w:color="auto" w:fill="auto"/>
            <w:noWrap/>
            <w:hideMark/>
          </w:tcPr>
          <w:p w14:paraId="09CE3024"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22961.5</w:t>
            </w:r>
          </w:p>
        </w:tc>
        <w:tc>
          <w:tcPr>
            <w:tcW w:w="1121" w:type="dxa"/>
            <w:tcBorders>
              <w:top w:val="nil"/>
              <w:left w:val="nil"/>
              <w:bottom w:val="nil"/>
              <w:right w:val="single" w:sz="8" w:space="0" w:color="auto"/>
            </w:tcBorders>
            <w:shd w:val="clear" w:color="auto" w:fill="auto"/>
            <w:noWrap/>
            <w:hideMark/>
          </w:tcPr>
          <w:p w14:paraId="46198B1A"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26129.9</w:t>
            </w:r>
          </w:p>
        </w:tc>
        <w:tc>
          <w:tcPr>
            <w:tcW w:w="1122" w:type="dxa"/>
            <w:tcBorders>
              <w:top w:val="nil"/>
              <w:left w:val="nil"/>
              <w:bottom w:val="nil"/>
              <w:right w:val="single" w:sz="8" w:space="0" w:color="auto"/>
            </w:tcBorders>
            <w:shd w:val="clear" w:color="auto" w:fill="auto"/>
            <w:noWrap/>
            <w:hideMark/>
          </w:tcPr>
          <w:p w14:paraId="5CFA3CDC"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25724.7</w:t>
            </w:r>
          </w:p>
        </w:tc>
        <w:tc>
          <w:tcPr>
            <w:tcW w:w="1317" w:type="dxa"/>
            <w:tcBorders>
              <w:top w:val="nil"/>
              <w:left w:val="nil"/>
              <w:bottom w:val="nil"/>
              <w:right w:val="single" w:sz="8" w:space="0" w:color="auto"/>
            </w:tcBorders>
            <w:shd w:val="clear" w:color="auto" w:fill="auto"/>
            <w:noWrap/>
            <w:hideMark/>
          </w:tcPr>
          <w:p w14:paraId="06FDAAA7"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19.4</w:t>
            </w:r>
          </w:p>
        </w:tc>
        <w:tc>
          <w:tcPr>
            <w:tcW w:w="745" w:type="dxa"/>
            <w:tcBorders>
              <w:top w:val="nil"/>
              <w:left w:val="nil"/>
              <w:bottom w:val="nil"/>
              <w:right w:val="single" w:sz="8" w:space="0" w:color="auto"/>
            </w:tcBorders>
            <w:shd w:val="clear" w:color="auto" w:fill="auto"/>
            <w:noWrap/>
            <w:hideMark/>
          </w:tcPr>
          <w:p w14:paraId="4C887D44"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13.1</w:t>
            </w:r>
          </w:p>
        </w:tc>
      </w:tr>
      <w:tr w:rsidR="003656FA" w:rsidRPr="003656FA" w14:paraId="0BDBC191" w14:textId="77777777" w:rsidTr="00A92684">
        <w:trPr>
          <w:trHeight w:val="205"/>
          <w:jc w:val="center"/>
        </w:trPr>
        <w:tc>
          <w:tcPr>
            <w:tcW w:w="989" w:type="dxa"/>
            <w:tcBorders>
              <w:top w:val="nil"/>
              <w:left w:val="single" w:sz="8" w:space="0" w:color="auto"/>
              <w:bottom w:val="nil"/>
              <w:right w:val="single" w:sz="8" w:space="0" w:color="auto"/>
            </w:tcBorders>
            <w:shd w:val="clear" w:color="000000" w:fill="D9E1F2"/>
            <w:noWrap/>
            <w:hideMark/>
          </w:tcPr>
          <w:p w14:paraId="7F608B48"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South Korea</w:t>
            </w:r>
          </w:p>
        </w:tc>
        <w:tc>
          <w:tcPr>
            <w:tcW w:w="2120" w:type="dxa"/>
            <w:tcBorders>
              <w:top w:val="nil"/>
              <w:left w:val="nil"/>
              <w:bottom w:val="nil"/>
              <w:right w:val="single" w:sz="8" w:space="0" w:color="auto"/>
            </w:tcBorders>
            <w:shd w:val="clear" w:color="000000" w:fill="D9E1F2"/>
            <w:noWrap/>
            <w:hideMark/>
          </w:tcPr>
          <w:p w14:paraId="35CC435E"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 xml:space="preserve">KOSPI </w:t>
            </w:r>
          </w:p>
        </w:tc>
        <w:tc>
          <w:tcPr>
            <w:tcW w:w="1595" w:type="dxa"/>
            <w:tcBorders>
              <w:top w:val="nil"/>
              <w:left w:val="nil"/>
              <w:bottom w:val="nil"/>
              <w:right w:val="single" w:sz="8" w:space="0" w:color="auto"/>
            </w:tcBorders>
            <w:shd w:val="clear" w:color="auto" w:fill="auto"/>
            <w:noWrap/>
            <w:hideMark/>
          </w:tcPr>
          <w:p w14:paraId="78412A83"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2326.2</w:t>
            </w:r>
          </w:p>
        </w:tc>
        <w:tc>
          <w:tcPr>
            <w:tcW w:w="1116" w:type="dxa"/>
            <w:tcBorders>
              <w:top w:val="nil"/>
              <w:left w:val="nil"/>
              <w:bottom w:val="nil"/>
              <w:right w:val="single" w:sz="8" w:space="0" w:color="auto"/>
            </w:tcBorders>
            <w:shd w:val="clear" w:color="auto" w:fill="auto"/>
            <w:noWrap/>
            <w:hideMark/>
          </w:tcPr>
          <w:p w14:paraId="7708DAB9"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2249.4</w:t>
            </w:r>
          </w:p>
        </w:tc>
        <w:tc>
          <w:tcPr>
            <w:tcW w:w="1027" w:type="dxa"/>
            <w:tcBorders>
              <w:top w:val="nil"/>
              <w:left w:val="nil"/>
              <w:bottom w:val="nil"/>
              <w:right w:val="single" w:sz="8" w:space="0" w:color="auto"/>
            </w:tcBorders>
            <w:shd w:val="clear" w:color="auto" w:fill="auto"/>
            <w:noWrap/>
            <w:hideMark/>
          </w:tcPr>
          <w:p w14:paraId="29BBE438"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2029.6</w:t>
            </w:r>
          </w:p>
        </w:tc>
        <w:tc>
          <w:tcPr>
            <w:tcW w:w="1121" w:type="dxa"/>
            <w:tcBorders>
              <w:top w:val="nil"/>
              <w:left w:val="nil"/>
              <w:bottom w:val="nil"/>
              <w:right w:val="single" w:sz="8" w:space="0" w:color="auto"/>
            </w:tcBorders>
            <w:shd w:val="clear" w:color="auto" w:fill="auto"/>
            <w:noWrap/>
            <w:hideMark/>
          </w:tcPr>
          <w:p w14:paraId="282EF94F"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1987.0</w:t>
            </w:r>
          </w:p>
        </w:tc>
        <w:tc>
          <w:tcPr>
            <w:tcW w:w="1122" w:type="dxa"/>
            <w:tcBorders>
              <w:top w:val="nil"/>
              <w:left w:val="nil"/>
              <w:bottom w:val="nil"/>
              <w:right w:val="single" w:sz="8" w:space="0" w:color="auto"/>
            </w:tcBorders>
            <w:shd w:val="clear" w:color="auto" w:fill="auto"/>
            <w:noWrap/>
            <w:hideMark/>
          </w:tcPr>
          <w:p w14:paraId="2D1F11AF"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1967.8</w:t>
            </w:r>
          </w:p>
        </w:tc>
        <w:tc>
          <w:tcPr>
            <w:tcW w:w="1317" w:type="dxa"/>
            <w:tcBorders>
              <w:top w:val="nil"/>
              <w:left w:val="nil"/>
              <w:bottom w:val="nil"/>
              <w:right w:val="single" w:sz="8" w:space="0" w:color="auto"/>
            </w:tcBorders>
            <w:shd w:val="clear" w:color="auto" w:fill="auto"/>
            <w:noWrap/>
            <w:hideMark/>
          </w:tcPr>
          <w:p w14:paraId="1BF63314"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27.7</w:t>
            </w:r>
          </w:p>
        </w:tc>
        <w:tc>
          <w:tcPr>
            <w:tcW w:w="745" w:type="dxa"/>
            <w:tcBorders>
              <w:top w:val="nil"/>
              <w:left w:val="nil"/>
              <w:bottom w:val="nil"/>
              <w:right w:val="single" w:sz="8" w:space="0" w:color="auto"/>
            </w:tcBorders>
            <w:shd w:val="clear" w:color="auto" w:fill="auto"/>
            <w:noWrap/>
            <w:hideMark/>
          </w:tcPr>
          <w:p w14:paraId="4F124B33"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35.9</w:t>
            </w:r>
          </w:p>
        </w:tc>
      </w:tr>
      <w:tr w:rsidR="003656FA" w:rsidRPr="003656FA" w14:paraId="4BF5EBA4" w14:textId="77777777" w:rsidTr="00A92684">
        <w:trPr>
          <w:trHeight w:val="205"/>
          <w:jc w:val="center"/>
        </w:trPr>
        <w:tc>
          <w:tcPr>
            <w:tcW w:w="989" w:type="dxa"/>
            <w:tcBorders>
              <w:top w:val="nil"/>
              <w:left w:val="single" w:sz="8" w:space="0" w:color="auto"/>
              <w:bottom w:val="nil"/>
              <w:right w:val="single" w:sz="8" w:space="0" w:color="auto"/>
            </w:tcBorders>
            <w:shd w:val="clear" w:color="000000" w:fill="D9E1F2"/>
            <w:noWrap/>
            <w:hideMark/>
          </w:tcPr>
          <w:p w14:paraId="089D8995"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Japan</w:t>
            </w:r>
          </w:p>
        </w:tc>
        <w:tc>
          <w:tcPr>
            <w:tcW w:w="2120" w:type="dxa"/>
            <w:tcBorders>
              <w:top w:val="nil"/>
              <w:left w:val="nil"/>
              <w:bottom w:val="nil"/>
              <w:right w:val="single" w:sz="8" w:space="0" w:color="auto"/>
            </w:tcBorders>
            <w:shd w:val="clear" w:color="000000" w:fill="D9E1F2"/>
            <w:noWrap/>
            <w:hideMark/>
          </w:tcPr>
          <w:p w14:paraId="1EB3CB8F"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NIKKEI 225</w:t>
            </w:r>
          </w:p>
        </w:tc>
        <w:tc>
          <w:tcPr>
            <w:tcW w:w="1595" w:type="dxa"/>
            <w:tcBorders>
              <w:top w:val="nil"/>
              <w:left w:val="nil"/>
              <w:bottom w:val="nil"/>
              <w:right w:val="single" w:sz="8" w:space="0" w:color="auto"/>
            </w:tcBorders>
            <w:shd w:val="clear" w:color="auto" w:fill="auto"/>
            <w:noWrap/>
            <w:hideMark/>
          </w:tcPr>
          <w:p w14:paraId="7294E9CA"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23139.8</w:t>
            </w:r>
          </w:p>
        </w:tc>
        <w:tc>
          <w:tcPr>
            <w:tcW w:w="1116" w:type="dxa"/>
            <w:tcBorders>
              <w:top w:val="nil"/>
              <w:left w:val="nil"/>
              <w:bottom w:val="nil"/>
              <w:right w:val="single" w:sz="8" w:space="0" w:color="auto"/>
            </w:tcBorders>
            <w:shd w:val="clear" w:color="auto" w:fill="auto"/>
            <w:noWrap/>
            <w:hideMark/>
          </w:tcPr>
          <w:p w14:paraId="55D9D71A"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21710.0</w:t>
            </w:r>
          </w:p>
        </w:tc>
        <w:tc>
          <w:tcPr>
            <w:tcW w:w="1027" w:type="dxa"/>
            <w:tcBorders>
              <w:top w:val="nil"/>
              <w:left w:val="nil"/>
              <w:bottom w:val="nil"/>
              <w:right w:val="single" w:sz="8" w:space="0" w:color="auto"/>
            </w:tcBorders>
            <w:shd w:val="clear" w:color="auto" w:fill="auto"/>
            <w:noWrap/>
            <w:hideMark/>
          </w:tcPr>
          <w:p w14:paraId="211DEFDE"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21877.9</w:t>
            </w:r>
          </w:p>
        </w:tc>
        <w:tc>
          <w:tcPr>
            <w:tcW w:w="1121" w:type="dxa"/>
            <w:tcBorders>
              <w:top w:val="nil"/>
              <w:left w:val="nil"/>
              <w:bottom w:val="nil"/>
              <w:right w:val="single" w:sz="8" w:space="0" w:color="auto"/>
            </w:tcBorders>
            <w:shd w:val="clear" w:color="auto" w:fill="auto"/>
            <w:noWrap/>
            <w:hideMark/>
          </w:tcPr>
          <w:p w14:paraId="1487CEF3"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21143.0</w:t>
            </w:r>
          </w:p>
        </w:tc>
        <w:tc>
          <w:tcPr>
            <w:tcW w:w="1122" w:type="dxa"/>
            <w:tcBorders>
              <w:top w:val="nil"/>
              <w:left w:val="nil"/>
              <w:bottom w:val="nil"/>
              <w:right w:val="single" w:sz="8" w:space="0" w:color="auto"/>
            </w:tcBorders>
            <w:shd w:val="clear" w:color="auto" w:fill="auto"/>
            <w:noWrap/>
            <w:hideMark/>
          </w:tcPr>
          <w:p w14:paraId="391AF5B4"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20704.4</w:t>
            </w:r>
          </w:p>
        </w:tc>
        <w:tc>
          <w:tcPr>
            <w:tcW w:w="1317" w:type="dxa"/>
            <w:tcBorders>
              <w:top w:val="nil"/>
              <w:left w:val="nil"/>
              <w:bottom w:val="nil"/>
              <w:right w:val="single" w:sz="8" w:space="0" w:color="auto"/>
            </w:tcBorders>
            <w:shd w:val="clear" w:color="auto" w:fill="auto"/>
            <w:noWrap/>
            <w:hideMark/>
          </w:tcPr>
          <w:p w14:paraId="5A50C16C"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14.0</w:t>
            </w:r>
          </w:p>
        </w:tc>
        <w:tc>
          <w:tcPr>
            <w:tcW w:w="745" w:type="dxa"/>
            <w:tcBorders>
              <w:top w:val="nil"/>
              <w:left w:val="nil"/>
              <w:bottom w:val="nil"/>
              <w:right w:val="single" w:sz="8" w:space="0" w:color="auto"/>
            </w:tcBorders>
            <w:shd w:val="clear" w:color="auto" w:fill="auto"/>
            <w:noWrap/>
            <w:hideMark/>
          </w:tcPr>
          <w:p w14:paraId="67192D90"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34.0</w:t>
            </w:r>
          </w:p>
        </w:tc>
      </w:tr>
      <w:tr w:rsidR="003656FA" w:rsidRPr="003656FA" w14:paraId="7198BAB6" w14:textId="77777777" w:rsidTr="00A92684">
        <w:trPr>
          <w:trHeight w:val="205"/>
          <w:jc w:val="center"/>
        </w:trPr>
        <w:tc>
          <w:tcPr>
            <w:tcW w:w="989" w:type="dxa"/>
            <w:tcBorders>
              <w:top w:val="nil"/>
              <w:left w:val="single" w:sz="8" w:space="0" w:color="auto"/>
              <w:bottom w:val="nil"/>
              <w:right w:val="single" w:sz="8" w:space="0" w:color="auto"/>
            </w:tcBorders>
            <w:shd w:val="clear" w:color="000000" w:fill="D9E1F2"/>
            <w:noWrap/>
            <w:hideMark/>
          </w:tcPr>
          <w:p w14:paraId="345DD5DC"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Singapore</w:t>
            </w:r>
          </w:p>
        </w:tc>
        <w:tc>
          <w:tcPr>
            <w:tcW w:w="2120" w:type="dxa"/>
            <w:tcBorders>
              <w:top w:val="nil"/>
              <w:left w:val="nil"/>
              <w:bottom w:val="nil"/>
              <w:right w:val="single" w:sz="8" w:space="0" w:color="auto"/>
            </w:tcBorders>
            <w:shd w:val="clear" w:color="000000" w:fill="D9E1F2"/>
            <w:noWrap/>
            <w:hideMark/>
          </w:tcPr>
          <w:p w14:paraId="0EE22640"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STRAITS TIMES  STI</w:t>
            </w:r>
          </w:p>
        </w:tc>
        <w:tc>
          <w:tcPr>
            <w:tcW w:w="1595" w:type="dxa"/>
            <w:tcBorders>
              <w:top w:val="nil"/>
              <w:left w:val="nil"/>
              <w:bottom w:val="nil"/>
              <w:right w:val="single" w:sz="8" w:space="0" w:color="auto"/>
            </w:tcBorders>
            <w:shd w:val="clear" w:color="auto" w:fill="auto"/>
            <w:noWrap/>
            <w:hideMark/>
          </w:tcPr>
          <w:p w14:paraId="14E22A1D"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2532.5</w:t>
            </w:r>
          </w:p>
        </w:tc>
        <w:tc>
          <w:tcPr>
            <w:tcW w:w="1116" w:type="dxa"/>
            <w:tcBorders>
              <w:top w:val="nil"/>
              <w:left w:val="nil"/>
              <w:bottom w:val="nil"/>
              <w:right w:val="single" w:sz="8" w:space="0" w:color="auto"/>
            </w:tcBorders>
            <w:shd w:val="clear" w:color="auto" w:fill="auto"/>
            <w:noWrap/>
            <w:hideMark/>
          </w:tcPr>
          <w:p w14:paraId="43764B3D"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2529.8</w:t>
            </w:r>
          </w:p>
        </w:tc>
        <w:tc>
          <w:tcPr>
            <w:tcW w:w="1027" w:type="dxa"/>
            <w:tcBorders>
              <w:top w:val="nil"/>
              <w:left w:val="nil"/>
              <w:bottom w:val="nil"/>
              <w:right w:val="single" w:sz="8" w:space="0" w:color="auto"/>
            </w:tcBorders>
            <w:shd w:val="clear" w:color="auto" w:fill="auto"/>
            <w:noWrap/>
            <w:hideMark/>
          </w:tcPr>
          <w:p w14:paraId="2C313F8C"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2510.8</w:t>
            </w:r>
          </w:p>
        </w:tc>
        <w:tc>
          <w:tcPr>
            <w:tcW w:w="1121" w:type="dxa"/>
            <w:tcBorders>
              <w:top w:val="nil"/>
              <w:left w:val="nil"/>
              <w:bottom w:val="nil"/>
              <w:right w:val="single" w:sz="8" w:space="0" w:color="auto"/>
            </w:tcBorders>
            <w:shd w:val="clear" w:color="auto" w:fill="auto"/>
            <w:noWrap/>
            <w:hideMark/>
          </w:tcPr>
          <w:p w14:paraId="785FB646"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3011.1</w:t>
            </w:r>
          </w:p>
        </w:tc>
        <w:tc>
          <w:tcPr>
            <w:tcW w:w="1122" w:type="dxa"/>
            <w:tcBorders>
              <w:top w:val="nil"/>
              <w:left w:val="nil"/>
              <w:bottom w:val="nil"/>
              <w:right w:val="single" w:sz="8" w:space="0" w:color="auto"/>
            </w:tcBorders>
            <w:shd w:val="clear" w:color="auto" w:fill="auto"/>
            <w:noWrap/>
            <w:hideMark/>
          </w:tcPr>
          <w:p w14:paraId="0AE08229"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3106.5</w:t>
            </w:r>
          </w:p>
        </w:tc>
        <w:tc>
          <w:tcPr>
            <w:tcW w:w="1317" w:type="dxa"/>
            <w:tcBorders>
              <w:top w:val="nil"/>
              <w:left w:val="nil"/>
              <w:bottom w:val="nil"/>
              <w:right w:val="single" w:sz="8" w:space="0" w:color="auto"/>
            </w:tcBorders>
            <w:shd w:val="clear" w:color="auto" w:fill="auto"/>
            <w:noWrap/>
            <w:hideMark/>
          </w:tcPr>
          <w:p w14:paraId="61EE1391"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23.2</w:t>
            </w:r>
          </w:p>
        </w:tc>
        <w:tc>
          <w:tcPr>
            <w:tcW w:w="745" w:type="dxa"/>
            <w:tcBorders>
              <w:top w:val="nil"/>
              <w:left w:val="nil"/>
              <w:bottom w:val="nil"/>
              <w:right w:val="single" w:sz="8" w:space="0" w:color="auto"/>
            </w:tcBorders>
            <w:shd w:val="clear" w:color="auto" w:fill="auto"/>
            <w:noWrap/>
            <w:hideMark/>
          </w:tcPr>
          <w:p w14:paraId="0571961E"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19.2</w:t>
            </w:r>
          </w:p>
        </w:tc>
      </w:tr>
      <w:tr w:rsidR="003656FA" w:rsidRPr="003656FA" w14:paraId="26C2FFF8" w14:textId="77777777" w:rsidTr="00A92684">
        <w:trPr>
          <w:trHeight w:val="216"/>
          <w:jc w:val="center"/>
        </w:trPr>
        <w:tc>
          <w:tcPr>
            <w:tcW w:w="989" w:type="dxa"/>
            <w:tcBorders>
              <w:top w:val="nil"/>
              <w:left w:val="single" w:sz="8" w:space="0" w:color="auto"/>
              <w:bottom w:val="single" w:sz="8" w:space="0" w:color="auto"/>
              <w:right w:val="single" w:sz="8" w:space="0" w:color="auto"/>
            </w:tcBorders>
            <w:shd w:val="clear" w:color="000000" w:fill="D9E1F2"/>
            <w:noWrap/>
            <w:hideMark/>
          </w:tcPr>
          <w:p w14:paraId="0B3FD2B4" w14:textId="77777777" w:rsidR="003656FA" w:rsidRPr="003656FA" w:rsidRDefault="003656FA" w:rsidP="003656FA">
            <w:pPr>
              <w:rPr>
                <w:rFonts w:ascii="Garamond" w:eastAsia="Times New Roman" w:hAnsi="Garamond" w:cs="Calibri"/>
                <w:color w:val="000000"/>
                <w:sz w:val="20"/>
                <w:szCs w:val="20"/>
                <w:lang w:val="en-IN" w:eastAsia="en-IN"/>
              </w:rPr>
            </w:pPr>
            <w:r w:rsidRPr="003656FA">
              <w:rPr>
                <w:rFonts w:ascii="Garamond" w:eastAsia="Times New Roman" w:hAnsi="Garamond" w:cs="Calibri"/>
                <w:color w:val="000000"/>
                <w:sz w:val="20"/>
                <w:szCs w:val="20"/>
                <w:lang w:val="en-IN" w:eastAsia="en-IN"/>
              </w:rPr>
              <w:t>Taiwan</w:t>
            </w:r>
          </w:p>
        </w:tc>
        <w:tc>
          <w:tcPr>
            <w:tcW w:w="2120" w:type="dxa"/>
            <w:tcBorders>
              <w:top w:val="nil"/>
              <w:left w:val="nil"/>
              <w:bottom w:val="single" w:sz="8" w:space="0" w:color="auto"/>
              <w:right w:val="single" w:sz="8" w:space="0" w:color="auto"/>
            </w:tcBorders>
            <w:shd w:val="clear" w:color="000000" w:fill="D9E1F2"/>
            <w:noWrap/>
            <w:hideMark/>
          </w:tcPr>
          <w:p w14:paraId="2A82FD29" w14:textId="77777777" w:rsidR="003656FA" w:rsidRPr="003656FA" w:rsidRDefault="003656FA" w:rsidP="003656FA">
            <w:pPr>
              <w:rPr>
                <w:rFonts w:ascii="Garamond" w:eastAsia="Times New Roman" w:hAnsi="Garamond" w:cs="Calibri"/>
                <w:color w:val="000000"/>
                <w:sz w:val="18"/>
                <w:szCs w:val="18"/>
                <w:lang w:val="en-IN" w:eastAsia="en-IN"/>
              </w:rPr>
            </w:pPr>
            <w:r w:rsidRPr="003656FA">
              <w:rPr>
                <w:rFonts w:ascii="Garamond" w:eastAsia="Times New Roman" w:hAnsi="Garamond" w:cs="Calibri"/>
                <w:color w:val="000000"/>
                <w:sz w:val="18"/>
                <w:szCs w:val="18"/>
                <w:lang w:val="en-IN" w:eastAsia="en-IN"/>
              </w:rPr>
              <w:t xml:space="preserve">TAIWAN TAIEX </w:t>
            </w:r>
          </w:p>
        </w:tc>
        <w:tc>
          <w:tcPr>
            <w:tcW w:w="1595" w:type="dxa"/>
            <w:tcBorders>
              <w:top w:val="nil"/>
              <w:left w:val="nil"/>
              <w:bottom w:val="single" w:sz="8" w:space="0" w:color="auto"/>
              <w:right w:val="single" w:sz="8" w:space="0" w:color="auto"/>
            </w:tcBorders>
            <w:shd w:val="clear" w:color="auto" w:fill="auto"/>
            <w:noWrap/>
            <w:hideMark/>
          </w:tcPr>
          <w:p w14:paraId="7E36E974"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12591.5</w:t>
            </w:r>
          </w:p>
        </w:tc>
        <w:tc>
          <w:tcPr>
            <w:tcW w:w="1116" w:type="dxa"/>
            <w:tcBorders>
              <w:top w:val="nil"/>
              <w:left w:val="nil"/>
              <w:bottom w:val="single" w:sz="8" w:space="0" w:color="auto"/>
              <w:right w:val="single" w:sz="8" w:space="0" w:color="auto"/>
            </w:tcBorders>
            <w:shd w:val="clear" w:color="auto" w:fill="auto"/>
            <w:noWrap/>
            <w:hideMark/>
          </w:tcPr>
          <w:p w14:paraId="1BA705FF"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12664.8</w:t>
            </w:r>
          </w:p>
        </w:tc>
        <w:tc>
          <w:tcPr>
            <w:tcW w:w="1027" w:type="dxa"/>
            <w:tcBorders>
              <w:top w:val="nil"/>
              <w:left w:val="nil"/>
              <w:bottom w:val="single" w:sz="8" w:space="0" w:color="auto"/>
              <w:right w:val="single" w:sz="8" w:space="0" w:color="auto"/>
            </w:tcBorders>
            <w:shd w:val="clear" w:color="auto" w:fill="auto"/>
            <w:noWrap/>
            <w:hideMark/>
          </w:tcPr>
          <w:p w14:paraId="719DCF0A"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10942.2</w:t>
            </w:r>
          </w:p>
        </w:tc>
        <w:tc>
          <w:tcPr>
            <w:tcW w:w="1121" w:type="dxa"/>
            <w:tcBorders>
              <w:top w:val="nil"/>
              <w:left w:val="nil"/>
              <w:bottom w:val="single" w:sz="8" w:space="0" w:color="auto"/>
              <w:right w:val="single" w:sz="8" w:space="0" w:color="auto"/>
            </w:tcBorders>
            <w:shd w:val="clear" w:color="auto" w:fill="auto"/>
            <w:noWrap/>
            <w:hideMark/>
          </w:tcPr>
          <w:p w14:paraId="4E1CB6CE"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11292.2</w:t>
            </w:r>
          </w:p>
        </w:tc>
        <w:tc>
          <w:tcPr>
            <w:tcW w:w="1122" w:type="dxa"/>
            <w:tcBorders>
              <w:top w:val="nil"/>
              <w:left w:val="nil"/>
              <w:bottom w:val="single" w:sz="8" w:space="0" w:color="auto"/>
              <w:right w:val="single" w:sz="8" w:space="0" w:color="auto"/>
            </w:tcBorders>
            <w:shd w:val="clear" w:color="auto" w:fill="auto"/>
            <w:noWrap/>
            <w:hideMark/>
          </w:tcPr>
          <w:p w14:paraId="3E9DE68F"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10618.1</w:t>
            </w:r>
          </w:p>
        </w:tc>
        <w:tc>
          <w:tcPr>
            <w:tcW w:w="1317" w:type="dxa"/>
            <w:tcBorders>
              <w:top w:val="nil"/>
              <w:left w:val="nil"/>
              <w:bottom w:val="single" w:sz="8" w:space="0" w:color="auto"/>
              <w:right w:val="single" w:sz="8" w:space="0" w:color="auto"/>
            </w:tcBorders>
            <w:shd w:val="clear" w:color="auto" w:fill="auto"/>
            <w:noWrap/>
            <w:hideMark/>
          </w:tcPr>
          <w:p w14:paraId="4AA2E11A"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26.5</w:t>
            </w:r>
          </w:p>
        </w:tc>
        <w:tc>
          <w:tcPr>
            <w:tcW w:w="745" w:type="dxa"/>
            <w:tcBorders>
              <w:top w:val="nil"/>
              <w:left w:val="nil"/>
              <w:bottom w:val="single" w:sz="8" w:space="0" w:color="auto"/>
              <w:right w:val="single" w:sz="8" w:space="0" w:color="auto"/>
            </w:tcBorders>
            <w:shd w:val="clear" w:color="auto" w:fill="auto"/>
            <w:noWrap/>
            <w:hideMark/>
          </w:tcPr>
          <w:p w14:paraId="65A28486" w14:textId="77777777" w:rsidR="003656FA" w:rsidRPr="003656FA" w:rsidRDefault="003656FA" w:rsidP="003656FA">
            <w:pPr>
              <w:ind w:firstLineChars="100" w:firstLine="200"/>
              <w:jc w:val="right"/>
              <w:rPr>
                <w:rFonts w:ascii="Garamond" w:hAnsi="Garamond" w:cs="Calibri"/>
                <w:sz w:val="20"/>
                <w:szCs w:val="20"/>
              </w:rPr>
            </w:pPr>
            <w:r w:rsidRPr="003656FA">
              <w:rPr>
                <w:rFonts w:ascii="Garamond" w:hAnsi="Garamond" w:cs="Calibri"/>
                <w:sz w:val="20"/>
                <w:szCs w:val="20"/>
              </w:rPr>
              <w:t>20.8</w:t>
            </w:r>
          </w:p>
        </w:tc>
      </w:tr>
    </w:tbl>
    <w:p w14:paraId="21E2872A" w14:textId="77777777" w:rsidR="003656FA" w:rsidRPr="003656FA" w:rsidRDefault="003656FA" w:rsidP="003656FA">
      <w:pPr>
        <w:spacing w:line="23" w:lineRule="atLeast"/>
        <w:jc w:val="both"/>
        <w:rPr>
          <w:rFonts w:ascii="Garamond" w:hAnsi="Garamond"/>
          <w:bCs/>
          <w:sz w:val="18"/>
          <w:szCs w:val="18"/>
        </w:rPr>
      </w:pPr>
      <w:r w:rsidRPr="003656FA">
        <w:rPr>
          <w:rFonts w:ascii="Garamond" w:hAnsi="Garamond"/>
          <w:bCs/>
          <w:sz w:val="18"/>
          <w:szCs w:val="18"/>
        </w:rPr>
        <w:t xml:space="preserve"> Note: P/E Ratios as on the last trading day.</w:t>
      </w:r>
    </w:p>
    <w:p w14:paraId="0A682755" w14:textId="77777777" w:rsidR="003656FA" w:rsidRPr="003656FA" w:rsidRDefault="003656FA" w:rsidP="003656FA">
      <w:pPr>
        <w:spacing w:line="23" w:lineRule="atLeast"/>
        <w:jc w:val="both"/>
        <w:rPr>
          <w:rFonts w:ascii="Garamond" w:hAnsi="Garamond"/>
          <w:bCs/>
          <w:sz w:val="18"/>
          <w:szCs w:val="18"/>
        </w:rPr>
      </w:pPr>
      <w:r w:rsidRPr="003656FA">
        <w:rPr>
          <w:rFonts w:ascii="Garamond" w:hAnsi="Garamond"/>
          <w:bCs/>
          <w:sz w:val="18"/>
          <w:szCs w:val="18"/>
        </w:rPr>
        <w:t xml:space="preserve">Source: Bloomberg, BSE and National Stock Exchange </w:t>
      </w:r>
    </w:p>
    <w:p w14:paraId="58B9AFE2" w14:textId="77777777" w:rsidR="003656FA" w:rsidRPr="003656FA" w:rsidRDefault="003656FA" w:rsidP="003656FA">
      <w:pPr>
        <w:spacing w:line="23" w:lineRule="atLeast"/>
        <w:jc w:val="both"/>
        <w:rPr>
          <w:rFonts w:ascii="Garamond" w:hAnsi="Garamond"/>
          <w:b/>
          <w:bCs/>
          <w:szCs w:val="22"/>
        </w:rPr>
      </w:pPr>
      <w:r w:rsidRPr="003656FA">
        <w:rPr>
          <w:rFonts w:ascii="Garamond" w:hAnsi="Garamond"/>
          <w:b/>
          <w:bCs/>
          <w:szCs w:val="22"/>
        </w:rPr>
        <w:t>Table A2: Fund Mobilisation by Issuance of Equity and Bond in Major Exchanges (USD million)</w:t>
      </w:r>
    </w:p>
    <w:tbl>
      <w:tblPr>
        <w:tblW w:w="9428" w:type="dxa"/>
        <w:tblLook w:val="04A0" w:firstRow="1" w:lastRow="0" w:firstColumn="1" w:lastColumn="0" w:noHBand="0" w:noVBand="1"/>
      </w:tblPr>
      <w:tblGrid>
        <w:gridCol w:w="3304"/>
        <w:gridCol w:w="1020"/>
        <w:gridCol w:w="1020"/>
        <w:gridCol w:w="1022"/>
        <w:gridCol w:w="1020"/>
        <w:gridCol w:w="1020"/>
        <w:gridCol w:w="1022"/>
      </w:tblGrid>
      <w:tr w:rsidR="003656FA" w:rsidRPr="003656FA" w14:paraId="76644418" w14:textId="77777777" w:rsidTr="00A92684">
        <w:trPr>
          <w:trHeight w:val="272"/>
        </w:trPr>
        <w:tc>
          <w:tcPr>
            <w:tcW w:w="3304" w:type="dxa"/>
            <w:tcBorders>
              <w:top w:val="single" w:sz="8" w:space="0" w:color="auto"/>
              <w:left w:val="single" w:sz="8" w:space="0" w:color="auto"/>
              <w:bottom w:val="nil"/>
              <w:right w:val="single" w:sz="8" w:space="0" w:color="auto"/>
            </w:tcBorders>
            <w:shd w:val="clear" w:color="000000" w:fill="2F5496"/>
            <w:vAlign w:val="center"/>
            <w:hideMark/>
          </w:tcPr>
          <w:p w14:paraId="669D604B" w14:textId="77777777" w:rsidR="003656FA" w:rsidRPr="003656FA" w:rsidRDefault="003656FA" w:rsidP="003656FA">
            <w:pPr>
              <w:jc w:val="center"/>
              <w:rPr>
                <w:rFonts w:ascii="Garamond" w:eastAsia="Times New Roman" w:hAnsi="Garamond" w:cs="Calibri"/>
                <w:b/>
                <w:bCs/>
                <w:color w:val="FFFFFF"/>
                <w:sz w:val="20"/>
                <w:szCs w:val="20"/>
                <w:lang w:val="en-IN" w:eastAsia="en-IN" w:bidi="hi-IN"/>
              </w:rPr>
            </w:pPr>
            <w:r w:rsidRPr="003656FA">
              <w:rPr>
                <w:rFonts w:ascii="Garamond" w:eastAsia="Times New Roman" w:hAnsi="Garamond" w:cs="Calibri"/>
                <w:b/>
                <w:bCs/>
                <w:color w:val="FFFFFF"/>
                <w:sz w:val="20"/>
                <w:szCs w:val="20"/>
                <w:lang w:val="en-IN" w:eastAsia="en-IN" w:bidi="hi-IN"/>
              </w:rPr>
              <w:t>Month</w:t>
            </w:r>
          </w:p>
        </w:tc>
        <w:tc>
          <w:tcPr>
            <w:tcW w:w="3062" w:type="dxa"/>
            <w:gridSpan w:val="3"/>
            <w:tcBorders>
              <w:top w:val="single" w:sz="8" w:space="0" w:color="auto"/>
              <w:left w:val="nil"/>
              <w:bottom w:val="nil"/>
              <w:right w:val="single" w:sz="8" w:space="0" w:color="000000"/>
            </w:tcBorders>
            <w:shd w:val="clear" w:color="000000" w:fill="2F5496"/>
            <w:vAlign w:val="center"/>
            <w:hideMark/>
          </w:tcPr>
          <w:p w14:paraId="3E840C5D" w14:textId="77777777" w:rsidR="003656FA" w:rsidRPr="003656FA" w:rsidRDefault="003656FA" w:rsidP="003656FA">
            <w:pPr>
              <w:jc w:val="center"/>
              <w:rPr>
                <w:rFonts w:ascii="Garamond" w:eastAsia="Times New Roman" w:hAnsi="Garamond" w:cs="Calibri"/>
                <w:b/>
                <w:bCs/>
                <w:color w:val="FFFFFF"/>
                <w:sz w:val="20"/>
                <w:szCs w:val="20"/>
                <w:lang w:val="en-IN" w:eastAsia="en-IN" w:bidi="hi-IN"/>
              </w:rPr>
            </w:pPr>
            <w:r w:rsidRPr="003656FA">
              <w:rPr>
                <w:rFonts w:ascii="Garamond" w:eastAsia="Times New Roman" w:hAnsi="Garamond" w:cs="Calibri"/>
                <w:b/>
                <w:bCs/>
                <w:color w:val="FFFFFF"/>
                <w:sz w:val="20"/>
                <w:szCs w:val="20"/>
                <w:lang w:val="en-IN" w:eastAsia="en-IN" w:bidi="hi-IN"/>
              </w:rPr>
              <w:t>Jun-20</w:t>
            </w:r>
          </w:p>
        </w:tc>
        <w:tc>
          <w:tcPr>
            <w:tcW w:w="3062" w:type="dxa"/>
            <w:gridSpan w:val="3"/>
            <w:tcBorders>
              <w:top w:val="single" w:sz="8" w:space="0" w:color="auto"/>
              <w:left w:val="nil"/>
              <w:bottom w:val="nil"/>
              <w:right w:val="single" w:sz="8" w:space="0" w:color="000000"/>
            </w:tcBorders>
            <w:shd w:val="clear" w:color="000000" w:fill="2F5496"/>
            <w:vAlign w:val="center"/>
            <w:hideMark/>
          </w:tcPr>
          <w:p w14:paraId="6ADB33EF" w14:textId="77777777" w:rsidR="003656FA" w:rsidRPr="003656FA" w:rsidRDefault="003656FA" w:rsidP="003656FA">
            <w:pPr>
              <w:jc w:val="center"/>
              <w:rPr>
                <w:rFonts w:ascii="Garamond" w:eastAsia="Times New Roman" w:hAnsi="Garamond" w:cs="Calibri"/>
                <w:b/>
                <w:bCs/>
                <w:color w:val="FFFFFF"/>
                <w:sz w:val="20"/>
                <w:szCs w:val="20"/>
                <w:lang w:val="en-IN" w:eastAsia="en-IN" w:bidi="hi-IN"/>
              </w:rPr>
            </w:pPr>
            <w:r w:rsidRPr="003656FA">
              <w:rPr>
                <w:rFonts w:ascii="Garamond" w:eastAsia="Times New Roman" w:hAnsi="Garamond" w:cs="Calibri"/>
                <w:b/>
                <w:bCs/>
                <w:color w:val="FFFFFF"/>
                <w:sz w:val="20"/>
                <w:szCs w:val="20"/>
                <w:lang w:val="en-IN" w:eastAsia="en-IN" w:bidi="hi-IN"/>
              </w:rPr>
              <w:t>Jul-20</w:t>
            </w:r>
          </w:p>
        </w:tc>
      </w:tr>
      <w:tr w:rsidR="003656FA" w:rsidRPr="003656FA" w14:paraId="3EDF0996" w14:textId="77777777" w:rsidTr="00A92684">
        <w:trPr>
          <w:trHeight w:val="259"/>
        </w:trPr>
        <w:tc>
          <w:tcPr>
            <w:tcW w:w="3304" w:type="dxa"/>
            <w:tcBorders>
              <w:top w:val="single" w:sz="4" w:space="0" w:color="auto"/>
              <w:left w:val="single" w:sz="4" w:space="0" w:color="auto"/>
              <w:bottom w:val="single" w:sz="4" w:space="0" w:color="auto"/>
              <w:right w:val="single" w:sz="4" w:space="0" w:color="auto"/>
            </w:tcBorders>
            <w:shd w:val="clear" w:color="000000" w:fill="2F5496"/>
            <w:vAlign w:val="center"/>
            <w:hideMark/>
          </w:tcPr>
          <w:p w14:paraId="7F9538B0" w14:textId="77777777" w:rsidR="003656FA" w:rsidRPr="003656FA" w:rsidRDefault="003656FA" w:rsidP="003656FA">
            <w:pPr>
              <w:jc w:val="center"/>
              <w:rPr>
                <w:rFonts w:ascii="Garamond" w:eastAsia="Times New Roman" w:hAnsi="Garamond" w:cs="Calibri"/>
                <w:b/>
                <w:bCs/>
                <w:color w:val="FFFFFF"/>
                <w:sz w:val="20"/>
                <w:szCs w:val="20"/>
                <w:lang w:val="en-IN" w:eastAsia="en-IN" w:bidi="hi-IN"/>
              </w:rPr>
            </w:pPr>
            <w:r w:rsidRPr="003656FA">
              <w:rPr>
                <w:rFonts w:ascii="Garamond" w:eastAsia="Times New Roman" w:hAnsi="Garamond" w:cs="Calibri"/>
                <w:b/>
                <w:bCs/>
                <w:color w:val="FFFFFF"/>
                <w:sz w:val="20"/>
                <w:szCs w:val="20"/>
                <w:lang w:val="en-IN" w:eastAsia="en-IN" w:bidi="hi-IN"/>
              </w:rPr>
              <w:t>Exchange Name</w:t>
            </w:r>
          </w:p>
        </w:tc>
        <w:tc>
          <w:tcPr>
            <w:tcW w:w="1020" w:type="dxa"/>
            <w:tcBorders>
              <w:top w:val="single" w:sz="4" w:space="0" w:color="auto"/>
              <w:left w:val="nil"/>
              <w:bottom w:val="single" w:sz="4" w:space="0" w:color="auto"/>
              <w:right w:val="single" w:sz="4" w:space="0" w:color="auto"/>
            </w:tcBorders>
            <w:shd w:val="clear" w:color="000000" w:fill="2F5496"/>
            <w:vAlign w:val="center"/>
            <w:hideMark/>
          </w:tcPr>
          <w:p w14:paraId="1AACAE67" w14:textId="77777777" w:rsidR="003656FA" w:rsidRPr="003656FA" w:rsidRDefault="003656FA" w:rsidP="003656FA">
            <w:pPr>
              <w:jc w:val="center"/>
              <w:rPr>
                <w:rFonts w:ascii="Garamond" w:eastAsia="Times New Roman" w:hAnsi="Garamond" w:cs="Calibri"/>
                <w:b/>
                <w:bCs/>
                <w:color w:val="FFFFFF"/>
                <w:sz w:val="20"/>
                <w:szCs w:val="20"/>
                <w:lang w:val="en-IN" w:eastAsia="en-IN" w:bidi="hi-IN"/>
              </w:rPr>
            </w:pPr>
            <w:r w:rsidRPr="003656FA">
              <w:rPr>
                <w:rFonts w:ascii="Garamond" w:eastAsia="Times New Roman" w:hAnsi="Garamond" w:cs="Calibri"/>
                <w:b/>
                <w:bCs/>
                <w:color w:val="FFFFFF"/>
                <w:sz w:val="20"/>
                <w:szCs w:val="20"/>
                <w:lang w:val="en-IN" w:eastAsia="en-IN" w:bidi="hi-IN"/>
              </w:rPr>
              <w:t>Bond</w:t>
            </w:r>
          </w:p>
        </w:tc>
        <w:tc>
          <w:tcPr>
            <w:tcW w:w="1020" w:type="dxa"/>
            <w:tcBorders>
              <w:top w:val="single" w:sz="4" w:space="0" w:color="auto"/>
              <w:left w:val="nil"/>
              <w:bottom w:val="single" w:sz="4" w:space="0" w:color="auto"/>
              <w:right w:val="single" w:sz="4" w:space="0" w:color="auto"/>
            </w:tcBorders>
            <w:shd w:val="clear" w:color="000000" w:fill="2F5496"/>
            <w:vAlign w:val="center"/>
            <w:hideMark/>
          </w:tcPr>
          <w:p w14:paraId="6DAB5FA3" w14:textId="77777777" w:rsidR="003656FA" w:rsidRPr="003656FA" w:rsidRDefault="003656FA" w:rsidP="003656FA">
            <w:pPr>
              <w:jc w:val="center"/>
              <w:rPr>
                <w:rFonts w:ascii="Garamond" w:eastAsia="Times New Roman" w:hAnsi="Garamond" w:cs="Calibri"/>
                <w:b/>
                <w:bCs/>
                <w:color w:val="FFFFFF"/>
                <w:sz w:val="20"/>
                <w:szCs w:val="20"/>
                <w:lang w:val="en-IN" w:eastAsia="en-IN" w:bidi="hi-IN"/>
              </w:rPr>
            </w:pPr>
            <w:r w:rsidRPr="003656FA">
              <w:rPr>
                <w:rFonts w:ascii="Garamond" w:eastAsia="Times New Roman" w:hAnsi="Garamond" w:cs="Calibri"/>
                <w:b/>
                <w:bCs/>
                <w:color w:val="FFFFFF"/>
                <w:sz w:val="20"/>
                <w:szCs w:val="20"/>
                <w:lang w:val="en-IN" w:eastAsia="en-IN" w:bidi="hi-IN"/>
              </w:rPr>
              <w:t>Equity</w:t>
            </w:r>
          </w:p>
        </w:tc>
        <w:tc>
          <w:tcPr>
            <w:tcW w:w="1020" w:type="dxa"/>
            <w:tcBorders>
              <w:top w:val="single" w:sz="4" w:space="0" w:color="auto"/>
              <w:left w:val="nil"/>
              <w:bottom w:val="single" w:sz="4" w:space="0" w:color="auto"/>
              <w:right w:val="single" w:sz="4" w:space="0" w:color="auto"/>
            </w:tcBorders>
            <w:shd w:val="clear" w:color="000000" w:fill="2F5496"/>
            <w:vAlign w:val="center"/>
            <w:hideMark/>
          </w:tcPr>
          <w:p w14:paraId="6280CF39" w14:textId="77777777" w:rsidR="003656FA" w:rsidRPr="003656FA" w:rsidRDefault="003656FA" w:rsidP="003656FA">
            <w:pPr>
              <w:jc w:val="center"/>
              <w:rPr>
                <w:rFonts w:ascii="Garamond" w:eastAsia="Times New Roman" w:hAnsi="Garamond" w:cs="Calibri"/>
                <w:b/>
                <w:bCs/>
                <w:color w:val="FFFFFF"/>
                <w:sz w:val="20"/>
                <w:szCs w:val="20"/>
                <w:lang w:val="en-IN" w:eastAsia="en-IN" w:bidi="hi-IN"/>
              </w:rPr>
            </w:pPr>
            <w:r w:rsidRPr="003656FA">
              <w:rPr>
                <w:rFonts w:ascii="Garamond" w:eastAsia="Times New Roman" w:hAnsi="Garamond" w:cs="Calibri"/>
                <w:b/>
                <w:bCs/>
                <w:color w:val="FFFFFF"/>
                <w:sz w:val="20"/>
                <w:szCs w:val="20"/>
                <w:lang w:val="en-IN" w:eastAsia="en-IN" w:bidi="hi-IN"/>
              </w:rPr>
              <w:t>Total</w:t>
            </w:r>
          </w:p>
        </w:tc>
        <w:tc>
          <w:tcPr>
            <w:tcW w:w="1020" w:type="dxa"/>
            <w:tcBorders>
              <w:top w:val="single" w:sz="4" w:space="0" w:color="auto"/>
              <w:left w:val="nil"/>
              <w:bottom w:val="single" w:sz="4" w:space="0" w:color="auto"/>
              <w:right w:val="single" w:sz="4" w:space="0" w:color="auto"/>
            </w:tcBorders>
            <w:shd w:val="clear" w:color="000000" w:fill="2F5496"/>
            <w:vAlign w:val="center"/>
            <w:hideMark/>
          </w:tcPr>
          <w:p w14:paraId="029AA3D7" w14:textId="77777777" w:rsidR="003656FA" w:rsidRPr="003656FA" w:rsidRDefault="003656FA" w:rsidP="003656FA">
            <w:pPr>
              <w:jc w:val="center"/>
              <w:rPr>
                <w:rFonts w:ascii="Garamond" w:eastAsia="Times New Roman" w:hAnsi="Garamond" w:cs="Calibri"/>
                <w:b/>
                <w:bCs/>
                <w:color w:val="FFFFFF"/>
                <w:sz w:val="20"/>
                <w:szCs w:val="20"/>
                <w:lang w:val="en-IN" w:eastAsia="en-IN" w:bidi="hi-IN"/>
              </w:rPr>
            </w:pPr>
            <w:r w:rsidRPr="003656FA">
              <w:rPr>
                <w:rFonts w:ascii="Garamond" w:eastAsia="Times New Roman" w:hAnsi="Garamond" w:cs="Calibri"/>
                <w:b/>
                <w:bCs/>
                <w:color w:val="FFFFFF"/>
                <w:sz w:val="20"/>
                <w:szCs w:val="20"/>
                <w:lang w:val="en-IN" w:eastAsia="en-IN" w:bidi="hi-IN"/>
              </w:rPr>
              <w:t>Bond</w:t>
            </w:r>
          </w:p>
        </w:tc>
        <w:tc>
          <w:tcPr>
            <w:tcW w:w="1020" w:type="dxa"/>
            <w:tcBorders>
              <w:top w:val="single" w:sz="4" w:space="0" w:color="auto"/>
              <w:left w:val="nil"/>
              <w:bottom w:val="single" w:sz="4" w:space="0" w:color="auto"/>
              <w:right w:val="single" w:sz="4" w:space="0" w:color="auto"/>
            </w:tcBorders>
            <w:shd w:val="clear" w:color="000000" w:fill="2F5496"/>
            <w:vAlign w:val="center"/>
            <w:hideMark/>
          </w:tcPr>
          <w:p w14:paraId="018C1253" w14:textId="77777777" w:rsidR="003656FA" w:rsidRPr="003656FA" w:rsidRDefault="003656FA" w:rsidP="003656FA">
            <w:pPr>
              <w:jc w:val="center"/>
              <w:rPr>
                <w:rFonts w:ascii="Garamond" w:eastAsia="Times New Roman" w:hAnsi="Garamond" w:cs="Calibri"/>
                <w:b/>
                <w:bCs/>
                <w:color w:val="FFFFFF"/>
                <w:sz w:val="20"/>
                <w:szCs w:val="20"/>
                <w:lang w:val="en-IN" w:eastAsia="en-IN" w:bidi="hi-IN"/>
              </w:rPr>
            </w:pPr>
            <w:r w:rsidRPr="003656FA">
              <w:rPr>
                <w:rFonts w:ascii="Garamond" w:eastAsia="Times New Roman" w:hAnsi="Garamond" w:cs="Calibri"/>
                <w:b/>
                <w:bCs/>
                <w:color w:val="FFFFFF"/>
                <w:sz w:val="20"/>
                <w:szCs w:val="20"/>
                <w:lang w:val="en-IN" w:eastAsia="en-IN" w:bidi="hi-IN"/>
              </w:rPr>
              <w:t>Equity</w:t>
            </w:r>
          </w:p>
        </w:tc>
        <w:tc>
          <w:tcPr>
            <w:tcW w:w="1020" w:type="dxa"/>
            <w:tcBorders>
              <w:top w:val="single" w:sz="4" w:space="0" w:color="auto"/>
              <w:left w:val="nil"/>
              <w:bottom w:val="single" w:sz="4" w:space="0" w:color="auto"/>
              <w:right w:val="single" w:sz="4" w:space="0" w:color="auto"/>
            </w:tcBorders>
            <w:shd w:val="clear" w:color="000000" w:fill="2F5496"/>
            <w:vAlign w:val="center"/>
            <w:hideMark/>
          </w:tcPr>
          <w:p w14:paraId="75A7BBDD" w14:textId="77777777" w:rsidR="003656FA" w:rsidRPr="003656FA" w:rsidRDefault="003656FA" w:rsidP="003656FA">
            <w:pPr>
              <w:jc w:val="center"/>
              <w:rPr>
                <w:rFonts w:ascii="Garamond" w:eastAsia="Times New Roman" w:hAnsi="Garamond" w:cs="Calibri"/>
                <w:b/>
                <w:bCs/>
                <w:color w:val="FFFFFF"/>
                <w:sz w:val="20"/>
                <w:szCs w:val="20"/>
                <w:lang w:val="en-IN" w:eastAsia="en-IN" w:bidi="hi-IN"/>
              </w:rPr>
            </w:pPr>
            <w:r w:rsidRPr="003656FA">
              <w:rPr>
                <w:rFonts w:ascii="Garamond" w:eastAsia="Times New Roman" w:hAnsi="Garamond" w:cs="Calibri"/>
                <w:b/>
                <w:bCs/>
                <w:color w:val="FFFFFF"/>
                <w:sz w:val="20"/>
                <w:szCs w:val="20"/>
                <w:lang w:val="en-IN" w:eastAsia="en-IN" w:bidi="hi-IN"/>
              </w:rPr>
              <w:t>Total</w:t>
            </w:r>
          </w:p>
        </w:tc>
      </w:tr>
      <w:tr w:rsidR="003656FA" w:rsidRPr="003656FA" w14:paraId="2EF3C9E7"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0D7F9357"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B3 - Brasil Bolsa Balcão</w:t>
            </w:r>
          </w:p>
        </w:tc>
        <w:tc>
          <w:tcPr>
            <w:tcW w:w="1020" w:type="dxa"/>
            <w:tcBorders>
              <w:top w:val="nil"/>
              <w:left w:val="nil"/>
              <w:bottom w:val="single" w:sz="4" w:space="0" w:color="auto"/>
              <w:right w:val="single" w:sz="4" w:space="0" w:color="auto"/>
            </w:tcBorders>
            <w:shd w:val="clear" w:color="auto" w:fill="auto"/>
            <w:vAlign w:val="center"/>
            <w:hideMark/>
          </w:tcPr>
          <w:p w14:paraId="72442DE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3CA19A5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1EAB921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3711427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2C2ED61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1BD7556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458B87CC"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59955DF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Nasdaq - US</w:t>
            </w:r>
          </w:p>
        </w:tc>
        <w:tc>
          <w:tcPr>
            <w:tcW w:w="1020" w:type="dxa"/>
            <w:tcBorders>
              <w:top w:val="nil"/>
              <w:left w:val="nil"/>
              <w:bottom w:val="single" w:sz="4" w:space="0" w:color="auto"/>
              <w:right w:val="single" w:sz="4" w:space="0" w:color="auto"/>
            </w:tcBorders>
            <w:shd w:val="clear" w:color="auto" w:fill="auto"/>
            <w:vAlign w:val="center"/>
            <w:hideMark/>
          </w:tcPr>
          <w:p w14:paraId="5242854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5D00BA2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7FF1780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6D97726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660D820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2F4357C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16EA463A"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14E5656B"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NYSE</w:t>
            </w:r>
          </w:p>
        </w:tc>
        <w:tc>
          <w:tcPr>
            <w:tcW w:w="1020" w:type="dxa"/>
            <w:tcBorders>
              <w:top w:val="nil"/>
              <w:left w:val="nil"/>
              <w:bottom w:val="single" w:sz="4" w:space="0" w:color="auto"/>
              <w:right w:val="single" w:sz="4" w:space="0" w:color="auto"/>
            </w:tcBorders>
            <w:shd w:val="clear" w:color="auto" w:fill="auto"/>
            <w:vAlign w:val="center"/>
            <w:hideMark/>
          </w:tcPr>
          <w:p w14:paraId="3F70783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58C08E4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20,373</w:t>
            </w:r>
          </w:p>
        </w:tc>
        <w:tc>
          <w:tcPr>
            <w:tcW w:w="1020" w:type="dxa"/>
            <w:tcBorders>
              <w:top w:val="nil"/>
              <w:left w:val="nil"/>
              <w:bottom w:val="single" w:sz="4" w:space="0" w:color="auto"/>
              <w:right w:val="single" w:sz="4" w:space="0" w:color="auto"/>
            </w:tcBorders>
            <w:shd w:val="clear" w:color="auto" w:fill="auto"/>
            <w:vAlign w:val="center"/>
            <w:hideMark/>
          </w:tcPr>
          <w:p w14:paraId="6E1E16E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20,373</w:t>
            </w:r>
          </w:p>
        </w:tc>
        <w:tc>
          <w:tcPr>
            <w:tcW w:w="1020" w:type="dxa"/>
            <w:tcBorders>
              <w:top w:val="nil"/>
              <w:left w:val="nil"/>
              <w:bottom w:val="single" w:sz="4" w:space="0" w:color="auto"/>
              <w:right w:val="single" w:sz="4" w:space="0" w:color="auto"/>
            </w:tcBorders>
            <w:shd w:val="clear" w:color="auto" w:fill="auto"/>
            <w:vAlign w:val="center"/>
            <w:hideMark/>
          </w:tcPr>
          <w:p w14:paraId="136153B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17D65FF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162B51B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1419C15C"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3494DEC3"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ASX Australian Securities Exchange</w:t>
            </w:r>
          </w:p>
        </w:tc>
        <w:tc>
          <w:tcPr>
            <w:tcW w:w="1020" w:type="dxa"/>
            <w:tcBorders>
              <w:top w:val="nil"/>
              <w:left w:val="nil"/>
              <w:bottom w:val="single" w:sz="4" w:space="0" w:color="auto"/>
              <w:right w:val="single" w:sz="4" w:space="0" w:color="auto"/>
            </w:tcBorders>
            <w:shd w:val="clear" w:color="auto" w:fill="auto"/>
            <w:vAlign w:val="center"/>
            <w:hideMark/>
          </w:tcPr>
          <w:p w14:paraId="4E32A17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72</w:t>
            </w:r>
          </w:p>
        </w:tc>
        <w:tc>
          <w:tcPr>
            <w:tcW w:w="1020" w:type="dxa"/>
            <w:tcBorders>
              <w:top w:val="nil"/>
              <w:left w:val="nil"/>
              <w:bottom w:val="single" w:sz="4" w:space="0" w:color="auto"/>
              <w:right w:val="single" w:sz="4" w:space="0" w:color="auto"/>
            </w:tcBorders>
            <w:shd w:val="clear" w:color="auto" w:fill="auto"/>
            <w:vAlign w:val="center"/>
            <w:hideMark/>
          </w:tcPr>
          <w:p w14:paraId="0768A4F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6,261</w:t>
            </w:r>
          </w:p>
        </w:tc>
        <w:tc>
          <w:tcPr>
            <w:tcW w:w="1020" w:type="dxa"/>
            <w:tcBorders>
              <w:top w:val="nil"/>
              <w:left w:val="nil"/>
              <w:bottom w:val="single" w:sz="4" w:space="0" w:color="auto"/>
              <w:right w:val="single" w:sz="4" w:space="0" w:color="auto"/>
            </w:tcBorders>
            <w:shd w:val="clear" w:color="auto" w:fill="auto"/>
            <w:vAlign w:val="center"/>
            <w:hideMark/>
          </w:tcPr>
          <w:p w14:paraId="548DC96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6,333</w:t>
            </w:r>
          </w:p>
        </w:tc>
        <w:tc>
          <w:tcPr>
            <w:tcW w:w="1020" w:type="dxa"/>
            <w:tcBorders>
              <w:top w:val="nil"/>
              <w:left w:val="nil"/>
              <w:bottom w:val="single" w:sz="4" w:space="0" w:color="auto"/>
              <w:right w:val="single" w:sz="4" w:space="0" w:color="auto"/>
            </w:tcBorders>
            <w:shd w:val="clear" w:color="auto" w:fill="auto"/>
            <w:vAlign w:val="center"/>
            <w:hideMark/>
          </w:tcPr>
          <w:p w14:paraId="5E73A82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16064A5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2,688</w:t>
            </w:r>
          </w:p>
        </w:tc>
        <w:tc>
          <w:tcPr>
            <w:tcW w:w="1020" w:type="dxa"/>
            <w:tcBorders>
              <w:top w:val="nil"/>
              <w:left w:val="nil"/>
              <w:bottom w:val="single" w:sz="4" w:space="0" w:color="auto"/>
              <w:right w:val="single" w:sz="4" w:space="0" w:color="auto"/>
            </w:tcBorders>
            <w:shd w:val="clear" w:color="auto" w:fill="auto"/>
            <w:vAlign w:val="center"/>
            <w:hideMark/>
          </w:tcPr>
          <w:p w14:paraId="0A5FB11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2,688</w:t>
            </w:r>
          </w:p>
        </w:tc>
      </w:tr>
      <w:tr w:rsidR="003656FA" w:rsidRPr="003656FA" w14:paraId="7E497081"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3B1B9F85"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Hong Kong Exchanges and Clearing</w:t>
            </w:r>
          </w:p>
        </w:tc>
        <w:tc>
          <w:tcPr>
            <w:tcW w:w="1020" w:type="dxa"/>
            <w:tcBorders>
              <w:top w:val="nil"/>
              <w:left w:val="nil"/>
              <w:bottom w:val="single" w:sz="4" w:space="0" w:color="auto"/>
              <w:right w:val="single" w:sz="4" w:space="0" w:color="auto"/>
            </w:tcBorders>
            <w:shd w:val="clear" w:color="auto" w:fill="auto"/>
            <w:vAlign w:val="center"/>
            <w:hideMark/>
          </w:tcPr>
          <w:p w14:paraId="2DC3748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27,714</w:t>
            </w:r>
          </w:p>
        </w:tc>
        <w:tc>
          <w:tcPr>
            <w:tcW w:w="1020" w:type="dxa"/>
            <w:tcBorders>
              <w:top w:val="nil"/>
              <w:left w:val="nil"/>
              <w:bottom w:val="single" w:sz="4" w:space="0" w:color="auto"/>
              <w:right w:val="single" w:sz="4" w:space="0" w:color="auto"/>
            </w:tcBorders>
            <w:shd w:val="clear" w:color="auto" w:fill="auto"/>
            <w:vAlign w:val="center"/>
            <w:hideMark/>
          </w:tcPr>
          <w:p w14:paraId="3E5A364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12,021</w:t>
            </w:r>
          </w:p>
        </w:tc>
        <w:tc>
          <w:tcPr>
            <w:tcW w:w="1020" w:type="dxa"/>
            <w:tcBorders>
              <w:top w:val="nil"/>
              <w:left w:val="nil"/>
              <w:bottom w:val="single" w:sz="4" w:space="0" w:color="auto"/>
              <w:right w:val="single" w:sz="4" w:space="0" w:color="auto"/>
            </w:tcBorders>
            <w:shd w:val="clear" w:color="auto" w:fill="auto"/>
            <w:vAlign w:val="center"/>
            <w:hideMark/>
          </w:tcPr>
          <w:p w14:paraId="25E06C4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39,734</w:t>
            </w:r>
          </w:p>
        </w:tc>
        <w:tc>
          <w:tcPr>
            <w:tcW w:w="1020" w:type="dxa"/>
            <w:tcBorders>
              <w:top w:val="nil"/>
              <w:left w:val="nil"/>
              <w:bottom w:val="single" w:sz="4" w:space="0" w:color="auto"/>
              <w:right w:val="single" w:sz="4" w:space="0" w:color="auto"/>
            </w:tcBorders>
            <w:shd w:val="clear" w:color="auto" w:fill="auto"/>
            <w:vAlign w:val="center"/>
            <w:hideMark/>
          </w:tcPr>
          <w:p w14:paraId="2DA7962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16,773</w:t>
            </w:r>
          </w:p>
        </w:tc>
        <w:tc>
          <w:tcPr>
            <w:tcW w:w="1020" w:type="dxa"/>
            <w:tcBorders>
              <w:top w:val="nil"/>
              <w:left w:val="nil"/>
              <w:bottom w:val="single" w:sz="4" w:space="0" w:color="auto"/>
              <w:right w:val="single" w:sz="4" w:space="0" w:color="auto"/>
            </w:tcBorders>
            <w:shd w:val="clear" w:color="auto" w:fill="auto"/>
            <w:vAlign w:val="center"/>
            <w:hideMark/>
          </w:tcPr>
          <w:p w14:paraId="1137F0E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10,582</w:t>
            </w:r>
          </w:p>
        </w:tc>
        <w:tc>
          <w:tcPr>
            <w:tcW w:w="1020" w:type="dxa"/>
            <w:tcBorders>
              <w:top w:val="nil"/>
              <w:left w:val="nil"/>
              <w:bottom w:val="single" w:sz="4" w:space="0" w:color="auto"/>
              <w:right w:val="single" w:sz="4" w:space="0" w:color="auto"/>
            </w:tcBorders>
            <w:shd w:val="clear" w:color="auto" w:fill="auto"/>
            <w:vAlign w:val="center"/>
            <w:hideMark/>
          </w:tcPr>
          <w:p w14:paraId="2A223B4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27,355</w:t>
            </w:r>
          </w:p>
        </w:tc>
      </w:tr>
      <w:tr w:rsidR="003656FA" w:rsidRPr="003656FA" w14:paraId="38B7A2CC"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626DF0E8"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Japan Exchange Group</w:t>
            </w:r>
          </w:p>
        </w:tc>
        <w:tc>
          <w:tcPr>
            <w:tcW w:w="1020" w:type="dxa"/>
            <w:tcBorders>
              <w:top w:val="nil"/>
              <w:left w:val="nil"/>
              <w:bottom w:val="single" w:sz="4" w:space="0" w:color="auto"/>
              <w:right w:val="single" w:sz="4" w:space="0" w:color="auto"/>
            </w:tcBorders>
            <w:shd w:val="clear" w:color="auto" w:fill="auto"/>
            <w:vAlign w:val="center"/>
            <w:hideMark/>
          </w:tcPr>
          <w:p w14:paraId="2EBFF1C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13,541</w:t>
            </w:r>
          </w:p>
        </w:tc>
        <w:tc>
          <w:tcPr>
            <w:tcW w:w="1020" w:type="dxa"/>
            <w:tcBorders>
              <w:top w:val="nil"/>
              <w:left w:val="nil"/>
              <w:bottom w:val="single" w:sz="4" w:space="0" w:color="auto"/>
              <w:right w:val="single" w:sz="4" w:space="0" w:color="auto"/>
            </w:tcBorders>
            <w:shd w:val="clear" w:color="auto" w:fill="auto"/>
            <w:vAlign w:val="center"/>
            <w:hideMark/>
          </w:tcPr>
          <w:p w14:paraId="14AB8F6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351</w:t>
            </w:r>
          </w:p>
        </w:tc>
        <w:tc>
          <w:tcPr>
            <w:tcW w:w="1020" w:type="dxa"/>
            <w:tcBorders>
              <w:top w:val="nil"/>
              <w:left w:val="nil"/>
              <w:bottom w:val="single" w:sz="4" w:space="0" w:color="auto"/>
              <w:right w:val="single" w:sz="4" w:space="0" w:color="auto"/>
            </w:tcBorders>
            <w:shd w:val="clear" w:color="auto" w:fill="auto"/>
            <w:vAlign w:val="center"/>
            <w:hideMark/>
          </w:tcPr>
          <w:p w14:paraId="14A82A2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13,891</w:t>
            </w:r>
          </w:p>
        </w:tc>
        <w:tc>
          <w:tcPr>
            <w:tcW w:w="1020" w:type="dxa"/>
            <w:tcBorders>
              <w:top w:val="nil"/>
              <w:left w:val="nil"/>
              <w:bottom w:val="single" w:sz="4" w:space="0" w:color="auto"/>
              <w:right w:val="single" w:sz="4" w:space="0" w:color="auto"/>
            </w:tcBorders>
            <w:shd w:val="clear" w:color="auto" w:fill="auto"/>
            <w:vAlign w:val="center"/>
            <w:hideMark/>
          </w:tcPr>
          <w:p w14:paraId="12669AB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21,077</w:t>
            </w:r>
          </w:p>
        </w:tc>
        <w:tc>
          <w:tcPr>
            <w:tcW w:w="1020" w:type="dxa"/>
            <w:tcBorders>
              <w:top w:val="nil"/>
              <w:left w:val="nil"/>
              <w:bottom w:val="single" w:sz="4" w:space="0" w:color="auto"/>
              <w:right w:val="single" w:sz="4" w:space="0" w:color="auto"/>
            </w:tcBorders>
            <w:shd w:val="clear" w:color="auto" w:fill="auto"/>
            <w:vAlign w:val="center"/>
            <w:hideMark/>
          </w:tcPr>
          <w:p w14:paraId="054A82A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1,541</w:t>
            </w:r>
          </w:p>
        </w:tc>
        <w:tc>
          <w:tcPr>
            <w:tcW w:w="1020" w:type="dxa"/>
            <w:tcBorders>
              <w:top w:val="nil"/>
              <w:left w:val="nil"/>
              <w:bottom w:val="single" w:sz="4" w:space="0" w:color="auto"/>
              <w:right w:val="single" w:sz="4" w:space="0" w:color="auto"/>
            </w:tcBorders>
            <w:shd w:val="clear" w:color="auto" w:fill="auto"/>
            <w:vAlign w:val="center"/>
            <w:hideMark/>
          </w:tcPr>
          <w:p w14:paraId="1682F32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22,618</w:t>
            </w:r>
          </w:p>
        </w:tc>
      </w:tr>
      <w:tr w:rsidR="003656FA" w:rsidRPr="003656FA" w14:paraId="39996378"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77ED2E58"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Korea Exchange</w:t>
            </w:r>
          </w:p>
        </w:tc>
        <w:tc>
          <w:tcPr>
            <w:tcW w:w="1020" w:type="dxa"/>
            <w:tcBorders>
              <w:top w:val="nil"/>
              <w:left w:val="nil"/>
              <w:bottom w:val="single" w:sz="4" w:space="0" w:color="auto"/>
              <w:right w:val="single" w:sz="4" w:space="0" w:color="auto"/>
            </w:tcBorders>
            <w:shd w:val="clear" w:color="auto" w:fill="auto"/>
            <w:vAlign w:val="center"/>
            <w:hideMark/>
          </w:tcPr>
          <w:p w14:paraId="6117D5A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72,586</w:t>
            </w:r>
          </w:p>
        </w:tc>
        <w:tc>
          <w:tcPr>
            <w:tcW w:w="1020" w:type="dxa"/>
            <w:tcBorders>
              <w:top w:val="nil"/>
              <w:left w:val="nil"/>
              <w:bottom w:val="single" w:sz="4" w:space="0" w:color="auto"/>
              <w:right w:val="single" w:sz="4" w:space="0" w:color="auto"/>
            </w:tcBorders>
            <w:shd w:val="clear" w:color="auto" w:fill="auto"/>
            <w:vAlign w:val="center"/>
            <w:hideMark/>
          </w:tcPr>
          <w:p w14:paraId="6A6D942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08DAA15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72,586</w:t>
            </w:r>
          </w:p>
        </w:tc>
        <w:tc>
          <w:tcPr>
            <w:tcW w:w="1020" w:type="dxa"/>
            <w:tcBorders>
              <w:top w:val="nil"/>
              <w:left w:val="nil"/>
              <w:bottom w:val="single" w:sz="4" w:space="0" w:color="auto"/>
              <w:right w:val="single" w:sz="4" w:space="0" w:color="auto"/>
            </w:tcBorders>
            <w:shd w:val="clear" w:color="auto" w:fill="auto"/>
            <w:vAlign w:val="center"/>
            <w:hideMark/>
          </w:tcPr>
          <w:p w14:paraId="466C97B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46,787</w:t>
            </w:r>
          </w:p>
        </w:tc>
        <w:tc>
          <w:tcPr>
            <w:tcW w:w="1020" w:type="dxa"/>
            <w:tcBorders>
              <w:top w:val="nil"/>
              <w:left w:val="nil"/>
              <w:bottom w:val="single" w:sz="4" w:space="0" w:color="auto"/>
              <w:right w:val="single" w:sz="4" w:space="0" w:color="auto"/>
            </w:tcBorders>
            <w:shd w:val="clear" w:color="auto" w:fill="auto"/>
            <w:vAlign w:val="center"/>
            <w:hideMark/>
          </w:tcPr>
          <w:p w14:paraId="4F0627A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3A2BB3B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46,787</w:t>
            </w:r>
          </w:p>
        </w:tc>
      </w:tr>
      <w:tr w:rsidR="003656FA" w:rsidRPr="003656FA" w14:paraId="128D6FDD"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4C89C81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National Stock Exchange of India</w:t>
            </w:r>
          </w:p>
        </w:tc>
        <w:tc>
          <w:tcPr>
            <w:tcW w:w="1020" w:type="dxa"/>
            <w:tcBorders>
              <w:top w:val="nil"/>
              <w:left w:val="nil"/>
              <w:bottom w:val="single" w:sz="4" w:space="0" w:color="auto"/>
              <w:right w:val="single" w:sz="4" w:space="0" w:color="auto"/>
            </w:tcBorders>
            <w:shd w:val="clear" w:color="auto" w:fill="auto"/>
            <w:vAlign w:val="center"/>
            <w:hideMark/>
          </w:tcPr>
          <w:p w14:paraId="5CCDD77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60,497</w:t>
            </w:r>
          </w:p>
        </w:tc>
        <w:tc>
          <w:tcPr>
            <w:tcW w:w="1020" w:type="dxa"/>
            <w:tcBorders>
              <w:top w:val="nil"/>
              <w:left w:val="nil"/>
              <w:bottom w:val="single" w:sz="4" w:space="0" w:color="auto"/>
              <w:right w:val="single" w:sz="4" w:space="0" w:color="auto"/>
            </w:tcBorders>
            <w:shd w:val="clear" w:color="auto" w:fill="auto"/>
            <w:vAlign w:val="center"/>
            <w:hideMark/>
          </w:tcPr>
          <w:p w14:paraId="5FD1055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8,731</w:t>
            </w:r>
          </w:p>
        </w:tc>
        <w:tc>
          <w:tcPr>
            <w:tcW w:w="1020" w:type="dxa"/>
            <w:tcBorders>
              <w:top w:val="nil"/>
              <w:left w:val="nil"/>
              <w:bottom w:val="single" w:sz="4" w:space="0" w:color="auto"/>
              <w:right w:val="single" w:sz="4" w:space="0" w:color="auto"/>
            </w:tcBorders>
            <w:shd w:val="clear" w:color="auto" w:fill="auto"/>
            <w:vAlign w:val="center"/>
            <w:hideMark/>
          </w:tcPr>
          <w:p w14:paraId="70C7C60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69,228</w:t>
            </w:r>
          </w:p>
        </w:tc>
        <w:tc>
          <w:tcPr>
            <w:tcW w:w="1020" w:type="dxa"/>
            <w:tcBorders>
              <w:top w:val="nil"/>
              <w:left w:val="nil"/>
              <w:bottom w:val="single" w:sz="4" w:space="0" w:color="auto"/>
              <w:right w:val="single" w:sz="4" w:space="0" w:color="auto"/>
            </w:tcBorders>
            <w:shd w:val="clear" w:color="auto" w:fill="auto"/>
            <w:vAlign w:val="center"/>
            <w:hideMark/>
          </w:tcPr>
          <w:p w14:paraId="3B0412E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56,643</w:t>
            </w:r>
          </w:p>
        </w:tc>
        <w:tc>
          <w:tcPr>
            <w:tcW w:w="1020" w:type="dxa"/>
            <w:tcBorders>
              <w:top w:val="nil"/>
              <w:left w:val="nil"/>
              <w:bottom w:val="single" w:sz="4" w:space="0" w:color="auto"/>
              <w:right w:val="single" w:sz="4" w:space="0" w:color="auto"/>
            </w:tcBorders>
            <w:shd w:val="clear" w:color="auto" w:fill="auto"/>
            <w:vAlign w:val="center"/>
            <w:hideMark/>
          </w:tcPr>
          <w:p w14:paraId="2656934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534</w:t>
            </w:r>
          </w:p>
        </w:tc>
        <w:tc>
          <w:tcPr>
            <w:tcW w:w="1020" w:type="dxa"/>
            <w:tcBorders>
              <w:top w:val="nil"/>
              <w:left w:val="nil"/>
              <w:bottom w:val="single" w:sz="4" w:space="0" w:color="auto"/>
              <w:right w:val="single" w:sz="4" w:space="0" w:color="auto"/>
            </w:tcBorders>
            <w:shd w:val="clear" w:color="auto" w:fill="auto"/>
            <w:vAlign w:val="center"/>
            <w:hideMark/>
          </w:tcPr>
          <w:p w14:paraId="625C85F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57,176</w:t>
            </w:r>
          </w:p>
        </w:tc>
      </w:tr>
      <w:tr w:rsidR="003656FA" w:rsidRPr="003656FA" w14:paraId="2ED72F1E"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57093E2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Shanghai Stock Exchange</w:t>
            </w:r>
          </w:p>
        </w:tc>
        <w:tc>
          <w:tcPr>
            <w:tcW w:w="1020" w:type="dxa"/>
            <w:tcBorders>
              <w:top w:val="nil"/>
              <w:left w:val="nil"/>
              <w:bottom w:val="single" w:sz="4" w:space="0" w:color="auto"/>
              <w:right w:val="single" w:sz="4" w:space="0" w:color="auto"/>
            </w:tcBorders>
            <w:shd w:val="clear" w:color="auto" w:fill="auto"/>
            <w:vAlign w:val="center"/>
            <w:hideMark/>
          </w:tcPr>
          <w:p w14:paraId="18A292A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2FE199E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12,197</w:t>
            </w:r>
          </w:p>
        </w:tc>
        <w:tc>
          <w:tcPr>
            <w:tcW w:w="1020" w:type="dxa"/>
            <w:tcBorders>
              <w:top w:val="nil"/>
              <w:left w:val="nil"/>
              <w:bottom w:val="single" w:sz="4" w:space="0" w:color="auto"/>
              <w:right w:val="single" w:sz="4" w:space="0" w:color="auto"/>
            </w:tcBorders>
            <w:shd w:val="clear" w:color="auto" w:fill="auto"/>
            <w:vAlign w:val="center"/>
            <w:hideMark/>
          </w:tcPr>
          <w:p w14:paraId="7CDA802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12,197</w:t>
            </w:r>
          </w:p>
        </w:tc>
        <w:tc>
          <w:tcPr>
            <w:tcW w:w="1020" w:type="dxa"/>
            <w:tcBorders>
              <w:top w:val="nil"/>
              <w:left w:val="nil"/>
              <w:bottom w:val="single" w:sz="4" w:space="0" w:color="auto"/>
              <w:right w:val="single" w:sz="4" w:space="0" w:color="auto"/>
            </w:tcBorders>
            <w:shd w:val="clear" w:color="auto" w:fill="auto"/>
            <w:vAlign w:val="center"/>
            <w:hideMark/>
          </w:tcPr>
          <w:p w14:paraId="6572F8F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06C6CAF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20,076</w:t>
            </w:r>
          </w:p>
        </w:tc>
        <w:tc>
          <w:tcPr>
            <w:tcW w:w="1020" w:type="dxa"/>
            <w:tcBorders>
              <w:top w:val="nil"/>
              <w:left w:val="nil"/>
              <w:bottom w:val="single" w:sz="4" w:space="0" w:color="auto"/>
              <w:right w:val="single" w:sz="4" w:space="0" w:color="auto"/>
            </w:tcBorders>
            <w:shd w:val="clear" w:color="auto" w:fill="auto"/>
            <w:vAlign w:val="center"/>
            <w:hideMark/>
          </w:tcPr>
          <w:p w14:paraId="1365436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20,076</w:t>
            </w:r>
          </w:p>
        </w:tc>
      </w:tr>
      <w:tr w:rsidR="003656FA" w:rsidRPr="003656FA" w14:paraId="57291B6A"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103758EF"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Shenzhen Stock Exchange</w:t>
            </w:r>
          </w:p>
        </w:tc>
        <w:tc>
          <w:tcPr>
            <w:tcW w:w="1020" w:type="dxa"/>
            <w:tcBorders>
              <w:top w:val="nil"/>
              <w:left w:val="nil"/>
              <w:bottom w:val="single" w:sz="4" w:space="0" w:color="auto"/>
              <w:right w:val="single" w:sz="4" w:space="0" w:color="auto"/>
            </w:tcBorders>
            <w:shd w:val="clear" w:color="auto" w:fill="auto"/>
            <w:vAlign w:val="center"/>
            <w:hideMark/>
          </w:tcPr>
          <w:p w14:paraId="365B83C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8,880</w:t>
            </w:r>
          </w:p>
        </w:tc>
        <w:tc>
          <w:tcPr>
            <w:tcW w:w="1020" w:type="dxa"/>
            <w:tcBorders>
              <w:top w:val="nil"/>
              <w:left w:val="nil"/>
              <w:bottom w:val="single" w:sz="4" w:space="0" w:color="auto"/>
              <w:right w:val="single" w:sz="4" w:space="0" w:color="auto"/>
            </w:tcBorders>
            <w:shd w:val="clear" w:color="auto" w:fill="auto"/>
            <w:vAlign w:val="center"/>
            <w:hideMark/>
          </w:tcPr>
          <w:p w14:paraId="6FDBDAB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3,815</w:t>
            </w:r>
          </w:p>
        </w:tc>
        <w:tc>
          <w:tcPr>
            <w:tcW w:w="1020" w:type="dxa"/>
            <w:tcBorders>
              <w:top w:val="nil"/>
              <w:left w:val="nil"/>
              <w:bottom w:val="single" w:sz="4" w:space="0" w:color="auto"/>
              <w:right w:val="single" w:sz="4" w:space="0" w:color="auto"/>
            </w:tcBorders>
            <w:shd w:val="clear" w:color="auto" w:fill="auto"/>
            <w:vAlign w:val="center"/>
            <w:hideMark/>
          </w:tcPr>
          <w:p w14:paraId="60625B6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12,695</w:t>
            </w:r>
          </w:p>
        </w:tc>
        <w:tc>
          <w:tcPr>
            <w:tcW w:w="1020" w:type="dxa"/>
            <w:tcBorders>
              <w:top w:val="nil"/>
              <w:left w:val="nil"/>
              <w:bottom w:val="single" w:sz="4" w:space="0" w:color="auto"/>
              <w:right w:val="single" w:sz="4" w:space="0" w:color="auto"/>
            </w:tcBorders>
            <w:shd w:val="clear" w:color="auto" w:fill="auto"/>
            <w:vAlign w:val="center"/>
            <w:hideMark/>
          </w:tcPr>
          <w:p w14:paraId="3859257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15,273</w:t>
            </w:r>
          </w:p>
        </w:tc>
        <w:tc>
          <w:tcPr>
            <w:tcW w:w="1020" w:type="dxa"/>
            <w:tcBorders>
              <w:top w:val="nil"/>
              <w:left w:val="nil"/>
              <w:bottom w:val="single" w:sz="4" w:space="0" w:color="auto"/>
              <w:right w:val="single" w:sz="4" w:space="0" w:color="auto"/>
            </w:tcBorders>
            <w:shd w:val="clear" w:color="auto" w:fill="auto"/>
            <w:vAlign w:val="center"/>
            <w:hideMark/>
          </w:tcPr>
          <w:p w14:paraId="4EFEC55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6,703</w:t>
            </w:r>
          </w:p>
        </w:tc>
        <w:tc>
          <w:tcPr>
            <w:tcW w:w="1020" w:type="dxa"/>
            <w:tcBorders>
              <w:top w:val="nil"/>
              <w:left w:val="nil"/>
              <w:bottom w:val="single" w:sz="4" w:space="0" w:color="auto"/>
              <w:right w:val="single" w:sz="4" w:space="0" w:color="auto"/>
            </w:tcBorders>
            <w:shd w:val="clear" w:color="auto" w:fill="auto"/>
            <w:vAlign w:val="center"/>
            <w:hideMark/>
          </w:tcPr>
          <w:p w14:paraId="1EE520D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21,976</w:t>
            </w:r>
          </w:p>
        </w:tc>
      </w:tr>
      <w:tr w:rsidR="003656FA" w:rsidRPr="003656FA" w14:paraId="55C8E7AC"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5F0D866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Singapore Exchange</w:t>
            </w:r>
          </w:p>
        </w:tc>
        <w:tc>
          <w:tcPr>
            <w:tcW w:w="1020" w:type="dxa"/>
            <w:tcBorders>
              <w:top w:val="nil"/>
              <w:left w:val="nil"/>
              <w:bottom w:val="single" w:sz="4" w:space="0" w:color="auto"/>
              <w:right w:val="single" w:sz="4" w:space="0" w:color="auto"/>
            </w:tcBorders>
            <w:shd w:val="clear" w:color="auto" w:fill="auto"/>
            <w:vAlign w:val="center"/>
            <w:hideMark/>
          </w:tcPr>
          <w:p w14:paraId="24E9EF8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17,042</w:t>
            </w:r>
          </w:p>
        </w:tc>
        <w:tc>
          <w:tcPr>
            <w:tcW w:w="1020" w:type="dxa"/>
            <w:tcBorders>
              <w:top w:val="nil"/>
              <w:left w:val="nil"/>
              <w:bottom w:val="single" w:sz="4" w:space="0" w:color="auto"/>
              <w:right w:val="single" w:sz="4" w:space="0" w:color="auto"/>
            </w:tcBorders>
            <w:shd w:val="clear" w:color="auto" w:fill="auto"/>
            <w:vAlign w:val="center"/>
            <w:hideMark/>
          </w:tcPr>
          <w:p w14:paraId="3D975DF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6,367</w:t>
            </w:r>
          </w:p>
        </w:tc>
        <w:tc>
          <w:tcPr>
            <w:tcW w:w="1020" w:type="dxa"/>
            <w:tcBorders>
              <w:top w:val="nil"/>
              <w:left w:val="nil"/>
              <w:bottom w:val="single" w:sz="4" w:space="0" w:color="auto"/>
              <w:right w:val="single" w:sz="4" w:space="0" w:color="auto"/>
            </w:tcBorders>
            <w:shd w:val="clear" w:color="auto" w:fill="auto"/>
            <w:vAlign w:val="center"/>
            <w:hideMark/>
          </w:tcPr>
          <w:p w14:paraId="72FCCEF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23,409</w:t>
            </w:r>
          </w:p>
        </w:tc>
        <w:tc>
          <w:tcPr>
            <w:tcW w:w="1020" w:type="dxa"/>
            <w:tcBorders>
              <w:top w:val="nil"/>
              <w:left w:val="nil"/>
              <w:bottom w:val="single" w:sz="4" w:space="0" w:color="auto"/>
              <w:right w:val="single" w:sz="4" w:space="0" w:color="auto"/>
            </w:tcBorders>
            <w:shd w:val="clear" w:color="auto" w:fill="auto"/>
            <w:vAlign w:val="center"/>
            <w:hideMark/>
          </w:tcPr>
          <w:p w14:paraId="679C5B0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25,799</w:t>
            </w:r>
          </w:p>
        </w:tc>
        <w:tc>
          <w:tcPr>
            <w:tcW w:w="1020" w:type="dxa"/>
            <w:tcBorders>
              <w:top w:val="nil"/>
              <w:left w:val="nil"/>
              <w:bottom w:val="single" w:sz="4" w:space="0" w:color="auto"/>
              <w:right w:val="single" w:sz="4" w:space="0" w:color="auto"/>
            </w:tcBorders>
            <w:shd w:val="clear" w:color="auto" w:fill="auto"/>
            <w:vAlign w:val="center"/>
            <w:hideMark/>
          </w:tcPr>
          <w:p w14:paraId="745C12A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w:t>
            </w:r>
          </w:p>
        </w:tc>
        <w:tc>
          <w:tcPr>
            <w:tcW w:w="1020" w:type="dxa"/>
            <w:tcBorders>
              <w:top w:val="nil"/>
              <w:left w:val="nil"/>
              <w:bottom w:val="single" w:sz="4" w:space="0" w:color="auto"/>
              <w:right w:val="single" w:sz="4" w:space="0" w:color="auto"/>
            </w:tcBorders>
            <w:shd w:val="clear" w:color="auto" w:fill="auto"/>
            <w:vAlign w:val="center"/>
            <w:hideMark/>
          </w:tcPr>
          <w:p w14:paraId="0B44499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25,807</w:t>
            </w:r>
          </w:p>
        </w:tc>
      </w:tr>
      <w:tr w:rsidR="003656FA" w:rsidRPr="003656FA" w14:paraId="36EDE173"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176C90F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BME Spanish Exchanges</w:t>
            </w:r>
          </w:p>
        </w:tc>
        <w:tc>
          <w:tcPr>
            <w:tcW w:w="1020" w:type="dxa"/>
            <w:tcBorders>
              <w:top w:val="nil"/>
              <w:left w:val="nil"/>
              <w:bottom w:val="single" w:sz="4" w:space="0" w:color="auto"/>
              <w:right w:val="single" w:sz="4" w:space="0" w:color="auto"/>
            </w:tcBorders>
            <w:shd w:val="clear" w:color="auto" w:fill="auto"/>
            <w:vAlign w:val="center"/>
            <w:hideMark/>
          </w:tcPr>
          <w:p w14:paraId="3B01572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63,697</w:t>
            </w:r>
          </w:p>
        </w:tc>
        <w:tc>
          <w:tcPr>
            <w:tcW w:w="1020" w:type="dxa"/>
            <w:tcBorders>
              <w:top w:val="nil"/>
              <w:left w:val="nil"/>
              <w:bottom w:val="single" w:sz="4" w:space="0" w:color="auto"/>
              <w:right w:val="single" w:sz="4" w:space="0" w:color="auto"/>
            </w:tcBorders>
            <w:shd w:val="clear" w:color="auto" w:fill="auto"/>
            <w:vAlign w:val="center"/>
            <w:hideMark/>
          </w:tcPr>
          <w:p w14:paraId="3D783DD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370</w:t>
            </w:r>
          </w:p>
        </w:tc>
        <w:tc>
          <w:tcPr>
            <w:tcW w:w="1020" w:type="dxa"/>
            <w:tcBorders>
              <w:top w:val="nil"/>
              <w:left w:val="nil"/>
              <w:bottom w:val="single" w:sz="4" w:space="0" w:color="auto"/>
              <w:right w:val="single" w:sz="4" w:space="0" w:color="auto"/>
            </w:tcBorders>
            <w:shd w:val="clear" w:color="auto" w:fill="auto"/>
            <w:vAlign w:val="center"/>
            <w:hideMark/>
          </w:tcPr>
          <w:p w14:paraId="48E94B6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64,066</w:t>
            </w:r>
          </w:p>
        </w:tc>
        <w:tc>
          <w:tcPr>
            <w:tcW w:w="1020" w:type="dxa"/>
            <w:tcBorders>
              <w:top w:val="nil"/>
              <w:left w:val="nil"/>
              <w:bottom w:val="single" w:sz="4" w:space="0" w:color="auto"/>
              <w:right w:val="single" w:sz="4" w:space="0" w:color="auto"/>
            </w:tcBorders>
            <w:shd w:val="clear" w:color="auto" w:fill="auto"/>
            <w:vAlign w:val="center"/>
            <w:hideMark/>
          </w:tcPr>
          <w:p w14:paraId="38FF8B2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48,359</w:t>
            </w:r>
          </w:p>
        </w:tc>
        <w:tc>
          <w:tcPr>
            <w:tcW w:w="1020" w:type="dxa"/>
            <w:tcBorders>
              <w:top w:val="nil"/>
              <w:left w:val="nil"/>
              <w:bottom w:val="single" w:sz="4" w:space="0" w:color="auto"/>
              <w:right w:val="single" w:sz="4" w:space="0" w:color="auto"/>
            </w:tcBorders>
            <w:shd w:val="clear" w:color="auto" w:fill="auto"/>
            <w:vAlign w:val="center"/>
            <w:hideMark/>
          </w:tcPr>
          <w:p w14:paraId="3E897ED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1,868</w:t>
            </w:r>
          </w:p>
        </w:tc>
        <w:tc>
          <w:tcPr>
            <w:tcW w:w="1020" w:type="dxa"/>
            <w:tcBorders>
              <w:top w:val="nil"/>
              <w:left w:val="nil"/>
              <w:bottom w:val="single" w:sz="4" w:space="0" w:color="auto"/>
              <w:right w:val="single" w:sz="4" w:space="0" w:color="auto"/>
            </w:tcBorders>
            <w:shd w:val="clear" w:color="auto" w:fill="auto"/>
            <w:vAlign w:val="center"/>
            <w:hideMark/>
          </w:tcPr>
          <w:p w14:paraId="3BD35EF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50,227</w:t>
            </w:r>
          </w:p>
        </w:tc>
      </w:tr>
      <w:tr w:rsidR="003656FA" w:rsidRPr="003656FA" w14:paraId="140D820E"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5EEEBE7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Deutsche Boerse AG</w:t>
            </w:r>
          </w:p>
        </w:tc>
        <w:tc>
          <w:tcPr>
            <w:tcW w:w="1020" w:type="dxa"/>
            <w:tcBorders>
              <w:top w:val="nil"/>
              <w:left w:val="nil"/>
              <w:bottom w:val="single" w:sz="4" w:space="0" w:color="auto"/>
              <w:right w:val="single" w:sz="4" w:space="0" w:color="auto"/>
            </w:tcBorders>
            <w:shd w:val="clear" w:color="auto" w:fill="auto"/>
            <w:vAlign w:val="center"/>
            <w:hideMark/>
          </w:tcPr>
          <w:p w14:paraId="080D8BD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59,199</w:t>
            </w:r>
          </w:p>
        </w:tc>
        <w:tc>
          <w:tcPr>
            <w:tcW w:w="1020" w:type="dxa"/>
            <w:tcBorders>
              <w:top w:val="nil"/>
              <w:left w:val="nil"/>
              <w:bottom w:val="single" w:sz="4" w:space="0" w:color="auto"/>
              <w:right w:val="single" w:sz="4" w:space="0" w:color="auto"/>
            </w:tcBorders>
            <w:shd w:val="clear" w:color="auto" w:fill="auto"/>
            <w:vAlign w:val="center"/>
            <w:hideMark/>
          </w:tcPr>
          <w:p w14:paraId="0ABB4C5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4E6C822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59,199</w:t>
            </w:r>
          </w:p>
        </w:tc>
        <w:tc>
          <w:tcPr>
            <w:tcW w:w="1020" w:type="dxa"/>
            <w:tcBorders>
              <w:top w:val="nil"/>
              <w:left w:val="nil"/>
              <w:bottom w:val="single" w:sz="4" w:space="0" w:color="auto"/>
              <w:right w:val="single" w:sz="4" w:space="0" w:color="auto"/>
            </w:tcBorders>
            <w:shd w:val="clear" w:color="auto" w:fill="auto"/>
            <w:vAlign w:val="center"/>
            <w:hideMark/>
          </w:tcPr>
          <w:p w14:paraId="33C9856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44,144</w:t>
            </w:r>
          </w:p>
        </w:tc>
        <w:tc>
          <w:tcPr>
            <w:tcW w:w="1020" w:type="dxa"/>
            <w:tcBorders>
              <w:top w:val="nil"/>
              <w:left w:val="nil"/>
              <w:bottom w:val="single" w:sz="4" w:space="0" w:color="auto"/>
              <w:right w:val="single" w:sz="4" w:space="0" w:color="auto"/>
            </w:tcBorders>
            <w:shd w:val="clear" w:color="auto" w:fill="auto"/>
            <w:vAlign w:val="center"/>
            <w:hideMark/>
          </w:tcPr>
          <w:p w14:paraId="5510AB7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118</w:t>
            </w:r>
          </w:p>
        </w:tc>
        <w:tc>
          <w:tcPr>
            <w:tcW w:w="1020" w:type="dxa"/>
            <w:tcBorders>
              <w:top w:val="nil"/>
              <w:left w:val="nil"/>
              <w:bottom w:val="single" w:sz="4" w:space="0" w:color="auto"/>
              <w:right w:val="single" w:sz="4" w:space="0" w:color="auto"/>
            </w:tcBorders>
            <w:shd w:val="clear" w:color="auto" w:fill="auto"/>
            <w:vAlign w:val="center"/>
            <w:hideMark/>
          </w:tcPr>
          <w:p w14:paraId="7B8E101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44,261</w:t>
            </w:r>
          </w:p>
        </w:tc>
      </w:tr>
      <w:tr w:rsidR="003656FA" w:rsidRPr="003656FA" w14:paraId="6D03874C"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65431240"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Euronext</w:t>
            </w:r>
          </w:p>
        </w:tc>
        <w:tc>
          <w:tcPr>
            <w:tcW w:w="1020" w:type="dxa"/>
            <w:tcBorders>
              <w:top w:val="nil"/>
              <w:left w:val="nil"/>
              <w:bottom w:val="single" w:sz="4" w:space="0" w:color="auto"/>
              <w:right w:val="single" w:sz="4" w:space="0" w:color="auto"/>
            </w:tcBorders>
            <w:shd w:val="clear" w:color="auto" w:fill="auto"/>
            <w:vAlign w:val="center"/>
            <w:hideMark/>
          </w:tcPr>
          <w:p w14:paraId="591FFFC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3BA58AE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4,667</w:t>
            </w:r>
          </w:p>
        </w:tc>
        <w:tc>
          <w:tcPr>
            <w:tcW w:w="1020" w:type="dxa"/>
            <w:tcBorders>
              <w:top w:val="nil"/>
              <w:left w:val="nil"/>
              <w:bottom w:val="single" w:sz="4" w:space="0" w:color="auto"/>
              <w:right w:val="single" w:sz="4" w:space="0" w:color="auto"/>
            </w:tcBorders>
            <w:shd w:val="clear" w:color="auto" w:fill="auto"/>
            <w:vAlign w:val="center"/>
            <w:hideMark/>
          </w:tcPr>
          <w:p w14:paraId="58CDBC0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4,667</w:t>
            </w:r>
          </w:p>
        </w:tc>
        <w:tc>
          <w:tcPr>
            <w:tcW w:w="1020" w:type="dxa"/>
            <w:tcBorders>
              <w:top w:val="nil"/>
              <w:left w:val="nil"/>
              <w:bottom w:val="single" w:sz="4" w:space="0" w:color="auto"/>
              <w:right w:val="single" w:sz="4" w:space="0" w:color="auto"/>
            </w:tcBorders>
            <w:shd w:val="clear" w:color="auto" w:fill="auto"/>
            <w:vAlign w:val="center"/>
            <w:hideMark/>
          </w:tcPr>
          <w:p w14:paraId="67B3D7D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796B8DB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4,760</w:t>
            </w:r>
          </w:p>
        </w:tc>
        <w:tc>
          <w:tcPr>
            <w:tcW w:w="1020" w:type="dxa"/>
            <w:tcBorders>
              <w:top w:val="nil"/>
              <w:left w:val="nil"/>
              <w:bottom w:val="single" w:sz="4" w:space="0" w:color="auto"/>
              <w:right w:val="single" w:sz="4" w:space="0" w:color="auto"/>
            </w:tcBorders>
            <w:shd w:val="clear" w:color="auto" w:fill="auto"/>
            <w:vAlign w:val="center"/>
            <w:hideMark/>
          </w:tcPr>
          <w:p w14:paraId="2E28C46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4,760</w:t>
            </w:r>
          </w:p>
        </w:tc>
      </w:tr>
      <w:tr w:rsidR="003656FA" w:rsidRPr="003656FA" w14:paraId="234D065D"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3B6A4D5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Johannesburg Stock Exchange</w:t>
            </w:r>
          </w:p>
        </w:tc>
        <w:tc>
          <w:tcPr>
            <w:tcW w:w="1020" w:type="dxa"/>
            <w:tcBorders>
              <w:top w:val="nil"/>
              <w:left w:val="nil"/>
              <w:bottom w:val="single" w:sz="4" w:space="0" w:color="auto"/>
              <w:right w:val="single" w:sz="4" w:space="0" w:color="auto"/>
            </w:tcBorders>
            <w:shd w:val="clear" w:color="auto" w:fill="auto"/>
            <w:vAlign w:val="center"/>
            <w:hideMark/>
          </w:tcPr>
          <w:p w14:paraId="78250D0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3,691</w:t>
            </w:r>
          </w:p>
        </w:tc>
        <w:tc>
          <w:tcPr>
            <w:tcW w:w="1020" w:type="dxa"/>
            <w:tcBorders>
              <w:top w:val="nil"/>
              <w:left w:val="nil"/>
              <w:bottom w:val="single" w:sz="4" w:space="0" w:color="auto"/>
              <w:right w:val="single" w:sz="4" w:space="0" w:color="auto"/>
            </w:tcBorders>
            <w:shd w:val="clear" w:color="auto" w:fill="auto"/>
            <w:vAlign w:val="center"/>
            <w:hideMark/>
          </w:tcPr>
          <w:p w14:paraId="4072390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797</w:t>
            </w:r>
          </w:p>
        </w:tc>
        <w:tc>
          <w:tcPr>
            <w:tcW w:w="1020" w:type="dxa"/>
            <w:tcBorders>
              <w:top w:val="nil"/>
              <w:left w:val="nil"/>
              <w:bottom w:val="single" w:sz="4" w:space="0" w:color="auto"/>
              <w:right w:val="single" w:sz="4" w:space="0" w:color="auto"/>
            </w:tcBorders>
            <w:shd w:val="clear" w:color="auto" w:fill="auto"/>
            <w:vAlign w:val="center"/>
            <w:hideMark/>
          </w:tcPr>
          <w:p w14:paraId="7903DB2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4,488</w:t>
            </w:r>
          </w:p>
        </w:tc>
        <w:tc>
          <w:tcPr>
            <w:tcW w:w="1020" w:type="dxa"/>
            <w:tcBorders>
              <w:top w:val="nil"/>
              <w:left w:val="nil"/>
              <w:bottom w:val="single" w:sz="4" w:space="0" w:color="auto"/>
              <w:right w:val="single" w:sz="4" w:space="0" w:color="auto"/>
            </w:tcBorders>
            <w:shd w:val="clear" w:color="auto" w:fill="auto"/>
            <w:vAlign w:val="center"/>
            <w:hideMark/>
          </w:tcPr>
          <w:p w14:paraId="23FC285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4,423</w:t>
            </w:r>
          </w:p>
        </w:tc>
        <w:tc>
          <w:tcPr>
            <w:tcW w:w="1020" w:type="dxa"/>
            <w:tcBorders>
              <w:top w:val="nil"/>
              <w:left w:val="nil"/>
              <w:bottom w:val="single" w:sz="4" w:space="0" w:color="auto"/>
              <w:right w:val="single" w:sz="4" w:space="0" w:color="auto"/>
            </w:tcBorders>
            <w:shd w:val="clear" w:color="auto" w:fill="auto"/>
            <w:vAlign w:val="center"/>
            <w:hideMark/>
          </w:tcPr>
          <w:p w14:paraId="1BA34C5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w:t>
            </w:r>
          </w:p>
        </w:tc>
        <w:tc>
          <w:tcPr>
            <w:tcW w:w="1020" w:type="dxa"/>
            <w:tcBorders>
              <w:top w:val="nil"/>
              <w:left w:val="nil"/>
              <w:bottom w:val="single" w:sz="4" w:space="0" w:color="auto"/>
              <w:right w:val="single" w:sz="4" w:space="0" w:color="auto"/>
            </w:tcBorders>
            <w:shd w:val="clear" w:color="auto" w:fill="auto"/>
            <w:vAlign w:val="center"/>
            <w:hideMark/>
          </w:tcPr>
          <w:p w14:paraId="62B3B5A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4,424</w:t>
            </w:r>
          </w:p>
        </w:tc>
      </w:tr>
      <w:tr w:rsidR="003656FA" w:rsidRPr="003656FA" w14:paraId="56B24200" w14:textId="77777777" w:rsidTr="00A92684">
        <w:trPr>
          <w:trHeight w:val="259"/>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5CF9DBD3"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LSE Group</w:t>
            </w:r>
          </w:p>
        </w:tc>
        <w:tc>
          <w:tcPr>
            <w:tcW w:w="1020" w:type="dxa"/>
            <w:tcBorders>
              <w:top w:val="nil"/>
              <w:left w:val="nil"/>
              <w:bottom w:val="single" w:sz="4" w:space="0" w:color="auto"/>
              <w:right w:val="single" w:sz="4" w:space="0" w:color="auto"/>
            </w:tcBorders>
            <w:shd w:val="clear" w:color="auto" w:fill="auto"/>
            <w:vAlign w:val="center"/>
            <w:hideMark/>
          </w:tcPr>
          <w:p w14:paraId="787316C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82,014</w:t>
            </w:r>
          </w:p>
        </w:tc>
        <w:tc>
          <w:tcPr>
            <w:tcW w:w="1020" w:type="dxa"/>
            <w:tcBorders>
              <w:top w:val="nil"/>
              <w:left w:val="nil"/>
              <w:bottom w:val="single" w:sz="4" w:space="0" w:color="auto"/>
              <w:right w:val="single" w:sz="4" w:space="0" w:color="auto"/>
            </w:tcBorders>
            <w:shd w:val="clear" w:color="auto" w:fill="auto"/>
            <w:vAlign w:val="center"/>
            <w:hideMark/>
          </w:tcPr>
          <w:p w14:paraId="723DA40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6,975</w:t>
            </w:r>
          </w:p>
        </w:tc>
        <w:tc>
          <w:tcPr>
            <w:tcW w:w="1020" w:type="dxa"/>
            <w:tcBorders>
              <w:top w:val="nil"/>
              <w:left w:val="nil"/>
              <w:bottom w:val="single" w:sz="4" w:space="0" w:color="auto"/>
              <w:right w:val="single" w:sz="4" w:space="0" w:color="auto"/>
            </w:tcBorders>
            <w:shd w:val="clear" w:color="auto" w:fill="auto"/>
            <w:vAlign w:val="center"/>
            <w:hideMark/>
          </w:tcPr>
          <w:p w14:paraId="41CBD6A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88,989</w:t>
            </w:r>
          </w:p>
        </w:tc>
        <w:tc>
          <w:tcPr>
            <w:tcW w:w="1020" w:type="dxa"/>
            <w:tcBorders>
              <w:top w:val="nil"/>
              <w:left w:val="nil"/>
              <w:bottom w:val="single" w:sz="4" w:space="0" w:color="auto"/>
              <w:right w:val="single" w:sz="4" w:space="0" w:color="auto"/>
            </w:tcBorders>
            <w:shd w:val="clear" w:color="auto" w:fill="auto"/>
            <w:vAlign w:val="center"/>
            <w:hideMark/>
          </w:tcPr>
          <w:p w14:paraId="43F67A3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93,977</w:t>
            </w:r>
          </w:p>
        </w:tc>
        <w:tc>
          <w:tcPr>
            <w:tcW w:w="1020" w:type="dxa"/>
            <w:tcBorders>
              <w:top w:val="nil"/>
              <w:left w:val="nil"/>
              <w:bottom w:val="single" w:sz="4" w:space="0" w:color="auto"/>
              <w:right w:val="single" w:sz="4" w:space="0" w:color="auto"/>
            </w:tcBorders>
            <w:shd w:val="clear" w:color="auto" w:fill="auto"/>
            <w:vAlign w:val="center"/>
            <w:hideMark/>
          </w:tcPr>
          <w:p w14:paraId="61BC717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3,182</w:t>
            </w:r>
          </w:p>
        </w:tc>
        <w:tc>
          <w:tcPr>
            <w:tcW w:w="1020" w:type="dxa"/>
            <w:tcBorders>
              <w:top w:val="nil"/>
              <w:left w:val="nil"/>
              <w:bottom w:val="single" w:sz="4" w:space="0" w:color="auto"/>
              <w:right w:val="single" w:sz="4" w:space="0" w:color="auto"/>
            </w:tcBorders>
            <w:shd w:val="clear" w:color="auto" w:fill="auto"/>
            <w:vAlign w:val="center"/>
            <w:hideMark/>
          </w:tcPr>
          <w:p w14:paraId="155AC7D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97,159</w:t>
            </w:r>
          </w:p>
        </w:tc>
      </w:tr>
      <w:tr w:rsidR="003656FA" w:rsidRPr="003656FA" w14:paraId="25788495" w14:textId="77777777" w:rsidTr="00A92684">
        <w:trPr>
          <w:trHeight w:val="272"/>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0F9AD63D"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Moscow Exchange</w:t>
            </w:r>
          </w:p>
        </w:tc>
        <w:tc>
          <w:tcPr>
            <w:tcW w:w="1020" w:type="dxa"/>
            <w:tcBorders>
              <w:top w:val="nil"/>
              <w:left w:val="nil"/>
              <w:bottom w:val="single" w:sz="4" w:space="0" w:color="auto"/>
              <w:right w:val="single" w:sz="4" w:space="0" w:color="auto"/>
            </w:tcBorders>
            <w:shd w:val="clear" w:color="auto" w:fill="auto"/>
            <w:vAlign w:val="center"/>
            <w:hideMark/>
          </w:tcPr>
          <w:p w14:paraId="4219ACA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20,905</w:t>
            </w:r>
          </w:p>
        </w:tc>
        <w:tc>
          <w:tcPr>
            <w:tcW w:w="1020" w:type="dxa"/>
            <w:tcBorders>
              <w:top w:val="nil"/>
              <w:left w:val="nil"/>
              <w:bottom w:val="single" w:sz="4" w:space="0" w:color="auto"/>
              <w:right w:val="single" w:sz="4" w:space="0" w:color="auto"/>
            </w:tcBorders>
            <w:shd w:val="clear" w:color="auto" w:fill="auto"/>
            <w:vAlign w:val="center"/>
            <w:hideMark/>
          </w:tcPr>
          <w:p w14:paraId="6E00D82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31725D4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20,905</w:t>
            </w:r>
          </w:p>
        </w:tc>
        <w:tc>
          <w:tcPr>
            <w:tcW w:w="1020" w:type="dxa"/>
            <w:tcBorders>
              <w:top w:val="nil"/>
              <w:left w:val="nil"/>
              <w:bottom w:val="single" w:sz="4" w:space="0" w:color="auto"/>
              <w:right w:val="single" w:sz="4" w:space="0" w:color="auto"/>
            </w:tcBorders>
            <w:shd w:val="clear" w:color="auto" w:fill="auto"/>
            <w:vAlign w:val="center"/>
            <w:hideMark/>
          </w:tcPr>
          <w:p w14:paraId="0B71AE0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22,233</w:t>
            </w:r>
          </w:p>
        </w:tc>
        <w:tc>
          <w:tcPr>
            <w:tcW w:w="1020" w:type="dxa"/>
            <w:tcBorders>
              <w:top w:val="nil"/>
              <w:left w:val="nil"/>
              <w:bottom w:val="single" w:sz="4" w:space="0" w:color="auto"/>
              <w:right w:val="single" w:sz="4" w:space="0" w:color="auto"/>
            </w:tcBorders>
            <w:shd w:val="clear" w:color="auto" w:fill="auto"/>
            <w:vAlign w:val="center"/>
            <w:hideMark/>
          </w:tcPr>
          <w:p w14:paraId="232E540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0" w:type="dxa"/>
            <w:tcBorders>
              <w:top w:val="nil"/>
              <w:left w:val="nil"/>
              <w:bottom w:val="single" w:sz="4" w:space="0" w:color="auto"/>
              <w:right w:val="single" w:sz="4" w:space="0" w:color="auto"/>
            </w:tcBorders>
            <w:shd w:val="clear" w:color="auto" w:fill="auto"/>
            <w:vAlign w:val="center"/>
            <w:hideMark/>
          </w:tcPr>
          <w:p w14:paraId="435B6D2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22,233</w:t>
            </w:r>
          </w:p>
        </w:tc>
      </w:tr>
      <w:tr w:rsidR="003656FA" w:rsidRPr="003656FA" w14:paraId="3DB54898" w14:textId="77777777" w:rsidTr="00A92684">
        <w:trPr>
          <w:trHeight w:val="259"/>
        </w:trPr>
        <w:tc>
          <w:tcPr>
            <w:tcW w:w="3304" w:type="dxa"/>
            <w:tcBorders>
              <w:top w:val="nil"/>
              <w:left w:val="single" w:sz="4" w:space="0" w:color="auto"/>
              <w:bottom w:val="single" w:sz="4" w:space="0" w:color="auto"/>
              <w:right w:val="single" w:sz="4" w:space="0" w:color="auto"/>
            </w:tcBorders>
            <w:shd w:val="clear" w:color="000000" w:fill="BDD6EE"/>
            <w:vAlign w:val="center"/>
            <w:hideMark/>
          </w:tcPr>
          <w:p w14:paraId="1B83202C"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Grand Total</w:t>
            </w:r>
          </w:p>
        </w:tc>
        <w:tc>
          <w:tcPr>
            <w:tcW w:w="1020" w:type="dxa"/>
            <w:tcBorders>
              <w:top w:val="nil"/>
              <w:left w:val="nil"/>
              <w:bottom w:val="single" w:sz="4" w:space="0" w:color="auto"/>
              <w:right w:val="single" w:sz="4" w:space="0" w:color="auto"/>
            </w:tcBorders>
            <w:shd w:val="clear" w:color="000000" w:fill="BDD6EE"/>
            <w:vAlign w:val="center"/>
            <w:hideMark/>
          </w:tcPr>
          <w:p w14:paraId="1075FBDF"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4,29,837</w:t>
            </w:r>
          </w:p>
        </w:tc>
        <w:tc>
          <w:tcPr>
            <w:tcW w:w="1020" w:type="dxa"/>
            <w:tcBorders>
              <w:top w:val="nil"/>
              <w:left w:val="nil"/>
              <w:bottom w:val="single" w:sz="4" w:space="0" w:color="auto"/>
              <w:right w:val="single" w:sz="4" w:space="0" w:color="auto"/>
            </w:tcBorders>
            <w:shd w:val="clear" w:color="000000" w:fill="BDD6EE"/>
            <w:vAlign w:val="center"/>
            <w:hideMark/>
          </w:tcPr>
          <w:p w14:paraId="194C6338"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82,924</w:t>
            </w:r>
          </w:p>
        </w:tc>
        <w:tc>
          <w:tcPr>
            <w:tcW w:w="1020" w:type="dxa"/>
            <w:tcBorders>
              <w:top w:val="nil"/>
              <w:left w:val="nil"/>
              <w:bottom w:val="single" w:sz="4" w:space="0" w:color="auto"/>
              <w:right w:val="single" w:sz="4" w:space="0" w:color="auto"/>
            </w:tcBorders>
            <w:shd w:val="clear" w:color="000000" w:fill="BDD6EE"/>
            <w:vAlign w:val="center"/>
            <w:hideMark/>
          </w:tcPr>
          <w:p w14:paraId="22872094"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5,12,761</w:t>
            </w:r>
          </w:p>
        </w:tc>
        <w:tc>
          <w:tcPr>
            <w:tcW w:w="1020" w:type="dxa"/>
            <w:tcBorders>
              <w:top w:val="nil"/>
              <w:left w:val="nil"/>
              <w:bottom w:val="single" w:sz="4" w:space="0" w:color="auto"/>
              <w:right w:val="single" w:sz="4" w:space="0" w:color="auto"/>
            </w:tcBorders>
            <w:shd w:val="clear" w:color="000000" w:fill="BDD6EE"/>
            <w:vAlign w:val="center"/>
            <w:hideMark/>
          </w:tcPr>
          <w:p w14:paraId="34F9A150"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3,95,489</w:t>
            </w:r>
          </w:p>
        </w:tc>
        <w:tc>
          <w:tcPr>
            <w:tcW w:w="1020" w:type="dxa"/>
            <w:tcBorders>
              <w:top w:val="nil"/>
              <w:left w:val="nil"/>
              <w:bottom w:val="single" w:sz="4" w:space="0" w:color="auto"/>
              <w:right w:val="single" w:sz="4" w:space="0" w:color="auto"/>
            </w:tcBorders>
            <w:shd w:val="clear" w:color="000000" w:fill="BDD6EE"/>
            <w:vAlign w:val="center"/>
            <w:hideMark/>
          </w:tcPr>
          <w:p w14:paraId="67AE41D7"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52,060</w:t>
            </w:r>
          </w:p>
        </w:tc>
        <w:tc>
          <w:tcPr>
            <w:tcW w:w="1020" w:type="dxa"/>
            <w:tcBorders>
              <w:top w:val="nil"/>
              <w:left w:val="nil"/>
              <w:bottom w:val="single" w:sz="4" w:space="0" w:color="auto"/>
              <w:right w:val="single" w:sz="4" w:space="0" w:color="auto"/>
            </w:tcBorders>
            <w:shd w:val="clear" w:color="000000" w:fill="BDD6EE"/>
            <w:vAlign w:val="center"/>
            <w:hideMark/>
          </w:tcPr>
          <w:p w14:paraId="2320D5C2"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4,47,549</w:t>
            </w:r>
          </w:p>
        </w:tc>
      </w:tr>
    </w:tbl>
    <w:p w14:paraId="6EAED63E" w14:textId="77777777" w:rsidR="003656FA" w:rsidRPr="003656FA" w:rsidRDefault="003656FA" w:rsidP="003656FA">
      <w:pPr>
        <w:jc w:val="both"/>
        <w:rPr>
          <w:rFonts w:ascii="Garamond" w:hAnsi="Garamond"/>
          <w:bCs/>
          <w:sz w:val="18"/>
          <w:szCs w:val="18"/>
        </w:rPr>
      </w:pPr>
      <w:r w:rsidRPr="003656FA">
        <w:rPr>
          <w:rFonts w:ascii="Garamond" w:hAnsi="Garamond"/>
          <w:bCs/>
          <w:sz w:val="18"/>
          <w:szCs w:val="18"/>
        </w:rPr>
        <w:t>Note: For Funds mobilised through issuance of bonds, data may differ due to different reporting rules &amp; calculation methods. Fund mobilisation data for equities are (i) excluding investment funds and (ii) including Alternative and SME Markets except the following exceptions:</w:t>
      </w:r>
    </w:p>
    <w:p w14:paraId="445DFF5C" w14:textId="77777777" w:rsidR="003656FA" w:rsidRPr="003656FA" w:rsidRDefault="003656FA" w:rsidP="003656FA">
      <w:pPr>
        <w:widowControl w:val="0"/>
        <w:numPr>
          <w:ilvl w:val="0"/>
          <w:numId w:val="1"/>
        </w:numPr>
        <w:autoSpaceDE w:val="0"/>
        <w:autoSpaceDN w:val="0"/>
        <w:adjustRightInd w:val="0"/>
        <w:rPr>
          <w:rFonts w:ascii="Garamond" w:eastAsia="Times New Roman" w:hAnsi="Garamond"/>
          <w:bCs/>
          <w:sz w:val="18"/>
          <w:szCs w:val="18"/>
        </w:rPr>
      </w:pPr>
      <w:r w:rsidRPr="003656FA">
        <w:rPr>
          <w:rFonts w:ascii="Garamond" w:eastAsia="Times New Roman" w:hAnsi="Garamond"/>
          <w:bCs/>
          <w:sz w:val="18"/>
          <w:szCs w:val="18"/>
        </w:rPr>
        <w:t>Australian Securities Exchange: including investment funds</w:t>
      </w:r>
    </w:p>
    <w:p w14:paraId="651A498E" w14:textId="77777777" w:rsidR="003656FA" w:rsidRPr="003656FA" w:rsidRDefault="003656FA" w:rsidP="003656FA">
      <w:pPr>
        <w:widowControl w:val="0"/>
        <w:numPr>
          <w:ilvl w:val="0"/>
          <w:numId w:val="1"/>
        </w:numPr>
        <w:autoSpaceDE w:val="0"/>
        <w:autoSpaceDN w:val="0"/>
        <w:adjustRightInd w:val="0"/>
        <w:rPr>
          <w:rFonts w:ascii="Garamond" w:eastAsia="Times New Roman" w:hAnsi="Garamond"/>
          <w:bCs/>
          <w:sz w:val="18"/>
          <w:szCs w:val="18"/>
        </w:rPr>
      </w:pPr>
      <w:r w:rsidRPr="003656FA">
        <w:rPr>
          <w:rFonts w:ascii="Garamond" w:eastAsia="Times New Roman" w:hAnsi="Garamond"/>
          <w:bCs/>
          <w:sz w:val="18"/>
          <w:szCs w:val="18"/>
        </w:rPr>
        <w:t xml:space="preserve">BME: Including investment companies listed (open-end investment companies). </w:t>
      </w:r>
    </w:p>
    <w:p w14:paraId="3C84C452" w14:textId="77777777" w:rsidR="003656FA" w:rsidRPr="003656FA" w:rsidRDefault="003656FA" w:rsidP="003656FA">
      <w:pPr>
        <w:widowControl w:val="0"/>
        <w:numPr>
          <w:ilvl w:val="0"/>
          <w:numId w:val="1"/>
        </w:numPr>
        <w:autoSpaceDE w:val="0"/>
        <w:autoSpaceDN w:val="0"/>
        <w:adjustRightInd w:val="0"/>
        <w:rPr>
          <w:rFonts w:ascii="Garamond" w:eastAsia="Times New Roman" w:hAnsi="Garamond"/>
          <w:bCs/>
          <w:sz w:val="18"/>
          <w:szCs w:val="18"/>
        </w:rPr>
      </w:pPr>
      <w:r w:rsidRPr="003656FA">
        <w:rPr>
          <w:rFonts w:ascii="Garamond" w:eastAsia="Times New Roman" w:hAnsi="Garamond"/>
          <w:bCs/>
          <w:sz w:val="18"/>
          <w:szCs w:val="18"/>
        </w:rPr>
        <w:t>Euronext: includes Belgium, England, France, Netherlands and Portugal</w:t>
      </w:r>
    </w:p>
    <w:p w14:paraId="4C6C61AB" w14:textId="77777777" w:rsidR="003656FA" w:rsidRPr="003656FA" w:rsidRDefault="003656FA" w:rsidP="003656FA">
      <w:pPr>
        <w:widowControl w:val="0"/>
        <w:numPr>
          <w:ilvl w:val="0"/>
          <w:numId w:val="1"/>
        </w:numPr>
        <w:autoSpaceDE w:val="0"/>
        <w:autoSpaceDN w:val="0"/>
        <w:adjustRightInd w:val="0"/>
        <w:rPr>
          <w:rFonts w:ascii="Garamond" w:eastAsia="Times New Roman" w:hAnsi="Garamond"/>
          <w:bCs/>
          <w:sz w:val="18"/>
          <w:szCs w:val="18"/>
        </w:rPr>
      </w:pPr>
      <w:r w:rsidRPr="003656FA">
        <w:rPr>
          <w:rFonts w:ascii="Garamond" w:eastAsia="Times New Roman" w:hAnsi="Garamond"/>
          <w:bCs/>
          <w:sz w:val="18"/>
          <w:szCs w:val="18"/>
        </w:rPr>
        <w:t>Korea Exchange: including Kosdaq market data</w:t>
      </w:r>
    </w:p>
    <w:p w14:paraId="74EBBBD4" w14:textId="77777777" w:rsidR="003656FA" w:rsidRPr="003656FA" w:rsidRDefault="003656FA" w:rsidP="003656FA">
      <w:pPr>
        <w:widowControl w:val="0"/>
        <w:numPr>
          <w:ilvl w:val="0"/>
          <w:numId w:val="1"/>
        </w:numPr>
        <w:autoSpaceDE w:val="0"/>
        <w:autoSpaceDN w:val="0"/>
        <w:adjustRightInd w:val="0"/>
        <w:rPr>
          <w:rFonts w:ascii="Garamond" w:eastAsia="Times New Roman" w:hAnsi="Garamond"/>
          <w:bCs/>
          <w:sz w:val="18"/>
          <w:szCs w:val="18"/>
        </w:rPr>
      </w:pPr>
      <w:r w:rsidRPr="003656FA">
        <w:rPr>
          <w:rFonts w:ascii="Garamond" w:eastAsia="Times New Roman" w:hAnsi="Garamond"/>
          <w:bCs/>
          <w:sz w:val="18"/>
          <w:szCs w:val="18"/>
        </w:rPr>
        <w:t>LSE Group: includes London Stock Exchange and BorsaItaliana</w:t>
      </w:r>
    </w:p>
    <w:p w14:paraId="1291A4A3" w14:textId="77777777" w:rsidR="003656FA" w:rsidRPr="003656FA" w:rsidRDefault="003656FA" w:rsidP="003656FA">
      <w:pPr>
        <w:widowControl w:val="0"/>
        <w:numPr>
          <w:ilvl w:val="0"/>
          <w:numId w:val="1"/>
        </w:numPr>
        <w:autoSpaceDE w:val="0"/>
        <w:autoSpaceDN w:val="0"/>
        <w:adjustRightInd w:val="0"/>
        <w:rPr>
          <w:rFonts w:ascii="Garamond" w:eastAsia="Times New Roman" w:hAnsi="Garamond"/>
          <w:bCs/>
          <w:sz w:val="18"/>
          <w:szCs w:val="18"/>
        </w:rPr>
      </w:pPr>
      <w:r w:rsidRPr="003656FA">
        <w:rPr>
          <w:rFonts w:ascii="Garamond" w:eastAsia="Times New Roman" w:hAnsi="Garamond"/>
          <w:bCs/>
          <w:sz w:val="18"/>
          <w:szCs w:val="18"/>
        </w:rPr>
        <w:t>Nasdaq Nordic Exchanges include Copenhagen, Helsinki, Iceland, Stockholm, Tallinn, Riga and Vilnius Stock Exchanges</w:t>
      </w:r>
    </w:p>
    <w:p w14:paraId="7865B4FD" w14:textId="77777777" w:rsidR="003656FA" w:rsidRPr="003656FA" w:rsidRDefault="003656FA" w:rsidP="003656FA">
      <w:pPr>
        <w:widowControl w:val="0"/>
        <w:numPr>
          <w:ilvl w:val="0"/>
          <w:numId w:val="1"/>
        </w:numPr>
        <w:autoSpaceDE w:val="0"/>
        <w:autoSpaceDN w:val="0"/>
        <w:adjustRightInd w:val="0"/>
        <w:rPr>
          <w:rFonts w:ascii="Garamond" w:eastAsia="Times New Roman" w:hAnsi="Garamond"/>
          <w:bCs/>
          <w:sz w:val="18"/>
          <w:szCs w:val="18"/>
        </w:rPr>
      </w:pPr>
      <w:r w:rsidRPr="003656FA">
        <w:rPr>
          <w:rFonts w:ascii="Garamond" w:eastAsia="Times New Roman" w:hAnsi="Garamond"/>
          <w:bCs/>
          <w:sz w:val="18"/>
          <w:szCs w:val="18"/>
        </w:rPr>
        <w:t>NSE India: including “Emerge” market data</w:t>
      </w:r>
    </w:p>
    <w:p w14:paraId="70DD3B74" w14:textId="77777777" w:rsidR="003656FA" w:rsidRPr="003656FA" w:rsidRDefault="003656FA" w:rsidP="003656FA">
      <w:pPr>
        <w:outlineLvl w:val="0"/>
        <w:rPr>
          <w:rFonts w:ascii="Garamond" w:hAnsi="Garamond"/>
          <w:bCs/>
          <w:sz w:val="18"/>
          <w:szCs w:val="18"/>
        </w:rPr>
      </w:pPr>
      <w:r w:rsidRPr="003656FA">
        <w:rPr>
          <w:rFonts w:ascii="Garamond" w:hAnsi="Garamond"/>
          <w:bCs/>
          <w:sz w:val="18"/>
          <w:szCs w:val="18"/>
        </w:rPr>
        <w:t>NA = Not Available</w:t>
      </w:r>
    </w:p>
    <w:p w14:paraId="723EC08E" w14:textId="77777777" w:rsidR="003656FA" w:rsidRPr="003656FA" w:rsidRDefault="003656FA" w:rsidP="003656FA">
      <w:pPr>
        <w:spacing w:line="23" w:lineRule="atLeast"/>
        <w:rPr>
          <w:rFonts w:ascii="Garamond" w:hAnsi="Garamond"/>
          <w:bCs/>
          <w:sz w:val="18"/>
          <w:szCs w:val="18"/>
        </w:rPr>
      </w:pPr>
      <w:r w:rsidRPr="003656FA">
        <w:rPr>
          <w:rFonts w:ascii="Garamond" w:hAnsi="Garamond"/>
          <w:bCs/>
          <w:sz w:val="18"/>
          <w:szCs w:val="18"/>
        </w:rPr>
        <w:t>Source: World Federation of Exchanges</w:t>
      </w:r>
    </w:p>
    <w:p w14:paraId="6C6E0BAF" w14:textId="77777777" w:rsidR="003656FA" w:rsidRPr="003656FA" w:rsidRDefault="003656FA" w:rsidP="003656FA">
      <w:pPr>
        <w:rPr>
          <w:rFonts w:ascii="Garamond" w:hAnsi="Garamond"/>
          <w:bCs/>
          <w:strike/>
          <w:sz w:val="22"/>
          <w:szCs w:val="22"/>
        </w:rPr>
      </w:pPr>
    </w:p>
    <w:p w14:paraId="54C31B67" w14:textId="77777777" w:rsidR="003656FA" w:rsidRPr="003656FA" w:rsidRDefault="003656FA" w:rsidP="003656FA">
      <w:pPr>
        <w:spacing w:line="23" w:lineRule="atLeast"/>
        <w:jc w:val="both"/>
        <w:outlineLvl w:val="0"/>
        <w:rPr>
          <w:rFonts w:ascii="Garamond" w:hAnsi="Garamond"/>
          <w:b/>
          <w:bCs/>
          <w:szCs w:val="22"/>
        </w:rPr>
      </w:pPr>
      <w:r w:rsidRPr="003656FA">
        <w:rPr>
          <w:rFonts w:ascii="Garamond" w:hAnsi="Garamond"/>
          <w:b/>
          <w:bCs/>
          <w:szCs w:val="22"/>
        </w:rPr>
        <w:t>Table A3: Domestic Market Capitalisation of Major Exchanges (USD million)</w:t>
      </w:r>
    </w:p>
    <w:tbl>
      <w:tblPr>
        <w:tblW w:w="6608" w:type="dxa"/>
        <w:tblLook w:val="04A0" w:firstRow="1" w:lastRow="0" w:firstColumn="1" w:lastColumn="0" w:noHBand="0" w:noVBand="1"/>
      </w:tblPr>
      <w:tblGrid>
        <w:gridCol w:w="991"/>
        <w:gridCol w:w="1714"/>
        <w:gridCol w:w="1301"/>
        <w:gridCol w:w="1301"/>
        <w:gridCol w:w="1301"/>
      </w:tblGrid>
      <w:tr w:rsidR="003656FA" w:rsidRPr="003656FA" w14:paraId="75084A09" w14:textId="77777777" w:rsidTr="00A92684">
        <w:trPr>
          <w:trHeight w:val="247"/>
        </w:trPr>
        <w:tc>
          <w:tcPr>
            <w:tcW w:w="9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FF2EBC"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Markets</w:t>
            </w:r>
          </w:p>
        </w:tc>
        <w:tc>
          <w:tcPr>
            <w:tcW w:w="1714" w:type="dxa"/>
            <w:tcBorders>
              <w:top w:val="single" w:sz="8" w:space="0" w:color="auto"/>
              <w:left w:val="nil"/>
              <w:bottom w:val="single" w:sz="8" w:space="0" w:color="auto"/>
              <w:right w:val="single" w:sz="8" w:space="0" w:color="auto"/>
            </w:tcBorders>
            <w:shd w:val="clear" w:color="000000" w:fill="B4C6E7"/>
            <w:noWrap/>
            <w:vAlign w:val="center"/>
            <w:hideMark/>
          </w:tcPr>
          <w:p w14:paraId="67B0C6D9"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Country</w:t>
            </w:r>
          </w:p>
        </w:tc>
        <w:tc>
          <w:tcPr>
            <w:tcW w:w="1301" w:type="dxa"/>
            <w:tcBorders>
              <w:top w:val="single" w:sz="8" w:space="0" w:color="auto"/>
              <w:left w:val="nil"/>
              <w:bottom w:val="single" w:sz="8" w:space="0" w:color="auto"/>
              <w:right w:val="single" w:sz="8" w:space="0" w:color="auto"/>
            </w:tcBorders>
            <w:shd w:val="clear" w:color="000000" w:fill="B4C6E7"/>
            <w:noWrap/>
            <w:vAlign w:val="center"/>
            <w:hideMark/>
          </w:tcPr>
          <w:p w14:paraId="03C969E6"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Jul-20</w:t>
            </w:r>
          </w:p>
        </w:tc>
        <w:tc>
          <w:tcPr>
            <w:tcW w:w="1301" w:type="dxa"/>
            <w:tcBorders>
              <w:top w:val="single" w:sz="8" w:space="0" w:color="auto"/>
              <w:left w:val="nil"/>
              <w:bottom w:val="single" w:sz="8" w:space="0" w:color="auto"/>
              <w:right w:val="single" w:sz="8" w:space="0" w:color="auto"/>
            </w:tcBorders>
            <w:shd w:val="clear" w:color="000000" w:fill="B4C6E7"/>
            <w:noWrap/>
            <w:vAlign w:val="center"/>
            <w:hideMark/>
          </w:tcPr>
          <w:p w14:paraId="60F041B8"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Aug-20</w:t>
            </w:r>
          </w:p>
        </w:tc>
        <w:tc>
          <w:tcPr>
            <w:tcW w:w="1301" w:type="dxa"/>
            <w:tcBorders>
              <w:top w:val="single" w:sz="8" w:space="0" w:color="auto"/>
              <w:left w:val="nil"/>
              <w:bottom w:val="single" w:sz="8" w:space="0" w:color="auto"/>
              <w:right w:val="single" w:sz="8" w:space="0" w:color="auto"/>
            </w:tcBorders>
            <w:shd w:val="clear" w:color="000000" w:fill="B4C6E7"/>
            <w:noWrap/>
            <w:vAlign w:val="center"/>
            <w:hideMark/>
          </w:tcPr>
          <w:p w14:paraId="7C160D47"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Change MoM</w:t>
            </w:r>
          </w:p>
        </w:tc>
      </w:tr>
      <w:tr w:rsidR="003656FA" w:rsidRPr="003656FA" w14:paraId="5D99C340" w14:textId="77777777" w:rsidTr="00A92684">
        <w:trPr>
          <w:trHeight w:val="247"/>
        </w:trPr>
        <w:tc>
          <w:tcPr>
            <w:tcW w:w="991" w:type="dxa"/>
            <w:vMerge w:val="restart"/>
            <w:tcBorders>
              <w:top w:val="nil"/>
              <w:left w:val="single" w:sz="8" w:space="0" w:color="auto"/>
              <w:bottom w:val="single" w:sz="8" w:space="0" w:color="000000"/>
              <w:right w:val="single" w:sz="8" w:space="0" w:color="auto"/>
            </w:tcBorders>
            <w:shd w:val="clear" w:color="000000" w:fill="B4C6E7"/>
            <w:noWrap/>
            <w:textDirection w:val="btLr"/>
            <w:vAlign w:val="center"/>
            <w:hideMark/>
          </w:tcPr>
          <w:p w14:paraId="5A0D352D"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Developed Markets</w:t>
            </w:r>
          </w:p>
        </w:tc>
        <w:tc>
          <w:tcPr>
            <w:tcW w:w="1714" w:type="dxa"/>
            <w:tcBorders>
              <w:top w:val="nil"/>
              <w:left w:val="nil"/>
              <w:bottom w:val="single" w:sz="8" w:space="0" w:color="auto"/>
              <w:right w:val="single" w:sz="8" w:space="0" w:color="auto"/>
            </w:tcBorders>
            <w:shd w:val="clear" w:color="000000" w:fill="D9E1F2"/>
            <w:noWrap/>
            <w:vAlign w:val="center"/>
            <w:hideMark/>
          </w:tcPr>
          <w:p w14:paraId="47BDED9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USA</w:t>
            </w:r>
          </w:p>
        </w:tc>
        <w:tc>
          <w:tcPr>
            <w:tcW w:w="1301" w:type="dxa"/>
            <w:tcBorders>
              <w:top w:val="nil"/>
              <w:left w:val="nil"/>
              <w:bottom w:val="single" w:sz="8" w:space="0" w:color="auto"/>
              <w:right w:val="single" w:sz="8" w:space="0" w:color="auto"/>
            </w:tcBorders>
            <w:shd w:val="clear" w:color="auto" w:fill="auto"/>
            <w:noWrap/>
            <w:vAlign w:val="center"/>
            <w:hideMark/>
          </w:tcPr>
          <w:p w14:paraId="5C4FB4E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34,997</w:t>
            </w:r>
          </w:p>
        </w:tc>
        <w:tc>
          <w:tcPr>
            <w:tcW w:w="1301" w:type="dxa"/>
            <w:tcBorders>
              <w:top w:val="nil"/>
              <w:left w:val="nil"/>
              <w:bottom w:val="single" w:sz="8" w:space="0" w:color="auto"/>
              <w:right w:val="single" w:sz="8" w:space="0" w:color="auto"/>
            </w:tcBorders>
            <w:shd w:val="clear" w:color="auto" w:fill="auto"/>
            <w:noWrap/>
            <w:vAlign w:val="center"/>
            <w:hideMark/>
          </w:tcPr>
          <w:p w14:paraId="78DD05D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37,934</w:t>
            </w:r>
          </w:p>
        </w:tc>
        <w:tc>
          <w:tcPr>
            <w:tcW w:w="1301" w:type="dxa"/>
            <w:tcBorders>
              <w:top w:val="nil"/>
              <w:left w:val="nil"/>
              <w:bottom w:val="single" w:sz="8" w:space="0" w:color="auto"/>
              <w:right w:val="single" w:sz="8" w:space="0" w:color="auto"/>
            </w:tcBorders>
            <w:shd w:val="clear" w:color="auto" w:fill="auto"/>
            <w:noWrap/>
            <w:vAlign w:val="center"/>
            <w:hideMark/>
          </w:tcPr>
          <w:p w14:paraId="523530B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8.4</w:t>
            </w:r>
          </w:p>
        </w:tc>
      </w:tr>
      <w:tr w:rsidR="003656FA" w:rsidRPr="003656FA" w14:paraId="6D04D178" w14:textId="77777777" w:rsidTr="00A92684">
        <w:trPr>
          <w:trHeight w:val="247"/>
        </w:trPr>
        <w:tc>
          <w:tcPr>
            <w:tcW w:w="991" w:type="dxa"/>
            <w:vMerge/>
            <w:tcBorders>
              <w:top w:val="nil"/>
              <w:left w:val="single" w:sz="8" w:space="0" w:color="auto"/>
              <w:bottom w:val="single" w:sz="8" w:space="0" w:color="000000"/>
              <w:right w:val="single" w:sz="8" w:space="0" w:color="auto"/>
            </w:tcBorders>
            <w:vAlign w:val="center"/>
            <w:hideMark/>
          </w:tcPr>
          <w:p w14:paraId="6EE45CFE"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14:paraId="49D067F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UK</w:t>
            </w:r>
          </w:p>
        </w:tc>
        <w:tc>
          <w:tcPr>
            <w:tcW w:w="1301" w:type="dxa"/>
            <w:tcBorders>
              <w:top w:val="nil"/>
              <w:left w:val="nil"/>
              <w:bottom w:val="single" w:sz="8" w:space="0" w:color="auto"/>
              <w:right w:val="single" w:sz="8" w:space="0" w:color="auto"/>
            </w:tcBorders>
            <w:shd w:val="clear" w:color="auto" w:fill="auto"/>
            <w:noWrap/>
            <w:vAlign w:val="center"/>
            <w:hideMark/>
          </w:tcPr>
          <w:p w14:paraId="5B30898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2,756</w:t>
            </w:r>
          </w:p>
        </w:tc>
        <w:tc>
          <w:tcPr>
            <w:tcW w:w="1301" w:type="dxa"/>
            <w:tcBorders>
              <w:top w:val="nil"/>
              <w:left w:val="nil"/>
              <w:bottom w:val="single" w:sz="8" w:space="0" w:color="auto"/>
              <w:right w:val="single" w:sz="8" w:space="0" w:color="auto"/>
            </w:tcBorders>
            <w:shd w:val="clear" w:color="auto" w:fill="auto"/>
            <w:noWrap/>
            <w:vAlign w:val="center"/>
            <w:hideMark/>
          </w:tcPr>
          <w:p w14:paraId="7017E47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2,839</w:t>
            </w:r>
          </w:p>
        </w:tc>
        <w:tc>
          <w:tcPr>
            <w:tcW w:w="1301" w:type="dxa"/>
            <w:tcBorders>
              <w:top w:val="nil"/>
              <w:left w:val="nil"/>
              <w:bottom w:val="single" w:sz="8" w:space="0" w:color="auto"/>
              <w:right w:val="single" w:sz="8" w:space="0" w:color="auto"/>
            </w:tcBorders>
            <w:shd w:val="clear" w:color="auto" w:fill="auto"/>
            <w:noWrap/>
            <w:vAlign w:val="center"/>
            <w:hideMark/>
          </w:tcPr>
          <w:p w14:paraId="5FA58C5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w:t>
            </w:r>
          </w:p>
        </w:tc>
      </w:tr>
      <w:tr w:rsidR="003656FA" w:rsidRPr="003656FA" w14:paraId="62476EC3" w14:textId="77777777" w:rsidTr="00A92684">
        <w:trPr>
          <w:trHeight w:val="247"/>
        </w:trPr>
        <w:tc>
          <w:tcPr>
            <w:tcW w:w="991" w:type="dxa"/>
            <w:vMerge/>
            <w:tcBorders>
              <w:top w:val="nil"/>
              <w:left w:val="single" w:sz="8" w:space="0" w:color="auto"/>
              <w:bottom w:val="single" w:sz="8" w:space="0" w:color="000000"/>
              <w:right w:val="single" w:sz="8" w:space="0" w:color="auto"/>
            </w:tcBorders>
            <w:vAlign w:val="center"/>
            <w:hideMark/>
          </w:tcPr>
          <w:p w14:paraId="6CE4E4D3"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14:paraId="242B52CA"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Germany</w:t>
            </w:r>
          </w:p>
        </w:tc>
        <w:tc>
          <w:tcPr>
            <w:tcW w:w="1301" w:type="dxa"/>
            <w:tcBorders>
              <w:top w:val="nil"/>
              <w:left w:val="nil"/>
              <w:bottom w:val="single" w:sz="8" w:space="0" w:color="auto"/>
              <w:right w:val="single" w:sz="8" w:space="0" w:color="auto"/>
            </w:tcBorders>
            <w:shd w:val="clear" w:color="auto" w:fill="auto"/>
            <w:noWrap/>
            <w:vAlign w:val="center"/>
            <w:hideMark/>
          </w:tcPr>
          <w:p w14:paraId="2D13C4A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2,219</w:t>
            </w:r>
          </w:p>
        </w:tc>
        <w:tc>
          <w:tcPr>
            <w:tcW w:w="1301" w:type="dxa"/>
            <w:tcBorders>
              <w:top w:val="nil"/>
              <w:left w:val="nil"/>
              <w:bottom w:val="single" w:sz="8" w:space="0" w:color="auto"/>
              <w:right w:val="single" w:sz="8" w:space="0" w:color="auto"/>
            </w:tcBorders>
            <w:shd w:val="clear" w:color="auto" w:fill="auto"/>
            <w:noWrap/>
            <w:vAlign w:val="center"/>
            <w:hideMark/>
          </w:tcPr>
          <w:p w14:paraId="6A6C407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2,344</w:t>
            </w:r>
          </w:p>
        </w:tc>
        <w:tc>
          <w:tcPr>
            <w:tcW w:w="1301" w:type="dxa"/>
            <w:tcBorders>
              <w:top w:val="nil"/>
              <w:left w:val="nil"/>
              <w:bottom w:val="single" w:sz="8" w:space="0" w:color="auto"/>
              <w:right w:val="single" w:sz="8" w:space="0" w:color="auto"/>
            </w:tcBorders>
            <w:shd w:val="clear" w:color="auto" w:fill="auto"/>
            <w:noWrap/>
            <w:vAlign w:val="center"/>
            <w:hideMark/>
          </w:tcPr>
          <w:p w14:paraId="55F2E4F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5.6</w:t>
            </w:r>
          </w:p>
        </w:tc>
      </w:tr>
      <w:tr w:rsidR="003656FA" w:rsidRPr="003656FA" w14:paraId="49864582" w14:textId="77777777" w:rsidTr="00A92684">
        <w:trPr>
          <w:trHeight w:val="247"/>
        </w:trPr>
        <w:tc>
          <w:tcPr>
            <w:tcW w:w="991" w:type="dxa"/>
            <w:vMerge/>
            <w:tcBorders>
              <w:top w:val="nil"/>
              <w:left w:val="single" w:sz="8" w:space="0" w:color="auto"/>
              <w:bottom w:val="single" w:sz="8" w:space="0" w:color="000000"/>
              <w:right w:val="single" w:sz="8" w:space="0" w:color="auto"/>
            </w:tcBorders>
            <w:vAlign w:val="center"/>
            <w:hideMark/>
          </w:tcPr>
          <w:p w14:paraId="69711929"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14:paraId="32DF306F"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France</w:t>
            </w:r>
          </w:p>
        </w:tc>
        <w:tc>
          <w:tcPr>
            <w:tcW w:w="1301" w:type="dxa"/>
            <w:tcBorders>
              <w:top w:val="nil"/>
              <w:left w:val="nil"/>
              <w:bottom w:val="single" w:sz="8" w:space="0" w:color="auto"/>
              <w:right w:val="single" w:sz="8" w:space="0" w:color="auto"/>
            </w:tcBorders>
            <w:shd w:val="clear" w:color="auto" w:fill="auto"/>
            <w:noWrap/>
            <w:vAlign w:val="center"/>
            <w:hideMark/>
          </w:tcPr>
          <w:p w14:paraId="3751D37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577</w:t>
            </w:r>
          </w:p>
        </w:tc>
        <w:tc>
          <w:tcPr>
            <w:tcW w:w="1301" w:type="dxa"/>
            <w:tcBorders>
              <w:top w:val="nil"/>
              <w:left w:val="nil"/>
              <w:bottom w:val="single" w:sz="8" w:space="0" w:color="auto"/>
              <w:right w:val="single" w:sz="8" w:space="0" w:color="auto"/>
            </w:tcBorders>
            <w:shd w:val="clear" w:color="auto" w:fill="auto"/>
            <w:noWrap/>
            <w:vAlign w:val="center"/>
            <w:hideMark/>
          </w:tcPr>
          <w:p w14:paraId="5929439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603</w:t>
            </w:r>
          </w:p>
        </w:tc>
        <w:tc>
          <w:tcPr>
            <w:tcW w:w="1301" w:type="dxa"/>
            <w:tcBorders>
              <w:top w:val="nil"/>
              <w:left w:val="nil"/>
              <w:bottom w:val="single" w:sz="8" w:space="0" w:color="auto"/>
              <w:right w:val="single" w:sz="8" w:space="0" w:color="auto"/>
            </w:tcBorders>
            <w:shd w:val="clear" w:color="auto" w:fill="auto"/>
            <w:noWrap/>
            <w:vAlign w:val="center"/>
            <w:hideMark/>
          </w:tcPr>
          <w:p w14:paraId="1F137BE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w:t>
            </w:r>
          </w:p>
        </w:tc>
      </w:tr>
      <w:tr w:rsidR="003656FA" w:rsidRPr="003656FA" w14:paraId="3B50004C" w14:textId="77777777" w:rsidTr="00A92684">
        <w:trPr>
          <w:trHeight w:val="247"/>
        </w:trPr>
        <w:tc>
          <w:tcPr>
            <w:tcW w:w="991" w:type="dxa"/>
            <w:vMerge/>
            <w:tcBorders>
              <w:top w:val="nil"/>
              <w:left w:val="single" w:sz="8" w:space="0" w:color="auto"/>
              <w:bottom w:val="single" w:sz="8" w:space="0" w:color="000000"/>
              <w:right w:val="single" w:sz="8" w:space="0" w:color="auto"/>
            </w:tcBorders>
            <w:vAlign w:val="center"/>
            <w:hideMark/>
          </w:tcPr>
          <w:p w14:paraId="3F256338"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14:paraId="185C30C4"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Japan</w:t>
            </w:r>
          </w:p>
        </w:tc>
        <w:tc>
          <w:tcPr>
            <w:tcW w:w="1301" w:type="dxa"/>
            <w:tcBorders>
              <w:top w:val="nil"/>
              <w:left w:val="nil"/>
              <w:bottom w:val="single" w:sz="8" w:space="0" w:color="auto"/>
              <w:right w:val="single" w:sz="8" w:space="0" w:color="auto"/>
            </w:tcBorders>
            <w:shd w:val="clear" w:color="auto" w:fill="auto"/>
            <w:noWrap/>
            <w:vAlign w:val="center"/>
            <w:hideMark/>
          </w:tcPr>
          <w:p w14:paraId="23C7856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5,631</w:t>
            </w:r>
          </w:p>
        </w:tc>
        <w:tc>
          <w:tcPr>
            <w:tcW w:w="1301" w:type="dxa"/>
            <w:tcBorders>
              <w:top w:val="nil"/>
              <w:left w:val="nil"/>
              <w:bottom w:val="single" w:sz="8" w:space="0" w:color="auto"/>
              <w:right w:val="single" w:sz="8" w:space="0" w:color="auto"/>
            </w:tcBorders>
            <w:shd w:val="clear" w:color="auto" w:fill="auto"/>
            <w:noWrap/>
            <w:vAlign w:val="center"/>
            <w:hideMark/>
          </w:tcPr>
          <w:p w14:paraId="38549A3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6,062</w:t>
            </w:r>
          </w:p>
        </w:tc>
        <w:tc>
          <w:tcPr>
            <w:tcW w:w="1301" w:type="dxa"/>
            <w:tcBorders>
              <w:top w:val="nil"/>
              <w:left w:val="nil"/>
              <w:bottom w:val="single" w:sz="8" w:space="0" w:color="auto"/>
              <w:right w:val="single" w:sz="8" w:space="0" w:color="auto"/>
            </w:tcBorders>
            <w:shd w:val="clear" w:color="auto" w:fill="auto"/>
            <w:noWrap/>
            <w:vAlign w:val="center"/>
            <w:hideMark/>
          </w:tcPr>
          <w:p w14:paraId="20AD818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7.6</w:t>
            </w:r>
          </w:p>
        </w:tc>
      </w:tr>
      <w:tr w:rsidR="003656FA" w:rsidRPr="003656FA" w14:paraId="050334C1" w14:textId="77777777" w:rsidTr="00A92684">
        <w:trPr>
          <w:trHeight w:val="247"/>
        </w:trPr>
        <w:tc>
          <w:tcPr>
            <w:tcW w:w="991" w:type="dxa"/>
            <w:vMerge/>
            <w:tcBorders>
              <w:top w:val="nil"/>
              <w:left w:val="single" w:sz="8" w:space="0" w:color="auto"/>
              <w:bottom w:val="single" w:sz="8" w:space="0" w:color="000000"/>
              <w:right w:val="single" w:sz="8" w:space="0" w:color="auto"/>
            </w:tcBorders>
            <w:vAlign w:val="center"/>
            <w:hideMark/>
          </w:tcPr>
          <w:p w14:paraId="07284A0A"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14:paraId="2FAD20B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Singapore</w:t>
            </w:r>
          </w:p>
        </w:tc>
        <w:tc>
          <w:tcPr>
            <w:tcW w:w="1301" w:type="dxa"/>
            <w:tcBorders>
              <w:top w:val="nil"/>
              <w:left w:val="nil"/>
              <w:bottom w:val="single" w:sz="8" w:space="0" w:color="auto"/>
              <w:right w:val="single" w:sz="8" w:space="0" w:color="auto"/>
            </w:tcBorders>
            <w:shd w:val="clear" w:color="auto" w:fill="auto"/>
            <w:noWrap/>
            <w:vAlign w:val="center"/>
            <w:hideMark/>
          </w:tcPr>
          <w:p w14:paraId="1FCD30C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377</w:t>
            </w:r>
          </w:p>
        </w:tc>
        <w:tc>
          <w:tcPr>
            <w:tcW w:w="1301" w:type="dxa"/>
            <w:tcBorders>
              <w:top w:val="nil"/>
              <w:left w:val="nil"/>
              <w:bottom w:val="single" w:sz="8" w:space="0" w:color="auto"/>
              <w:right w:val="single" w:sz="8" w:space="0" w:color="auto"/>
            </w:tcBorders>
            <w:shd w:val="clear" w:color="auto" w:fill="auto"/>
            <w:noWrap/>
            <w:vAlign w:val="center"/>
            <w:hideMark/>
          </w:tcPr>
          <w:p w14:paraId="1DD5E8E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382</w:t>
            </w:r>
          </w:p>
        </w:tc>
        <w:tc>
          <w:tcPr>
            <w:tcW w:w="1301" w:type="dxa"/>
            <w:tcBorders>
              <w:top w:val="nil"/>
              <w:left w:val="nil"/>
              <w:bottom w:val="single" w:sz="8" w:space="0" w:color="auto"/>
              <w:right w:val="single" w:sz="8" w:space="0" w:color="auto"/>
            </w:tcBorders>
            <w:shd w:val="clear" w:color="auto" w:fill="auto"/>
            <w:noWrap/>
            <w:vAlign w:val="center"/>
            <w:hideMark/>
          </w:tcPr>
          <w:p w14:paraId="3255149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w:t>
            </w:r>
          </w:p>
        </w:tc>
      </w:tr>
      <w:tr w:rsidR="003656FA" w:rsidRPr="003656FA" w14:paraId="7E616B58" w14:textId="77777777" w:rsidTr="00A92684">
        <w:trPr>
          <w:trHeight w:val="247"/>
        </w:trPr>
        <w:tc>
          <w:tcPr>
            <w:tcW w:w="991" w:type="dxa"/>
            <w:vMerge/>
            <w:tcBorders>
              <w:top w:val="nil"/>
              <w:left w:val="single" w:sz="8" w:space="0" w:color="auto"/>
              <w:bottom w:val="single" w:sz="8" w:space="0" w:color="000000"/>
              <w:right w:val="single" w:sz="8" w:space="0" w:color="auto"/>
            </w:tcBorders>
            <w:vAlign w:val="center"/>
            <w:hideMark/>
          </w:tcPr>
          <w:p w14:paraId="670B926C"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14:paraId="41FD2FEC"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Hong Kong</w:t>
            </w:r>
          </w:p>
        </w:tc>
        <w:tc>
          <w:tcPr>
            <w:tcW w:w="1301" w:type="dxa"/>
            <w:tcBorders>
              <w:top w:val="nil"/>
              <w:left w:val="nil"/>
              <w:bottom w:val="single" w:sz="8" w:space="0" w:color="auto"/>
              <w:right w:val="single" w:sz="8" w:space="0" w:color="auto"/>
            </w:tcBorders>
            <w:shd w:val="clear" w:color="auto" w:fill="auto"/>
            <w:noWrap/>
            <w:vAlign w:val="center"/>
            <w:hideMark/>
          </w:tcPr>
          <w:p w14:paraId="29243FC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5,580</w:t>
            </w:r>
          </w:p>
        </w:tc>
        <w:tc>
          <w:tcPr>
            <w:tcW w:w="1301" w:type="dxa"/>
            <w:tcBorders>
              <w:top w:val="nil"/>
              <w:left w:val="nil"/>
              <w:bottom w:val="single" w:sz="8" w:space="0" w:color="auto"/>
              <w:right w:val="single" w:sz="8" w:space="0" w:color="auto"/>
            </w:tcBorders>
            <w:shd w:val="clear" w:color="auto" w:fill="auto"/>
            <w:noWrap/>
            <w:vAlign w:val="center"/>
            <w:hideMark/>
          </w:tcPr>
          <w:p w14:paraId="6EAFCDB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5,777</w:t>
            </w:r>
          </w:p>
        </w:tc>
        <w:tc>
          <w:tcPr>
            <w:tcW w:w="1301" w:type="dxa"/>
            <w:tcBorders>
              <w:top w:val="nil"/>
              <w:left w:val="nil"/>
              <w:bottom w:val="single" w:sz="8" w:space="0" w:color="auto"/>
              <w:right w:val="single" w:sz="8" w:space="0" w:color="auto"/>
            </w:tcBorders>
            <w:shd w:val="clear" w:color="auto" w:fill="auto"/>
            <w:noWrap/>
            <w:vAlign w:val="center"/>
            <w:hideMark/>
          </w:tcPr>
          <w:p w14:paraId="6973110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3.5</w:t>
            </w:r>
          </w:p>
        </w:tc>
      </w:tr>
      <w:tr w:rsidR="003656FA" w:rsidRPr="003656FA" w14:paraId="016D125B" w14:textId="77777777" w:rsidTr="00A92684">
        <w:trPr>
          <w:trHeight w:val="247"/>
        </w:trPr>
        <w:tc>
          <w:tcPr>
            <w:tcW w:w="991" w:type="dxa"/>
            <w:vMerge/>
            <w:tcBorders>
              <w:top w:val="nil"/>
              <w:left w:val="single" w:sz="8" w:space="0" w:color="auto"/>
              <w:bottom w:val="single" w:sz="8" w:space="0" w:color="000000"/>
              <w:right w:val="single" w:sz="8" w:space="0" w:color="auto"/>
            </w:tcBorders>
            <w:vAlign w:val="center"/>
            <w:hideMark/>
          </w:tcPr>
          <w:p w14:paraId="7A601071"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14:paraId="5263BA75"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South Korea</w:t>
            </w:r>
          </w:p>
        </w:tc>
        <w:tc>
          <w:tcPr>
            <w:tcW w:w="1301" w:type="dxa"/>
            <w:tcBorders>
              <w:top w:val="nil"/>
              <w:left w:val="nil"/>
              <w:bottom w:val="single" w:sz="8" w:space="0" w:color="auto"/>
              <w:right w:val="single" w:sz="8" w:space="0" w:color="auto"/>
            </w:tcBorders>
            <w:shd w:val="clear" w:color="auto" w:fill="auto"/>
            <w:noWrap/>
            <w:vAlign w:val="center"/>
            <w:hideMark/>
          </w:tcPr>
          <w:p w14:paraId="56F4FAA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1,484</w:t>
            </w:r>
          </w:p>
        </w:tc>
        <w:tc>
          <w:tcPr>
            <w:tcW w:w="1301" w:type="dxa"/>
            <w:tcBorders>
              <w:top w:val="nil"/>
              <w:left w:val="nil"/>
              <w:bottom w:val="single" w:sz="8" w:space="0" w:color="auto"/>
              <w:right w:val="single" w:sz="8" w:space="0" w:color="auto"/>
            </w:tcBorders>
            <w:shd w:val="clear" w:color="auto" w:fill="auto"/>
            <w:noWrap/>
            <w:vAlign w:val="center"/>
            <w:hideMark/>
          </w:tcPr>
          <w:p w14:paraId="0F401AC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1,549</w:t>
            </w:r>
          </w:p>
        </w:tc>
        <w:tc>
          <w:tcPr>
            <w:tcW w:w="1301" w:type="dxa"/>
            <w:tcBorders>
              <w:top w:val="nil"/>
              <w:left w:val="nil"/>
              <w:bottom w:val="single" w:sz="8" w:space="0" w:color="auto"/>
              <w:right w:val="single" w:sz="8" w:space="0" w:color="auto"/>
            </w:tcBorders>
            <w:shd w:val="clear" w:color="auto" w:fill="auto"/>
            <w:noWrap/>
            <w:vAlign w:val="center"/>
            <w:hideMark/>
          </w:tcPr>
          <w:p w14:paraId="29501CC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w:t>
            </w:r>
          </w:p>
        </w:tc>
      </w:tr>
      <w:tr w:rsidR="003656FA" w:rsidRPr="003656FA" w14:paraId="07DDBE8A" w14:textId="77777777" w:rsidTr="00A92684">
        <w:trPr>
          <w:trHeight w:val="247"/>
        </w:trPr>
        <w:tc>
          <w:tcPr>
            <w:tcW w:w="991" w:type="dxa"/>
            <w:vMerge/>
            <w:tcBorders>
              <w:top w:val="nil"/>
              <w:left w:val="single" w:sz="8" w:space="0" w:color="auto"/>
              <w:bottom w:val="single" w:sz="8" w:space="0" w:color="000000"/>
              <w:right w:val="single" w:sz="8" w:space="0" w:color="auto"/>
            </w:tcBorders>
            <w:vAlign w:val="center"/>
            <w:hideMark/>
          </w:tcPr>
          <w:p w14:paraId="5065DD89"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14:paraId="6EF0BE9D"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Australia</w:t>
            </w:r>
          </w:p>
        </w:tc>
        <w:tc>
          <w:tcPr>
            <w:tcW w:w="1301" w:type="dxa"/>
            <w:tcBorders>
              <w:top w:val="nil"/>
              <w:left w:val="nil"/>
              <w:bottom w:val="single" w:sz="8" w:space="0" w:color="auto"/>
              <w:right w:val="single" w:sz="8" w:space="0" w:color="auto"/>
            </w:tcBorders>
            <w:shd w:val="clear" w:color="auto" w:fill="auto"/>
            <w:noWrap/>
            <w:vAlign w:val="center"/>
            <w:hideMark/>
          </w:tcPr>
          <w:p w14:paraId="24CD7D4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1,309</w:t>
            </w:r>
          </w:p>
        </w:tc>
        <w:tc>
          <w:tcPr>
            <w:tcW w:w="1301" w:type="dxa"/>
            <w:tcBorders>
              <w:top w:val="nil"/>
              <w:left w:val="nil"/>
              <w:bottom w:val="single" w:sz="8" w:space="0" w:color="auto"/>
              <w:right w:val="single" w:sz="8" w:space="0" w:color="auto"/>
            </w:tcBorders>
            <w:shd w:val="clear" w:color="auto" w:fill="auto"/>
            <w:noWrap/>
            <w:vAlign w:val="center"/>
            <w:hideMark/>
          </w:tcPr>
          <w:p w14:paraId="7A4BEA8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1,393</w:t>
            </w:r>
          </w:p>
        </w:tc>
        <w:tc>
          <w:tcPr>
            <w:tcW w:w="1301" w:type="dxa"/>
            <w:tcBorders>
              <w:top w:val="nil"/>
              <w:left w:val="nil"/>
              <w:bottom w:val="single" w:sz="8" w:space="0" w:color="auto"/>
              <w:right w:val="single" w:sz="8" w:space="0" w:color="auto"/>
            </w:tcBorders>
            <w:shd w:val="clear" w:color="auto" w:fill="auto"/>
            <w:noWrap/>
            <w:vAlign w:val="center"/>
            <w:hideMark/>
          </w:tcPr>
          <w:p w14:paraId="4D711FC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6.4</w:t>
            </w:r>
          </w:p>
        </w:tc>
      </w:tr>
      <w:tr w:rsidR="003656FA" w:rsidRPr="003656FA" w14:paraId="17BC8DFA" w14:textId="77777777" w:rsidTr="00A92684">
        <w:trPr>
          <w:trHeight w:val="247"/>
        </w:trPr>
        <w:tc>
          <w:tcPr>
            <w:tcW w:w="991" w:type="dxa"/>
            <w:vMerge w:val="restart"/>
            <w:tcBorders>
              <w:top w:val="nil"/>
              <w:left w:val="single" w:sz="8" w:space="0" w:color="auto"/>
              <w:bottom w:val="single" w:sz="8" w:space="0" w:color="000000"/>
              <w:right w:val="single" w:sz="8" w:space="0" w:color="auto"/>
            </w:tcBorders>
            <w:shd w:val="clear" w:color="000000" w:fill="B4C6E7"/>
            <w:noWrap/>
            <w:textDirection w:val="btLr"/>
            <w:vAlign w:val="center"/>
            <w:hideMark/>
          </w:tcPr>
          <w:p w14:paraId="60E3570C"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BRICS</w:t>
            </w:r>
          </w:p>
        </w:tc>
        <w:tc>
          <w:tcPr>
            <w:tcW w:w="1714" w:type="dxa"/>
            <w:tcBorders>
              <w:top w:val="nil"/>
              <w:left w:val="nil"/>
              <w:bottom w:val="single" w:sz="8" w:space="0" w:color="auto"/>
              <w:right w:val="single" w:sz="8" w:space="0" w:color="auto"/>
            </w:tcBorders>
            <w:shd w:val="clear" w:color="000000" w:fill="D9E1F2"/>
            <w:noWrap/>
            <w:vAlign w:val="center"/>
            <w:hideMark/>
          </w:tcPr>
          <w:p w14:paraId="0C8F59EE"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Brazil</w:t>
            </w:r>
          </w:p>
        </w:tc>
        <w:tc>
          <w:tcPr>
            <w:tcW w:w="1301" w:type="dxa"/>
            <w:tcBorders>
              <w:top w:val="nil"/>
              <w:left w:val="nil"/>
              <w:bottom w:val="single" w:sz="8" w:space="0" w:color="auto"/>
              <w:right w:val="single" w:sz="8" w:space="0" w:color="auto"/>
            </w:tcBorders>
            <w:shd w:val="clear" w:color="auto" w:fill="auto"/>
            <w:noWrap/>
            <w:vAlign w:val="center"/>
            <w:hideMark/>
          </w:tcPr>
          <w:p w14:paraId="7279A88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788</w:t>
            </w:r>
          </w:p>
        </w:tc>
        <w:tc>
          <w:tcPr>
            <w:tcW w:w="1301" w:type="dxa"/>
            <w:tcBorders>
              <w:top w:val="nil"/>
              <w:left w:val="nil"/>
              <w:bottom w:val="single" w:sz="8" w:space="0" w:color="auto"/>
              <w:right w:val="single" w:sz="8" w:space="0" w:color="auto"/>
            </w:tcBorders>
            <w:shd w:val="clear" w:color="auto" w:fill="auto"/>
            <w:noWrap/>
            <w:vAlign w:val="center"/>
            <w:hideMark/>
          </w:tcPr>
          <w:p w14:paraId="4042E4D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732</w:t>
            </w:r>
          </w:p>
        </w:tc>
        <w:tc>
          <w:tcPr>
            <w:tcW w:w="1301" w:type="dxa"/>
            <w:tcBorders>
              <w:top w:val="nil"/>
              <w:left w:val="nil"/>
              <w:bottom w:val="single" w:sz="8" w:space="0" w:color="auto"/>
              <w:right w:val="single" w:sz="8" w:space="0" w:color="auto"/>
            </w:tcBorders>
            <w:shd w:val="clear" w:color="auto" w:fill="auto"/>
            <w:noWrap/>
            <w:vAlign w:val="center"/>
            <w:hideMark/>
          </w:tcPr>
          <w:p w14:paraId="6151BC9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-7.2</w:t>
            </w:r>
          </w:p>
        </w:tc>
      </w:tr>
      <w:tr w:rsidR="003656FA" w:rsidRPr="003656FA" w14:paraId="6B174498" w14:textId="77777777" w:rsidTr="00A92684">
        <w:trPr>
          <w:trHeight w:val="247"/>
        </w:trPr>
        <w:tc>
          <w:tcPr>
            <w:tcW w:w="991" w:type="dxa"/>
            <w:vMerge/>
            <w:tcBorders>
              <w:top w:val="nil"/>
              <w:left w:val="single" w:sz="8" w:space="0" w:color="auto"/>
              <w:bottom w:val="single" w:sz="8" w:space="0" w:color="000000"/>
              <w:right w:val="single" w:sz="8" w:space="0" w:color="auto"/>
            </w:tcBorders>
            <w:vAlign w:val="center"/>
            <w:hideMark/>
          </w:tcPr>
          <w:p w14:paraId="379F6E3D"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14:paraId="7A54D965"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Russia</w:t>
            </w:r>
          </w:p>
        </w:tc>
        <w:tc>
          <w:tcPr>
            <w:tcW w:w="1301" w:type="dxa"/>
            <w:tcBorders>
              <w:top w:val="nil"/>
              <w:left w:val="nil"/>
              <w:bottom w:val="single" w:sz="8" w:space="0" w:color="auto"/>
              <w:right w:val="single" w:sz="8" w:space="0" w:color="auto"/>
            </w:tcBorders>
            <w:shd w:val="clear" w:color="auto" w:fill="auto"/>
            <w:noWrap/>
            <w:vAlign w:val="center"/>
            <w:hideMark/>
          </w:tcPr>
          <w:p w14:paraId="2425039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566</w:t>
            </w:r>
          </w:p>
        </w:tc>
        <w:tc>
          <w:tcPr>
            <w:tcW w:w="1301" w:type="dxa"/>
            <w:tcBorders>
              <w:top w:val="nil"/>
              <w:left w:val="nil"/>
              <w:bottom w:val="single" w:sz="8" w:space="0" w:color="auto"/>
              <w:right w:val="single" w:sz="8" w:space="0" w:color="auto"/>
            </w:tcBorders>
            <w:shd w:val="clear" w:color="auto" w:fill="auto"/>
            <w:noWrap/>
            <w:vAlign w:val="center"/>
            <w:hideMark/>
          </w:tcPr>
          <w:p w14:paraId="3B0749C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580</w:t>
            </w:r>
          </w:p>
        </w:tc>
        <w:tc>
          <w:tcPr>
            <w:tcW w:w="1301" w:type="dxa"/>
            <w:tcBorders>
              <w:top w:val="nil"/>
              <w:left w:val="nil"/>
              <w:bottom w:val="single" w:sz="8" w:space="0" w:color="auto"/>
              <w:right w:val="single" w:sz="8" w:space="0" w:color="auto"/>
            </w:tcBorders>
            <w:shd w:val="clear" w:color="auto" w:fill="auto"/>
            <w:noWrap/>
            <w:vAlign w:val="center"/>
            <w:hideMark/>
          </w:tcPr>
          <w:p w14:paraId="21A5A77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w:t>
            </w:r>
          </w:p>
        </w:tc>
      </w:tr>
      <w:tr w:rsidR="003656FA" w:rsidRPr="003656FA" w14:paraId="4C8C27A8" w14:textId="77777777" w:rsidTr="00A92684">
        <w:trPr>
          <w:trHeight w:val="247"/>
        </w:trPr>
        <w:tc>
          <w:tcPr>
            <w:tcW w:w="991" w:type="dxa"/>
            <w:vMerge/>
            <w:tcBorders>
              <w:top w:val="nil"/>
              <w:left w:val="single" w:sz="8" w:space="0" w:color="auto"/>
              <w:bottom w:val="single" w:sz="8" w:space="0" w:color="000000"/>
              <w:right w:val="single" w:sz="8" w:space="0" w:color="auto"/>
            </w:tcBorders>
            <w:vAlign w:val="center"/>
            <w:hideMark/>
          </w:tcPr>
          <w:p w14:paraId="76AF616B"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14:paraId="41393CC8"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India</w:t>
            </w:r>
          </w:p>
        </w:tc>
        <w:tc>
          <w:tcPr>
            <w:tcW w:w="1301" w:type="dxa"/>
            <w:tcBorders>
              <w:top w:val="nil"/>
              <w:left w:val="nil"/>
              <w:bottom w:val="single" w:sz="8" w:space="0" w:color="auto"/>
              <w:right w:val="single" w:sz="8" w:space="0" w:color="auto"/>
            </w:tcBorders>
            <w:shd w:val="clear" w:color="auto" w:fill="auto"/>
            <w:noWrap/>
            <w:vAlign w:val="center"/>
            <w:hideMark/>
          </w:tcPr>
          <w:p w14:paraId="4BDDA8A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1,936</w:t>
            </w:r>
          </w:p>
        </w:tc>
        <w:tc>
          <w:tcPr>
            <w:tcW w:w="1301" w:type="dxa"/>
            <w:tcBorders>
              <w:top w:val="nil"/>
              <w:left w:val="nil"/>
              <w:bottom w:val="single" w:sz="8" w:space="0" w:color="auto"/>
              <w:right w:val="single" w:sz="8" w:space="0" w:color="auto"/>
            </w:tcBorders>
            <w:shd w:val="clear" w:color="auto" w:fill="auto"/>
            <w:noWrap/>
            <w:vAlign w:val="center"/>
            <w:hideMark/>
          </w:tcPr>
          <w:p w14:paraId="119D2E3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2,052</w:t>
            </w:r>
          </w:p>
        </w:tc>
        <w:tc>
          <w:tcPr>
            <w:tcW w:w="1301" w:type="dxa"/>
            <w:tcBorders>
              <w:top w:val="nil"/>
              <w:left w:val="nil"/>
              <w:bottom w:val="single" w:sz="8" w:space="0" w:color="auto"/>
              <w:right w:val="single" w:sz="8" w:space="0" w:color="auto"/>
            </w:tcBorders>
            <w:shd w:val="clear" w:color="auto" w:fill="auto"/>
            <w:noWrap/>
            <w:vAlign w:val="center"/>
            <w:hideMark/>
          </w:tcPr>
          <w:p w14:paraId="560302B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6.0</w:t>
            </w:r>
          </w:p>
        </w:tc>
      </w:tr>
      <w:tr w:rsidR="003656FA" w:rsidRPr="003656FA" w14:paraId="51E9C16B" w14:textId="77777777" w:rsidTr="00A92684">
        <w:trPr>
          <w:trHeight w:val="247"/>
        </w:trPr>
        <w:tc>
          <w:tcPr>
            <w:tcW w:w="991" w:type="dxa"/>
            <w:vMerge/>
            <w:tcBorders>
              <w:top w:val="nil"/>
              <w:left w:val="single" w:sz="8" w:space="0" w:color="auto"/>
              <w:bottom w:val="single" w:sz="8" w:space="0" w:color="000000"/>
              <w:right w:val="single" w:sz="8" w:space="0" w:color="auto"/>
            </w:tcBorders>
            <w:vAlign w:val="center"/>
            <w:hideMark/>
          </w:tcPr>
          <w:p w14:paraId="37DA3791"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14:paraId="49927FDB"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China</w:t>
            </w:r>
          </w:p>
        </w:tc>
        <w:tc>
          <w:tcPr>
            <w:tcW w:w="1301" w:type="dxa"/>
            <w:tcBorders>
              <w:top w:val="nil"/>
              <w:left w:val="nil"/>
              <w:bottom w:val="single" w:sz="8" w:space="0" w:color="auto"/>
              <w:right w:val="single" w:sz="8" w:space="0" w:color="auto"/>
            </w:tcBorders>
            <w:shd w:val="clear" w:color="auto" w:fill="auto"/>
            <w:noWrap/>
            <w:vAlign w:val="center"/>
            <w:hideMark/>
          </w:tcPr>
          <w:p w14:paraId="143FC7A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9,446</w:t>
            </w:r>
          </w:p>
        </w:tc>
        <w:tc>
          <w:tcPr>
            <w:tcW w:w="1301" w:type="dxa"/>
            <w:tcBorders>
              <w:top w:val="nil"/>
              <w:left w:val="nil"/>
              <w:bottom w:val="single" w:sz="8" w:space="0" w:color="auto"/>
              <w:right w:val="single" w:sz="8" w:space="0" w:color="auto"/>
            </w:tcBorders>
            <w:shd w:val="clear" w:color="auto" w:fill="auto"/>
            <w:noWrap/>
            <w:vAlign w:val="center"/>
            <w:hideMark/>
          </w:tcPr>
          <w:p w14:paraId="6DDB3C5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9,898</w:t>
            </w:r>
          </w:p>
        </w:tc>
        <w:tc>
          <w:tcPr>
            <w:tcW w:w="1301" w:type="dxa"/>
            <w:tcBorders>
              <w:top w:val="nil"/>
              <w:left w:val="nil"/>
              <w:bottom w:val="single" w:sz="8" w:space="0" w:color="auto"/>
              <w:right w:val="single" w:sz="8" w:space="0" w:color="auto"/>
            </w:tcBorders>
            <w:shd w:val="clear" w:color="auto" w:fill="auto"/>
            <w:noWrap/>
            <w:vAlign w:val="center"/>
            <w:hideMark/>
          </w:tcPr>
          <w:p w14:paraId="0EA7AEC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4.8</w:t>
            </w:r>
          </w:p>
        </w:tc>
      </w:tr>
      <w:tr w:rsidR="003656FA" w:rsidRPr="003656FA" w14:paraId="348389D9" w14:textId="77777777" w:rsidTr="00A92684">
        <w:trPr>
          <w:trHeight w:val="247"/>
        </w:trPr>
        <w:tc>
          <w:tcPr>
            <w:tcW w:w="991" w:type="dxa"/>
            <w:vMerge/>
            <w:tcBorders>
              <w:top w:val="nil"/>
              <w:left w:val="single" w:sz="8" w:space="0" w:color="auto"/>
              <w:bottom w:val="single" w:sz="8" w:space="0" w:color="000000"/>
              <w:right w:val="single" w:sz="8" w:space="0" w:color="auto"/>
            </w:tcBorders>
            <w:vAlign w:val="center"/>
            <w:hideMark/>
          </w:tcPr>
          <w:p w14:paraId="0FAE02A3"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14:paraId="21A7D5BF"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South Africa</w:t>
            </w:r>
          </w:p>
        </w:tc>
        <w:tc>
          <w:tcPr>
            <w:tcW w:w="1301" w:type="dxa"/>
            <w:tcBorders>
              <w:top w:val="nil"/>
              <w:left w:val="nil"/>
              <w:bottom w:val="single" w:sz="8" w:space="0" w:color="auto"/>
              <w:right w:val="single" w:sz="8" w:space="0" w:color="auto"/>
            </w:tcBorders>
            <w:shd w:val="clear" w:color="auto" w:fill="auto"/>
            <w:noWrap/>
            <w:vAlign w:val="center"/>
            <w:hideMark/>
          </w:tcPr>
          <w:p w14:paraId="3EBFD28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330</w:t>
            </w:r>
          </w:p>
        </w:tc>
        <w:tc>
          <w:tcPr>
            <w:tcW w:w="1301" w:type="dxa"/>
            <w:tcBorders>
              <w:top w:val="nil"/>
              <w:left w:val="nil"/>
              <w:bottom w:val="single" w:sz="8" w:space="0" w:color="auto"/>
              <w:right w:val="single" w:sz="8" w:space="0" w:color="auto"/>
            </w:tcBorders>
            <w:shd w:val="clear" w:color="auto" w:fill="auto"/>
            <w:noWrap/>
            <w:vAlign w:val="center"/>
            <w:hideMark/>
          </w:tcPr>
          <w:p w14:paraId="5FFBA21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329</w:t>
            </w:r>
          </w:p>
        </w:tc>
        <w:tc>
          <w:tcPr>
            <w:tcW w:w="1301" w:type="dxa"/>
            <w:tcBorders>
              <w:top w:val="nil"/>
              <w:left w:val="nil"/>
              <w:bottom w:val="single" w:sz="8" w:space="0" w:color="auto"/>
              <w:right w:val="single" w:sz="8" w:space="0" w:color="auto"/>
            </w:tcBorders>
            <w:shd w:val="clear" w:color="auto" w:fill="auto"/>
            <w:noWrap/>
            <w:vAlign w:val="center"/>
            <w:hideMark/>
          </w:tcPr>
          <w:p w14:paraId="53851BA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-0.2</w:t>
            </w:r>
          </w:p>
        </w:tc>
      </w:tr>
    </w:tbl>
    <w:p w14:paraId="354C270B" w14:textId="77777777" w:rsidR="003656FA" w:rsidRPr="003656FA" w:rsidRDefault="003656FA" w:rsidP="003656FA">
      <w:pPr>
        <w:spacing w:line="23" w:lineRule="atLeast"/>
        <w:jc w:val="both"/>
        <w:outlineLvl w:val="0"/>
        <w:rPr>
          <w:rFonts w:ascii="Garamond" w:hAnsi="Garamond"/>
          <w:bCs/>
          <w:color w:val="000000" w:themeColor="text1"/>
          <w:sz w:val="22"/>
          <w:szCs w:val="22"/>
        </w:rPr>
      </w:pPr>
      <w:r w:rsidRPr="003656FA">
        <w:rPr>
          <w:rFonts w:ascii="Garamond" w:hAnsi="Garamond"/>
          <w:bCs/>
          <w:sz w:val="18"/>
          <w:szCs w:val="18"/>
        </w:rPr>
        <w:t>Source: Bloomberg</w:t>
      </w:r>
      <w:r w:rsidRPr="003656FA">
        <w:rPr>
          <w:rFonts w:ascii="Garamond" w:hAnsi="Garamond"/>
          <w:bCs/>
          <w:strike/>
          <w:sz w:val="22"/>
          <w:szCs w:val="22"/>
        </w:rPr>
        <w:br w:type="page"/>
      </w:r>
    </w:p>
    <w:p w14:paraId="4582A956" w14:textId="77777777" w:rsidR="003656FA" w:rsidRPr="003656FA" w:rsidRDefault="003656FA" w:rsidP="003656FA">
      <w:pPr>
        <w:spacing w:line="23" w:lineRule="atLeast"/>
        <w:jc w:val="both"/>
        <w:outlineLvl w:val="0"/>
        <w:rPr>
          <w:rFonts w:ascii="Garamond" w:hAnsi="Garamond"/>
          <w:b/>
          <w:bCs/>
          <w:szCs w:val="22"/>
        </w:rPr>
      </w:pPr>
      <w:r w:rsidRPr="003656FA">
        <w:rPr>
          <w:rFonts w:ascii="Garamond" w:hAnsi="Garamond"/>
          <w:b/>
          <w:bCs/>
          <w:szCs w:val="22"/>
        </w:rPr>
        <w:lastRenderedPageBreak/>
        <w:t>Table A4: Stock Futures and Stock Options Traded in Major Exchanges</w:t>
      </w:r>
    </w:p>
    <w:p w14:paraId="40A72800" w14:textId="77777777" w:rsidR="003656FA" w:rsidRPr="003656FA" w:rsidRDefault="003656FA" w:rsidP="003656FA">
      <w:pPr>
        <w:spacing w:line="23" w:lineRule="atLeast"/>
        <w:ind w:right="674"/>
        <w:jc w:val="right"/>
        <w:outlineLvl w:val="0"/>
        <w:rPr>
          <w:rFonts w:ascii="Garamond" w:hAnsi="Garamond"/>
          <w:bCs/>
          <w:sz w:val="22"/>
          <w:szCs w:val="22"/>
        </w:rPr>
      </w:pPr>
      <w:r w:rsidRPr="003656FA">
        <w:rPr>
          <w:rFonts w:ascii="Garamond" w:hAnsi="Garamond"/>
          <w:bCs/>
          <w:sz w:val="22"/>
          <w:szCs w:val="22"/>
        </w:rPr>
        <w:t>Notional Turnover in (USD million)</w:t>
      </w:r>
    </w:p>
    <w:tbl>
      <w:tblPr>
        <w:tblW w:w="10028" w:type="dxa"/>
        <w:tblLook w:val="04A0" w:firstRow="1" w:lastRow="0" w:firstColumn="1" w:lastColumn="0" w:noHBand="0" w:noVBand="1"/>
      </w:tblPr>
      <w:tblGrid>
        <w:gridCol w:w="3178"/>
        <w:gridCol w:w="1202"/>
        <w:gridCol w:w="1072"/>
        <w:gridCol w:w="1123"/>
        <w:gridCol w:w="1191"/>
        <w:gridCol w:w="1071"/>
        <w:gridCol w:w="1191"/>
      </w:tblGrid>
      <w:tr w:rsidR="003656FA" w:rsidRPr="003656FA" w14:paraId="43ED0E07" w14:textId="77777777" w:rsidTr="00A92684">
        <w:trPr>
          <w:trHeight w:val="272"/>
        </w:trPr>
        <w:tc>
          <w:tcPr>
            <w:tcW w:w="3178"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67B66715"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Exchange</w:t>
            </w:r>
          </w:p>
        </w:tc>
        <w:tc>
          <w:tcPr>
            <w:tcW w:w="6850" w:type="dxa"/>
            <w:gridSpan w:val="6"/>
            <w:tcBorders>
              <w:top w:val="single" w:sz="8" w:space="0" w:color="auto"/>
              <w:left w:val="nil"/>
              <w:bottom w:val="single" w:sz="8" w:space="0" w:color="auto"/>
              <w:right w:val="single" w:sz="8" w:space="0" w:color="000000"/>
            </w:tcBorders>
            <w:shd w:val="clear" w:color="000000" w:fill="B4C6E7"/>
            <w:vAlign w:val="center"/>
            <w:hideMark/>
          </w:tcPr>
          <w:p w14:paraId="5B9D7DB9"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Jul-20</w:t>
            </w:r>
          </w:p>
        </w:tc>
      </w:tr>
      <w:tr w:rsidR="003656FA" w:rsidRPr="003656FA" w14:paraId="4C83B0ED" w14:textId="77777777" w:rsidTr="00A92684">
        <w:trPr>
          <w:trHeight w:val="272"/>
        </w:trPr>
        <w:tc>
          <w:tcPr>
            <w:tcW w:w="3178" w:type="dxa"/>
            <w:vMerge/>
            <w:tcBorders>
              <w:top w:val="single" w:sz="8" w:space="0" w:color="auto"/>
              <w:left w:val="single" w:sz="8" w:space="0" w:color="auto"/>
              <w:bottom w:val="single" w:sz="8" w:space="0" w:color="000000"/>
              <w:right w:val="single" w:sz="8" w:space="0" w:color="auto"/>
            </w:tcBorders>
            <w:vAlign w:val="center"/>
            <w:hideMark/>
          </w:tcPr>
          <w:p w14:paraId="78400AFD"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3397" w:type="dxa"/>
            <w:gridSpan w:val="3"/>
            <w:tcBorders>
              <w:top w:val="single" w:sz="8" w:space="0" w:color="auto"/>
              <w:left w:val="nil"/>
              <w:bottom w:val="single" w:sz="8" w:space="0" w:color="auto"/>
              <w:right w:val="single" w:sz="8" w:space="0" w:color="000000"/>
            </w:tcBorders>
            <w:shd w:val="clear" w:color="000000" w:fill="B4C6E7"/>
            <w:vAlign w:val="center"/>
            <w:hideMark/>
          </w:tcPr>
          <w:p w14:paraId="4BF2940E"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Single Stock Futures</w:t>
            </w:r>
          </w:p>
        </w:tc>
        <w:tc>
          <w:tcPr>
            <w:tcW w:w="3453" w:type="dxa"/>
            <w:gridSpan w:val="3"/>
            <w:tcBorders>
              <w:top w:val="single" w:sz="8" w:space="0" w:color="auto"/>
              <w:left w:val="nil"/>
              <w:bottom w:val="single" w:sz="8" w:space="0" w:color="auto"/>
              <w:right w:val="single" w:sz="8" w:space="0" w:color="000000"/>
            </w:tcBorders>
            <w:shd w:val="clear" w:color="000000" w:fill="B4C6E7"/>
            <w:vAlign w:val="center"/>
            <w:hideMark/>
          </w:tcPr>
          <w:p w14:paraId="3426B893"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Single Stock Options</w:t>
            </w:r>
          </w:p>
        </w:tc>
      </w:tr>
      <w:tr w:rsidR="003656FA" w:rsidRPr="003656FA" w14:paraId="1A4176BF" w14:textId="77777777" w:rsidTr="00A92684">
        <w:trPr>
          <w:trHeight w:val="259"/>
        </w:trPr>
        <w:tc>
          <w:tcPr>
            <w:tcW w:w="3178" w:type="dxa"/>
            <w:vMerge/>
            <w:tcBorders>
              <w:top w:val="single" w:sz="8" w:space="0" w:color="auto"/>
              <w:left w:val="single" w:sz="8" w:space="0" w:color="auto"/>
              <w:bottom w:val="single" w:sz="8" w:space="0" w:color="000000"/>
              <w:right w:val="single" w:sz="8" w:space="0" w:color="auto"/>
            </w:tcBorders>
            <w:vAlign w:val="center"/>
            <w:hideMark/>
          </w:tcPr>
          <w:p w14:paraId="73273F8C"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202" w:type="dxa"/>
            <w:tcBorders>
              <w:top w:val="nil"/>
              <w:left w:val="nil"/>
              <w:bottom w:val="nil"/>
              <w:right w:val="single" w:sz="8" w:space="0" w:color="auto"/>
            </w:tcBorders>
            <w:shd w:val="clear" w:color="000000" w:fill="B4C6E7"/>
            <w:vAlign w:val="center"/>
            <w:hideMark/>
          </w:tcPr>
          <w:p w14:paraId="43BDDAB1"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Number of</w:t>
            </w:r>
          </w:p>
        </w:tc>
        <w:tc>
          <w:tcPr>
            <w:tcW w:w="1072" w:type="dxa"/>
            <w:tcBorders>
              <w:top w:val="nil"/>
              <w:left w:val="nil"/>
              <w:bottom w:val="nil"/>
              <w:right w:val="single" w:sz="8" w:space="0" w:color="auto"/>
            </w:tcBorders>
            <w:shd w:val="clear" w:color="000000" w:fill="B4C6E7"/>
            <w:vAlign w:val="center"/>
            <w:hideMark/>
          </w:tcPr>
          <w:p w14:paraId="657B8374"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Notional</w:t>
            </w:r>
          </w:p>
        </w:tc>
        <w:tc>
          <w:tcPr>
            <w:tcW w:w="1123" w:type="dxa"/>
            <w:tcBorders>
              <w:top w:val="nil"/>
              <w:left w:val="nil"/>
              <w:bottom w:val="nil"/>
              <w:right w:val="single" w:sz="8" w:space="0" w:color="auto"/>
            </w:tcBorders>
            <w:shd w:val="clear" w:color="000000" w:fill="B4C6E7"/>
            <w:vAlign w:val="center"/>
            <w:hideMark/>
          </w:tcPr>
          <w:p w14:paraId="4E6EDA19"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Open</w:t>
            </w:r>
          </w:p>
        </w:tc>
        <w:tc>
          <w:tcPr>
            <w:tcW w:w="1191" w:type="dxa"/>
            <w:tcBorders>
              <w:top w:val="nil"/>
              <w:left w:val="nil"/>
              <w:bottom w:val="nil"/>
              <w:right w:val="single" w:sz="8" w:space="0" w:color="auto"/>
            </w:tcBorders>
            <w:shd w:val="clear" w:color="000000" w:fill="B4C6E7"/>
            <w:vAlign w:val="center"/>
            <w:hideMark/>
          </w:tcPr>
          <w:p w14:paraId="0DB1CC93"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Number of</w:t>
            </w:r>
          </w:p>
        </w:tc>
        <w:tc>
          <w:tcPr>
            <w:tcW w:w="1071" w:type="dxa"/>
            <w:tcBorders>
              <w:top w:val="nil"/>
              <w:left w:val="nil"/>
              <w:bottom w:val="nil"/>
              <w:right w:val="single" w:sz="8" w:space="0" w:color="auto"/>
            </w:tcBorders>
            <w:shd w:val="clear" w:color="000000" w:fill="B4C6E7"/>
            <w:vAlign w:val="center"/>
            <w:hideMark/>
          </w:tcPr>
          <w:p w14:paraId="7901CE8F"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Notional</w:t>
            </w:r>
          </w:p>
        </w:tc>
        <w:tc>
          <w:tcPr>
            <w:tcW w:w="1191" w:type="dxa"/>
            <w:tcBorders>
              <w:top w:val="nil"/>
              <w:left w:val="nil"/>
              <w:bottom w:val="nil"/>
              <w:right w:val="single" w:sz="8" w:space="0" w:color="auto"/>
            </w:tcBorders>
            <w:shd w:val="clear" w:color="000000" w:fill="B4C6E7"/>
            <w:vAlign w:val="center"/>
            <w:hideMark/>
          </w:tcPr>
          <w:p w14:paraId="555E35C4"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Open</w:t>
            </w:r>
          </w:p>
        </w:tc>
      </w:tr>
      <w:tr w:rsidR="003656FA" w:rsidRPr="003656FA" w14:paraId="430D4E3D" w14:textId="77777777" w:rsidTr="00A92684">
        <w:trPr>
          <w:trHeight w:val="453"/>
        </w:trPr>
        <w:tc>
          <w:tcPr>
            <w:tcW w:w="3178" w:type="dxa"/>
            <w:vMerge/>
            <w:tcBorders>
              <w:top w:val="single" w:sz="8" w:space="0" w:color="auto"/>
              <w:left w:val="single" w:sz="8" w:space="0" w:color="auto"/>
              <w:bottom w:val="single" w:sz="8" w:space="0" w:color="000000"/>
              <w:right w:val="single" w:sz="8" w:space="0" w:color="auto"/>
            </w:tcBorders>
            <w:vAlign w:val="center"/>
            <w:hideMark/>
          </w:tcPr>
          <w:p w14:paraId="5C754F5B"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202" w:type="dxa"/>
            <w:tcBorders>
              <w:top w:val="nil"/>
              <w:left w:val="nil"/>
              <w:bottom w:val="single" w:sz="8" w:space="0" w:color="auto"/>
              <w:right w:val="single" w:sz="8" w:space="0" w:color="auto"/>
            </w:tcBorders>
            <w:shd w:val="clear" w:color="000000" w:fill="B4C6E7"/>
            <w:vAlign w:val="center"/>
            <w:hideMark/>
          </w:tcPr>
          <w:p w14:paraId="1B724B53"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Contracts Traded</w:t>
            </w:r>
          </w:p>
        </w:tc>
        <w:tc>
          <w:tcPr>
            <w:tcW w:w="1072" w:type="dxa"/>
            <w:tcBorders>
              <w:top w:val="nil"/>
              <w:left w:val="nil"/>
              <w:bottom w:val="single" w:sz="8" w:space="0" w:color="auto"/>
              <w:right w:val="single" w:sz="8" w:space="0" w:color="auto"/>
            </w:tcBorders>
            <w:shd w:val="clear" w:color="000000" w:fill="B4C6E7"/>
            <w:vAlign w:val="center"/>
            <w:hideMark/>
          </w:tcPr>
          <w:p w14:paraId="0AC06CE6"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Turnover</w:t>
            </w:r>
          </w:p>
        </w:tc>
        <w:tc>
          <w:tcPr>
            <w:tcW w:w="1123" w:type="dxa"/>
            <w:tcBorders>
              <w:top w:val="nil"/>
              <w:left w:val="nil"/>
              <w:bottom w:val="single" w:sz="8" w:space="0" w:color="auto"/>
              <w:right w:val="single" w:sz="8" w:space="0" w:color="auto"/>
            </w:tcBorders>
            <w:shd w:val="clear" w:color="000000" w:fill="B4C6E7"/>
            <w:vAlign w:val="center"/>
            <w:hideMark/>
          </w:tcPr>
          <w:p w14:paraId="131E5A72"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Interest</w:t>
            </w:r>
          </w:p>
        </w:tc>
        <w:tc>
          <w:tcPr>
            <w:tcW w:w="1191" w:type="dxa"/>
            <w:tcBorders>
              <w:top w:val="nil"/>
              <w:left w:val="nil"/>
              <w:bottom w:val="single" w:sz="8" w:space="0" w:color="auto"/>
              <w:right w:val="single" w:sz="8" w:space="0" w:color="auto"/>
            </w:tcBorders>
            <w:shd w:val="clear" w:color="000000" w:fill="B4C6E7"/>
            <w:vAlign w:val="center"/>
            <w:hideMark/>
          </w:tcPr>
          <w:p w14:paraId="0E80854F"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Contracts Traded</w:t>
            </w:r>
          </w:p>
        </w:tc>
        <w:tc>
          <w:tcPr>
            <w:tcW w:w="1071" w:type="dxa"/>
            <w:tcBorders>
              <w:top w:val="nil"/>
              <w:left w:val="nil"/>
              <w:bottom w:val="single" w:sz="8" w:space="0" w:color="auto"/>
              <w:right w:val="single" w:sz="8" w:space="0" w:color="auto"/>
            </w:tcBorders>
            <w:shd w:val="clear" w:color="000000" w:fill="B4C6E7"/>
            <w:vAlign w:val="center"/>
            <w:hideMark/>
          </w:tcPr>
          <w:p w14:paraId="7386DC85"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Turnover</w:t>
            </w:r>
          </w:p>
        </w:tc>
        <w:tc>
          <w:tcPr>
            <w:tcW w:w="1191" w:type="dxa"/>
            <w:tcBorders>
              <w:top w:val="nil"/>
              <w:left w:val="nil"/>
              <w:bottom w:val="single" w:sz="8" w:space="0" w:color="auto"/>
              <w:right w:val="single" w:sz="8" w:space="0" w:color="auto"/>
            </w:tcBorders>
            <w:shd w:val="clear" w:color="000000" w:fill="B4C6E7"/>
            <w:vAlign w:val="center"/>
            <w:hideMark/>
          </w:tcPr>
          <w:p w14:paraId="17C6DCB2"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Interest</w:t>
            </w:r>
          </w:p>
        </w:tc>
      </w:tr>
      <w:tr w:rsidR="003656FA" w:rsidRPr="003656FA" w14:paraId="18BF2C0E"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707F4F20"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B3 - Brasil Bolsa Balcão</w:t>
            </w:r>
          </w:p>
        </w:tc>
        <w:tc>
          <w:tcPr>
            <w:tcW w:w="1202" w:type="dxa"/>
            <w:tcBorders>
              <w:top w:val="nil"/>
              <w:left w:val="nil"/>
              <w:bottom w:val="nil"/>
              <w:right w:val="single" w:sz="8" w:space="0" w:color="auto"/>
            </w:tcBorders>
            <w:shd w:val="clear" w:color="auto" w:fill="auto"/>
            <w:vAlign w:val="center"/>
            <w:hideMark/>
          </w:tcPr>
          <w:p w14:paraId="5F0B7E1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2,91,52,200</w:t>
            </w:r>
          </w:p>
        </w:tc>
        <w:tc>
          <w:tcPr>
            <w:tcW w:w="1072" w:type="dxa"/>
            <w:tcBorders>
              <w:top w:val="nil"/>
              <w:left w:val="nil"/>
              <w:bottom w:val="nil"/>
              <w:right w:val="single" w:sz="8" w:space="0" w:color="auto"/>
            </w:tcBorders>
            <w:shd w:val="clear" w:color="auto" w:fill="auto"/>
            <w:vAlign w:val="center"/>
            <w:hideMark/>
          </w:tcPr>
          <w:p w14:paraId="56F09E0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101.07</w:t>
            </w:r>
          </w:p>
        </w:tc>
        <w:tc>
          <w:tcPr>
            <w:tcW w:w="1123" w:type="dxa"/>
            <w:tcBorders>
              <w:top w:val="nil"/>
              <w:left w:val="nil"/>
              <w:bottom w:val="nil"/>
              <w:right w:val="nil"/>
            </w:tcBorders>
            <w:shd w:val="clear" w:color="auto" w:fill="auto"/>
            <w:vAlign w:val="center"/>
            <w:hideMark/>
          </w:tcPr>
          <w:p w14:paraId="67EC624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1,23,50,200</w:t>
            </w:r>
          </w:p>
        </w:tc>
        <w:tc>
          <w:tcPr>
            <w:tcW w:w="1191" w:type="dxa"/>
            <w:tcBorders>
              <w:top w:val="nil"/>
              <w:left w:val="single" w:sz="8" w:space="0" w:color="auto"/>
              <w:bottom w:val="nil"/>
              <w:right w:val="single" w:sz="8" w:space="0" w:color="auto"/>
            </w:tcBorders>
            <w:shd w:val="clear" w:color="auto" w:fill="auto"/>
            <w:vAlign w:val="center"/>
            <w:hideMark/>
          </w:tcPr>
          <w:p w14:paraId="72839D9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12,13,40,382</w:t>
            </w:r>
          </w:p>
        </w:tc>
        <w:tc>
          <w:tcPr>
            <w:tcW w:w="1071" w:type="dxa"/>
            <w:tcBorders>
              <w:top w:val="nil"/>
              <w:left w:val="nil"/>
              <w:bottom w:val="nil"/>
              <w:right w:val="nil"/>
            </w:tcBorders>
            <w:shd w:val="clear" w:color="auto" w:fill="auto"/>
            <w:vAlign w:val="center"/>
            <w:hideMark/>
          </w:tcPr>
          <w:p w14:paraId="3E420C4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67,787</w:t>
            </w:r>
          </w:p>
        </w:tc>
        <w:tc>
          <w:tcPr>
            <w:tcW w:w="1191" w:type="dxa"/>
            <w:tcBorders>
              <w:top w:val="nil"/>
              <w:left w:val="single" w:sz="8" w:space="0" w:color="auto"/>
              <w:bottom w:val="nil"/>
              <w:right w:val="single" w:sz="8" w:space="0" w:color="auto"/>
            </w:tcBorders>
            <w:shd w:val="clear" w:color="auto" w:fill="auto"/>
            <w:vAlign w:val="center"/>
            <w:hideMark/>
          </w:tcPr>
          <w:p w14:paraId="06DE49B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3,75,27,523</w:t>
            </w:r>
          </w:p>
        </w:tc>
      </w:tr>
      <w:tr w:rsidR="003656FA" w:rsidRPr="003656FA" w14:paraId="7A2B6766"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7909D380"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Bolsa de Valores de Colombia</w:t>
            </w:r>
          </w:p>
        </w:tc>
        <w:tc>
          <w:tcPr>
            <w:tcW w:w="1202" w:type="dxa"/>
            <w:tcBorders>
              <w:top w:val="nil"/>
              <w:left w:val="nil"/>
              <w:bottom w:val="nil"/>
              <w:right w:val="single" w:sz="8" w:space="0" w:color="auto"/>
            </w:tcBorders>
            <w:shd w:val="clear" w:color="auto" w:fill="auto"/>
            <w:vAlign w:val="center"/>
            <w:hideMark/>
          </w:tcPr>
          <w:p w14:paraId="0903BB1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6,342</w:t>
            </w:r>
          </w:p>
        </w:tc>
        <w:tc>
          <w:tcPr>
            <w:tcW w:w="1072" w:type="dxa"/>
            <w:tcBorders>
              <w:top w:val="nil"/>
              <w:left w:val="nil"/>
              <w:bottom w:val="nil"/>
              <w:right w:val="single" w:sz="8" w:space="0" w:color="auto"/>
            </w:tcBorders>
            <w:shd w:val="clear" w:color="auto" w:fill="auto"/>
            <w:vAlign w:val="center"/>
            <w:hideMark/>
          </w:tcPr>
          <w:p w14:paraId="6F2DB9F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9.72</w:t>
            </w:r>
          </w:p>
        </w:tc>
        <w:tc>
          <w:tcPr>
            <w:tcW w:w="1123" w:type="dxa"/>
            <w:tcBorders>
              <w:top w:val="nil"/>
              <w:left w:val="nil"/>
              <w:bottom w:val="nil"/>
              <w:right w:val="nil"/>
            </w:tcBorders>
            <w:shd w:val="clear" w:color="auto" w:fill="auto"/>
            <w:vAlign w:val="center"/>
            <w:hideMark/>
          </w:tcPr>
          <w:p w14:paraId="4844640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7,559</w:t>
            </w:r>
          </w:p>
        </w:tc>
        <w:tc>
          <w:tcPr>
            <w:tcW w:w="1191" w:type="dxa"/>
            <w:tcBorders>
              <w:top w:val="nil"/>
              <w:left w:val="single" w:sz="8" w:space="0" w:color="auto"/>
              <w:bottom w:val="nil"/>
              <w:right w:val="single" w:sz="8" w:space="0" w:color="auto"/>
            </w:tcBorders>
            <w:shd w:val="clear" w:color="auto" w:fill="auto"/>
            <w:vAlign w:val="center"/>
            <w:hideMark/>
          </w:tcPr>
          <w:p w14:paraId="02BDD04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1" w:type="dxa"/>
            <w:tcBorders>
              <w:top w:val="nil"/>
              <w:left w:val="nil"/>
              <w:bottom w:val="nil"/>
              <w:right w:val="nil"/>
            </w:tcBorders>
            <w:shd w:val="clear" w:color="auto" w:fill="auto"/>
            <w:vAlign w:val="center"/>
            <w:hideMark/>
          </w:tcPr>
          <w:p w14:paraId="46EC4A6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71EF08A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66D3BB8C"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6E2A9C94"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Bolsa Mexicana de Valores</w:t>
            </w:r>
          </w:p>
        </w:tc>
        <w:tc>
          <w:tcPr>
            <w:tcW w:w="1202" w:type="dxa"/>
            <w:tcBorders>
              <w:top w:val="nil"/>
              <w:left w:val="nil"/>
              <w:bottom w:val="nil"/>
              <w:right w:val="single" w:sz="8" w:space="0" w:color="auto"/>
            </w:tcBorders>
            <w:shd w:val="clear" w:color="auto" w:fill="auto"/>
            <w:vAlign w:val="center"/>
            <w:hideMark/>
          </w:tcPr>
          <w:p w14:paraId="73C5C29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100</w:t>
            </w:r>
          </w:p>
        </w:tc>
        <w:tc>
          <w:tcPr>
            <w:tcW w:w="1072" w:type="dxa"/>
            <w:tcBorders>
              <w:top w:val="nil"/>
              <w:left w:val="nil"/>
              <w:bottom w:val="nil"/>
              <w:right w:val="single" w:sz="8" w:space="0" w:color="auto"/>
            </w:tcBorders>
            <w:shd w:val="clear" w:color="auto" w:fill="auto"/>
            <w:vAlign w:val="center"/>
            <w:hideMark/>
          </w:tcPr>
          <w:p w14:paraId="04C6F93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0.03</w:t>
            </w:r>
          </w:p>
        </w:tc>
        <w:tc>
          <w:tcPr>
            <w:tcW w:w="1123" w:type="dxa"/>
            <w:tcBorders>
              <w:top w:val="nil"/>
              <w:left w:val="nil"/>
              <w:bottom w:val="nil"/>
              <w:right w:val="nil"/>
            </w:tcBorders>
            <w:shd w:val="clear" w:color="auto" w:fill="auto"/>
            <w:vAlign w:val="center"/>
            <w:hideMark/>
          </w:tcPr>
          <w:p w14:paraId="60529AA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600</w:t>
            </w:r>
          </w:p>
        </w:tc>
        <w:tc>
          <w:tcPr>
            <w:tcW w:w="1191" w:type="dxa"/>
            <w:tcBorders>
              <w:top w:val="nil"/>
              <w:left w:val="single" w:sz="8" w:space="0" w:color="auto"/>
              <w:bottom w:val="nil"/>
              <w:right w:val="single" w:sz="8" w:space="0" w:color="auto"/>
            </w:tcBorders>
            <w:shd w:val="clear" w:color="auto" w:fill="auto"/>
            <w:vAlign w:val="center"/>
            <w:hideMark/>
          </w:tcPr>
          <w:p w14:paraId="5C03C7F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10,000</w:t>
            </w:r>
          </w:p>
        </w:tc>
        <w:tc>
          <w:tcPr>
            <w:tcW w:w="1071" w:type="dxa"/>
            <w:tcBorders>
              <w:top w:val="nil"/>
              <w:left w:val="nil"/>
              <w:bottom w:val="nil"/>
              <w:right w:val="nil"/>
            </w:tcBorders>
            <w:shd w:val="clear" w:color="auto" w:fill="auto"/>
            <w:vAlign w:val="center"/>
            <w:hideMark/>
          </w:tcPr>
          <w:p w14:paraId="181A492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w:t>
            </w:r>
          </w:p>
        </w:tc>
        <w:tc>
          <w:tcPr>
            <w:tcW w:w="1191" w:type="dxa"/>
            <w:tcBorders>
              <w:top w:val="nil"/>
              <w:left w:val="single" w:sz="8" w:space="0" w:color="auto"/>
              <w:bottom w:val="nil"/>
              <w:right w:val="single" w:sz="8" w:space="0" w:color="auto"/>
            </w:tcBorders>
            <w:shd w:val="clear" w:color="auto" w:fill="auto"/>
            <w:vAlign w:val="center"/>
            <w:hideMark/>
          </w:tcPr>
          <w:p w14:paraId="43747C5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10,000</w:t>
            </w:r>
          </w:p>
        </w:tc>
      </w:tr>
      <w:tr w:rsidR="003656FA" w:rsidRPr="003656FA" w14:paraId="5F270C9C"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63CED9CD"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Bolsa y Mercados Argentinos</w:t>
            </w:r>
          </w:p>
        </w:tc>
        <w:tc>
          <w:tcPr>
            <w:tcW w:w="1202" w:type="dxa"/>
            <w:tcBorders>
              <w:top w:val="nil"/>
              <w:left w:val="nil"/>
              <w:bottom w:val="nil"/>
              <w:right w:val="single" w:sz="8" w:space="0" w:color="auto"/>
            </w:tcBorders>
            <w:shd w:val="clear" w:color="auto" w:fill="auto"/>
            <w:vAlign w:val="center"/>
            <w:hideMark/>
          </w:tcPr>
          <w:p w14:paraId="1186758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2" w:type="dxa"/>
            <w:tcBorders>
              <w:top w:val="nil"/>
              <w:left w:val="nil"/>
              <w:bottom w:val="nil"/>
              <w:right w:val="single" w:sz="8" w:space="0" w:color="auto"/>
            </w:tcBorders>
            <w:shd w:val="clear" w:color="auto" w:fill="auto"/>
            <w:vAlign w:val="center"/>
            <w:hideMark/>
          </w:tcPr>
          <w:p w14:paraId="6E58612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nil"/>
            </w:tcBorders>
            <w:shd w:val="clear" w:color="auto" w:fill="auto"/>
            <w:vAlign w:val="center"/>
            <w:hideMark/>
          </w:tcPr>
          <w:p w14:paraId="4F9451E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081746C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57,93,786</w:t>
            </w:r>
          </w:p>
        </w:tc>
        <w:tc>
          <w:tcPr>
            <w:tcW w:w="1071" w:type="dxa"/>
            <w:tcBorders>
              <w:top w:val="nil"/>
              <w:left w:val="nil"/>
              <w:bottom w:val="nil"/>
              <w:right w:val="nil"/>
            </w:tcBorders>
            <w:shd w:val="clear" w:color="auto" w:fill="auto"/>
            <w:vAlign w:val="center"/>
            <w:hideMark/>
          </w:tcPr>
          <w:p w14:paraId="00028EF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w:t>
            </w:r>
          </w:p>
        </w:tc>
        <w:tc>
          <w:tcPr>
            <w:tcW w:w="1191" w:type="dxa"/>
            <w:tcBorders>
              <w:top w:val="nil"/>
              <w:left w:val="single" w:sz="8" w:space="0" w:color="auto"/>
              <w:bottom w:val="nil"/>
              <w:right w:val="single" w:sz="8" w:space="0" w:color="auto"/>
            </w:tcBorders>
            <w:shd w:val="clear" w:color="auto" w:fill="auto"/>
            <w:vAlign w:val="center"/>
            <w:hideMark/>
          </w:tcPr>
          <w:p w14:paraId="7D346C2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18,91,109</w:t>
            </w:r>
          </w:p>
        </w:tc>
      </w:tr>
      <w:tr w:rsidR="003656FA" w:rsidRPr="003656FA" w14:paraId="44B1525F"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781B93A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Cboe Global Markets</w:t>
            </w:r>
          </w:p>
        </w:tc>
        <w:tc>
          <w:tcPr>
            <w:tcW w:w="1202" w:type="dxa"/>
            <w:tcBorders>
              <w:top w:val="nil"/>
              <w:left w:val="nil"/>
              <w:bottom w:val="nil"/>
              <w:right w:val="single" w:sz="8" w:space="0" w:color="auto"/>
            </w:tcBorders>
            <w:shd w:val="clear" w:color="auto" w:fill="auto"/>
            <w:vAlign w:val="center"/>
            <w:hideMark/>
          </w:tcPr>
          <w:p w14:paraId="54FCB62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2" w:type="dxa"/>
            <w:tcBorders>
              <w:top w:val="nil"/>
              <w:left w:val="nil"/>
              <w:bottom w:val="nil"/>
              <w:right w:val="single" w:sz="8" w:space="0" w:color="auto"/>
            </w:tcBorders>
            <w:shd w:val="clear" w:color="auto" w:fill="auto"/>
            <w:vAlign w:val="center"/>
            <w:hideMark/>
          </w:tcPr>
          <w:p w14:paraId="7DE5B8E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nil"/>
            </w:tcBorders>
            <w:shd w:val="clear" w:color="auto" w:fill="auto"/>
            <w:vAlign w:val="center"/>
            <w:hideMark/>
          </w:tcPr>
          <w:p w14:paraId="70F29C7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2668ECC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10,43,18,766</w:t>
            </w:r>
          </w:p>
        </w:tc>
        <w:tc>
          <w:tcPr>
            <w:tcW w:w="1071" w:type="dxa"/>
            <w:tcBorders>
              <w:top w:val="nil"/>
              <w:left w:val="nil"/>
              <w:bottom w:val="nil"/>
              <w:right w:val="nil"/>
            </w:tcBorders>
            <w:shd w:val="clear" w:color="auto" w:fill="auto"/>
            <w:vAlign w:val="center"/>
            <w:hideMark/>
          </w:tcPr>
          <w:p w14:paraId="225051A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7E5958D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20,58,19,371</w:t>
            </w:r>
          </w:p>
        </w:tc>
      </w:tr>
      <w:tr w:rsidR="003656FA" w:rsidRPr="003656FA" w14:paraId="462A7D3B"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61B1D78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Nasdaq - US</w:t>
            </w:r>
          </w:p>
        </w:tc>
        <w:tc>
          <w:tcPr>
            <w:tcW w:w="1202" w:type="dxa"/>
            <w:tcBorders>
              <w:top w:val="nil"/>
              <w:left w:val="nil"/>
              <w:bottom w:val="nil"/>
              <w:right w:val="single" w:sz="8" w:space="0" w:color="auto"/>
            </w:tcBorders>
            <w:shd w:val="clear" w:color="auto" w:fill="auto"/>
            <w:vAlign w:val="center"/>
            <w:hideMark/>
          </w:tcPr>
          <w:p w14:paraId="7EA57DA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2" w:type="dxa"/>
            <w:tcBorders>
              <w:top w:val="nil"/>
              <w:left w:val="nil"/>
              <w:bottom w:val="nil"/>
              <w:right w:val="single" w:sz="8" w:space="0" w:color="auto"/>
            </w:tcBorders>
            <w:shd w:val="clear" w:color="auto" w:fill="auto"/>
            <w:vAlign w:val="center"/>
            <w:hideMark/>
          </w:tcPr>
          <w:p w14:paraId="2DD1567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nil"/>
            </w:tcBorders>
            <w:shd w:val="clear" w:color="auto" w:fill="auto"/>
            <w:vAlign w:val="center"/>
            <w:hideMark/>
          </w:tcPr>
          <w:p w14:paraId="52EDF58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0DF0488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14,87,56,512</w:t>
            </w:r>
          </w:p>
        </w:tc>
        <w:tc>
          <w:tcPr>
            <w:tcW w:w="1071" w:type="dxa"/>
            <w:tcBorders>
              <w:top w:val="nil"/>
              <w:left w:val="nil"/>
              <w:bottom w:val="nil"/>
              <w:right w:val="nil"/>
            </w:tcBorders>
            <w:shd w:val="clear" w:color="auto" w:fill="auto"/>
            <w:vAlign w:val="center"/>
            <w:hideMark/>
          </w:tcPr>
          <w:p w14:paraId="561A534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4AF8CF0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4963B862"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671323C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MIAX Exchange Group</w:t>
            </w:r>
          </w:p>
        </w:tc>
        <w:tc>
          <w:tcPr>
            <w:tcW w:w="1202" w:type="dxa"/>
            <w:tcBorders>
              <w:top w:val="nil"/>
              <w:left w:val="nil"/>
              <w:bottom w:val="nil"/>
              <w:right w:val="single" w:sz="8" w:space="0" w:color="auto"/>
            </w:tcBorders>
            <w:shd w:val="clear" w:color="auto" w:fill="auto"/>
            <w:vAlign w:val="center"/>
            <w:hideMark/>
          </w:tcPr>
          <w:p w14:paraId="6450D0A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2" w:type="dxa"/>
            <w:tcBorders>
              <w:top w:val="nil"/>
              <w:left w:val="nil"/>
              <w:bottom w:val="nil"/>
              <w:right w:val="single" w:sz="8" w:space="0" w:color="auto"/>
            </w:tcBorders>
            <w:shd w:val="clear" w:color="auto" w:fill="auto"/>
            <w:vAlign w:val="center"/>
            <w:hideMark/>
          </w:tcPr>
          <w:p w14:paraId="0B6263F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nil"/>
            </w:tcBorders>
            <w:shd w:val="clear" w:color="auto" w:fill="auto"/>
            <w:vAlign w:val="center"/>
            <w:hideMark/>
          </w:tcPr>
          <w:p w14:paraId="58A138B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3C09C3B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3,86,84,870</w:t>
            </w:r>
          </w:p>
        </w:tc>
        <w:tc>
          <w:tcPr>
            <w:tcW w:w="1071" w:type="dxa"/>
            <w:tcBorders>
              <w:top w:val="nil"/>
              <w:left w:val="nil"/>
              <w:bottom w:val="nil"/>
              <w:right w:val="nil"/>
            </w:tcBorders>
            <w:shd w:val="clear" w:color="auto" w:fill="auto"/>
            <w:vAlign w:val="center"/>
            <w:hideMark/>
          </w:tcPr>
          <w:p w14:paraId="5DA5E0E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9,63,803</w:t>
            </w:r>
          </w:p>
        </w:tc>
        <w:tc>
          <w:tcPr>
            <w:tcW w:w="1191" w:type="dxa"/>
            <w:tcBorders>
              <w:top w:val="nil"/>
              <w:left w:val="single" w:sz="8" w:space="0" w:color="auto"/>
              <w:bottom w:val="nil"/>
              <w:right w:val="single" w:sz="8" w:space="0" w:color="auto"/>
            </w:tcBorders>
            <w:shd w:val="clear" w:color="auto" w:fill="auto"/>
            <w:vAlign w:val="center"/>
            <w:hideMark/>
          </w:tcPr>
          <w:p w14:paraId="3FB2CCB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0E9FEC86"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11A55AC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ASX Australian Securities Exchange</w:t>
            </w:r>
          </w:p>
        </w:tc>
        <w:tc>
          <w:tcPr>
            <w:tcW w:w="1202" w:type="dxa"/>
            <w:tcBorders>
              <w:top w:val="nil"/>
              <w:left w:val="nil"/>
              <w:bottom w:val="nil"/>
              <w:right w:val="single" w:sz="8" w:space="0" w:color="auto"/>
            </w:tcBorders>
            <w:shd w:val="clear" w:color="auto" w:fill="auto"/>
            <w:vAlign w:val="center"/>
            <w:hideMark/>
          </w:tcPr>
          <w:p w14:paraId="0F98293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2,17,892</w:t>
            </w:r>
          </w:p>
        </w:tc>
        <w:tc>
          <w:tcPr>
            <w:tcW w:w="1072" w:type="dxa"/>
            <w:tcBorders>
              <w:top w:val="nil"/>
              <w:left w:val="nil"/>
              <w:bottom w:val="nil"/>
              <w:right w:val="single" w:sz="8" w:space="0" w:color="auto"/>
            </w:tcBorders>
            <w:shd w:val="clear" w:color="auto" w:fill="auto"/>
            <w:vAlign w:val="center"/>
            <w:hideMark/>
          </w:tcPr>
          <w:p w14:paraId="5B72AB5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171.2</w:t>
            </w:r>
          </w:p>
        </w:tc>
        <w:tc>
          <w:tcPr>
            <w:tcW w:w="1123" w:type="dxa"/>
            <w:tcBorders>
              <w:top w:val="nil"/>
              <w:left w:val="nil"/>
              <w:bottom w:val="nil"/>
              <w:right w:val="nil"/>
            </w:tcBorders>
            <w:shd w:val="clear" w:color="auto" w:fill="auto"/>
            <w:vAlign w:val="center"/>
            <w:hideMark/>
          </w:tcPr>
          <w:p w14:paraId="592388C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4,80,608</w:t>
            </w:r>
          </w:p>
        </w:tc>
        <w:tc>
          <w:tcPr>
            <w:tcW w:w="1191" w:type="dxa"/>
            <w:tcBorders>
              <w:top w:val="nil"/>
              <w:left w:val="single" w:sz="8" w:space="0" w:color="auto"/>
              <w:bottom w:val="nil"/>
              <w:right w:val="single" w:sz="8" w:space="0" w:color="auto"/>
            </w:tcBorders>
            <w:shd w:val="clear" w:color="auto" w:fill="auto"/>
            <w:vAlign w:val="center"/>
            <w:hideMark/>
          </w:tcPr>
          <w:p w14:paraId="4342731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46,42,167</w:t>
            </w:r>
          </w:p>
        </w:tc>
        <w:tc>
          <w:tcPr>
            <w:tcW w:w="1071" w:type="dxa"/>
            <w:tcBorders>
              <w:top w:val="nil"/>
              <w:left w:val="nil"/>
              <w:bottom w:val="nil"/>
              <w:right w:val="nil"/>
            </w:tcBorders>
            <w:shd w:val="clear" w:color="auto" w:fill="auto"/>
            <w:vAlign w:val="center"/>
            <w:hideMark/>
          </w:tcPr>
          <w:p w14:paraId="6746E3F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9,050</w:t>
            </w:r>
          </w:p>
        </w:tc>
        <w:tc>
          <w:tcPr>
            <w:tcW w:w="1191" w:type="dxa"/>
            <w:tcBorders>
              <w:top w:val="nil"/>
              <w:left w:val="single" w:sz="8" w:space="0" w:color="auto"/>
              <w:bottom w:val="nil"/>
              <w:right w:val="single" w:sz="8" w:space="0" w:color="auto"/>
            </w:tcBorders>
            <w:shd w:val="clear" w:color="auto" w:fill="auto"/>
            <w:vAlign w:val="center"/>
            <w:hideMark/>
          </w:tcPr>
          <w:p w14:paraId="25A38E8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62,62,888</w:t>
            </w:r>
          </w:p>
        </w:tc>
      </w:tr>
      <w:tr w:rsidR="003656FA" w:rsidRPr="003656FA" w14:paraId="59A7F71B"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2841807C"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Hong Kong Exchanges and Clearing</w:t>
            </w:r>
          </w:p>
        </w:tc>
        <w:tc>
          <w:tcPr>
            <w:tcW w:w="1202" w:type="dxa"/>
            <w:tcBorders>
              <w:top w:val="nil"/>
              <w:left w:val="nil"/>
              <w:bottom w:val="nil"/>
              <w:right w:val="single" w:sz="8" w:space="0" w:color="auto"/>
            </w:tcBorders>
            <w:shd w:val="clear" w:color="auto" w:fill="auto"/>
            <w:vAlign w:val="center"/>
            <w:hideMark/>
          </w:tcPr>
          <w:p w14:paraId="73EAEA8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1,19,358</w:t>
            </w:r>
          </w:p>
        </w:tc>
        <w:tc>
          <w:tcPr>
            <w:tcW w:w="1072" w:type="dxa"/>
            <w:tcBorders>
              <w:top w:val="nil"/>
              <w:left w:val="nil"/>
              <w:bottom w:val="nil"/>
              <w:right w:val="single" w:sz="8" w:space="0" w:color="auto"/>
            </w:tcBorders>
            <w:shd w:val="clear" w:color="auto" w:fill="auto"/>
            <w:vAlign w:val="center"/>
            <w:hideMark/>
          </w:tcPr>
          <w:p w14:paraId="163493A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700.13</w:t>
            </w:r>
          </w:p>
        </w:tc>
        <w:tc>
          <w:tcPr>
            <w:tcW w:w="1123" w:type="dxa"/>
            <w:tcBorders>
              <w:top w:val="nil"/>
              <w:left w:val="nil"/>
              <w:bottom w:val="nil"/>
              <w:right w:val="nil"/>
            </w:tcBorders>
            <w:shd w:val="clear" w:color="auto" w:fill="auto"/>
            <w:vAlign w:val="center"/>
            <w:hideMark/>
          </w:tcPr>
          <w:p w14:paraId="7A10B67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20,458</w:t>
            </w:r>
          </w:p>
        </w:tc>
        <w:tc>
          <w:tcPr>
            <w:tcW w:w="1191" w:type="dxa"/>
            <w:tcBorders>
              <w:top w:val="nil"/>
              <w:left w:val="single" w:sz="8" w:space="0" w:color="auto"/>
              <w:bottom w:val="nil"/>
              <w:right w:val="single" w:sz="8" w:space="0" w:color="auto"/>
            </w:tcBorders>
            <w:shd w:val="clear" w:color="auto" w:fill="auto"/>
            <w:vAlign w:val="center"/>
            <w:hideMark/>
          </w:tcPr>
          <w:p w14:paraId="6E34124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1,58,64,924</w:t>
            </w:r>
          </w:p>
        </w:tc>
        <w:tc>
          <w:tcPr>
            <w:tcW w:w="1071" w:type="dxa"/>
            <w:tcBorders>
              <w:top w:val="nil"/>
              <w:left w:val="nil"/>
              <w:bottom w:val="nil"/>
              <w:right w:val="nil"/>
            </w:tcBorders>
            <w:shd w:val="clear" w:color="auto" w:fill="auto"/>
            <w:vAlign w:val="center"/>
            <w:hideMark/>
          </w:tcPr>
          <w:p w14:paraId="5EADDFC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68,084</w:t>
            </w:r>
          </w:p>
        </w:tc>
        <w:tc>
          <w:tcPr>
            <w:tcW w:w="1191" w:type="dxa"/>
            <w:tcBorders>
              <w:top w:val="nil"/>
              <w:left w:val="single" w:sz="8" w:space="0" w:color="auto"/>
              <w:bottom w:val="nil"/>
              <w:right w:val="single" w:sz="8" w:space="0" w:color="auto"/>
            </w:tcBorders>
            <w:shd w:val="clear" w:color="auto" w:fill="auto"/>
            <w:vAlign w:val="center"/>
            <w:hideMark/>
          </w:tcPr>
          <w:p w14:paraId="4F6E686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1,01,30,523</w:t>
            </w:r>
          </w:p>
        </w:tc>
      </w:tr>
      <w:tr w:rsidR="003656FA" w:rsidRPr="003656FA" w14:paraId="669A077D"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1BBFAFC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Japan Exchange Group</w:t>
            </w:r>
          </w:p>
        </w:tc>
        <w:tc>
          <w:tcPr>
            <w:tcW w:w="1202" w:type="dxa"/>
            <w:tcBorders>
              <w:top w:val="nil"/>
              <w:left w:val="nil"/>
              <w:bottom w:val="nil"/>
              <w:right w:val="single" w:sz="8" w:space="0" w:color="auto"/>
            </w:tcBorders>
            <w:shd w:val="clear" w:color="auto" w:fill="auto"/>
            <w:vAlign w:val="center"/>
            <w:hideMark/>
          </w:tcPr>
          <w:p w14:paraId="23C777D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2" w:type="dxa"/>
            <w:tcBorders>
              <w:top w:val="nil"/>
              <w:left w:val="nil"/>
              <w:bottom w:val="nil"/>
              <w:right w:val="single" w:sz="8" w:space="0" w:color="auto"/>
            </w:tcBorders>
            <w:shd w:val="clear" w:color="auto" w:fill="auto"/>
            <w:vAlign w:val="center"/>
            <w:hideMark/>
          </w:tcPr>
          <w:p w14:paraId="364DCB2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nil"/>
            </w:tcBorders>
            <w:shd w:val="clear" w:color="auto" w:fill="auto"/>
            <w:vAlign w:val="center"/>
            <w:hideMark/>
          </w:tcPr>
          <w:p w14:paraId="617657C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141330C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9,792</w:t>
            </w:r>
          </w:p>
        </w:tc>
        <w:tc>
          <w:tcPr>
            <w:tcW w:w="1071" w:type="dxa"/>
            <w:tcBorders>
              <w:top w:val="nil"/>
              <w:left w:val="nil"/>
              <w:bottom w:val="nil"/>
              <w:right w:val="nil"/>
            </w:tcBorders>
            <w:shd w:val="clear" w:color="auto" w:fill="auto"/>
            <w:vAlign w:val="center"/>
            <w:hideMark/>
          </w:tcPr>
          <w:p w14:paraId="3F4261C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70AE37A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40,541</w:t>
            </w:r>
          </w:p>
        </w:tc>
      </w:tr>
      <w:tr w:rsidR="003656FA" w:rsidRPr="003656FA" w14:paraId="4757C65B"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3E1E302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Korea Exchange</w:t>
            </w:r>
          </w:p>
        </w:tc>
        <w:tc>
          <w:tcPr>
            <w:tcW w:w="1202" w:type="dxa"/>
            <w:tcBorders>
              <w:top w:val="nil"/>
              <w:left w:val="nil"/>
              <w:bottom w:val="nil"/>
              <w:right w:val="single" w:sz="8" w:space="0" w:color="auto"/>
            </w:tcBorders>
            <w:shd w:val="clear" w:color="auto" w:fill="auto"/>
            <w:vAlign w:val="center"/>
            <w:hideMark/>
          </w:tcPr>
          <w:p w14:paraId="27296D8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8,66,71,469</w:t>
            </w:r>
          </w:p>
        </w:tc>
        <w:tc>
          <w:tcPr>
            <w:tcW w:w="1072" w:type="dxa"/>
            <w:tcBorders>
              <w:top w:val="nil"/>
              <w:left w:val="nil"/>
              <w:bottom w:val="nil"/>
              <w:right w:val="single" w:sz="8" w:space="0" w:color="auto"/>
            </w:tcBorders>
            <w:shd w:val="clear" w:color="auto" w:fill="auto"/>
            <w:vAlign w:val="center"/>
            <w:hideMark/>
          </w:tcPr>
          <w:p w14:paraId="7B5ACFF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54931.38</w:t>
            </w:r>
          </w:p>
        </w:tc>
        <w:tc>
          <w:tcPr>
            <w:tcW w:w="1123" w:type="dxa"/>
            <w:tcBorders>
              <w:top w:val="nil"/>
              <w:left w:val="nil"/>
              <w:bottom w:val="nil"/>
              <w:right w:val="nil"/>
            </w:tcBorders>
            <w:shd w:val="clear" w:color="auto" w:fill="auto"/>
            <w:vAlign w:val="center"/>
            <w:hideMark/>
          </w:tcPr>
          <w:p w14:paraId="65E847D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50,66,886</w:t>
            </w:r>
          </w:p>
        </w:tc>
        <w:tc>
          <w:tcPr>
            <w:tcW w:w="1191" w:type="dxa"/>
            <w:tcBorders>
              <w:top w:val="nil"/>
              <w:left w:val="single" w:sz="8" w:space="0" w:color="auto"/>
              <w:bottom w:val="nil"/>
              <w:right w:val="single" w:sz="8" w:space="0" w:color="auto"/>
            </w:tcBorders>
            <w:shd w:val="clear" w:color="auto" w:fill="auto"/>
            <w:vAlign w:val="center"/>
            <w:hideMark/>
          </w:tcPr>
          <w:p w14:paraId="1B18BD2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89,841</w:t>
            </w:r>
          </w:p>
        </w:tc>
        <w:tc>
          <w:tcPr>
            <w:tcW w:w="1071" w:type="dxa"/>
            <w:tcBorders>
              <w:top w:val="nil"/>
              <w:left w:val="nil"/>
              <w:bottom w:val="nil"/>
              <w:right w:val="nil"/>
            </w:tcBorders>
            <w:shd w:val="clear" w:color="auto" w:fill="auto"/>
            <w:vAlign w:val="center"/>
            <w:hideMark/>
          </w:tcPr>
          <w:p w14:paraId="1F1E386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65674F3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26,871</w:t>
            </w:r>
          </w:p>
        </w:tc>
      </w:tr>
      <w:tr w:rsidR="003656FA" w:rsidRPr="003656FA" w14:paraId="71F4E9CE"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0D6159D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National Stock Exchange of India</w:t>
            </w:r>
          </w:p>
        </w:tc>
        <w:tc>
          <w:tcPr>
            <w:tcW w:w="1202" w:type="dxa"/>
            <w:tcBorders>
              <w:top w:val="nil"/>
              <w:left w:val="nil"/>
              <w:bottom w:val="nil"/>
              <w:right w:val="single" w:sz="8" w:space="0" w:color="auto"/>
            </w:tcBorders>
            <w:shd w:val="clear" w:color="auto" w:fill="auto"/>
            <w:vAlign w:val="center"/>
            <w:hideMark/>
          </w:tcPr>
          <w:p w14:paraId="6ABF68B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2,27,10,216</w:t>
            </w:r>
          </w:p>
        </w:tc>
        <w:tc>
          <w:tcPr>
            <w:tcW w:w="1072" w:type="dxa"/>
            <w:tcBorders>
              <w:top w:val="nil"/>
              <w:left w:val="nil"/>
              <w:bottom w:val="nil"/>
              <w:right w:val="single" w:sz="8" w:space="0" w:color="auto"/>
            </w:tcBorders>
            <w:shd w:val="clear" w:color="auto" w:fill="auto"/>
            <w:vAlign w:val="center"/>
            <w:hideMark/>
          </w:tcPr>
          <w:p w14:paraId="4C20FA6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210221.49</w:t>
            </w:r>
          </w:p>
        </w:tc>
        <w:tc>
          <w:tcPr>
            <w:tcW w:w="1123" w:type="dxa"/>
            <w:tcBorders>
              <w:top w:val="nil"/>
              <w:left w:val="nil"/>
              <w:bottom w:val="nil"/>
              <w:right w:val="nil"/>
            </w:tcBorders>
            <w:shd w:val="clear" w:color="auto" w:fill="auto"/>
            <w:vAlign w:val="center"/>
            <w:hideMark/>
          </w:tcPr>
          <w:p w14:paraId="283293D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14,27,389</w:t>
            </w:r>
          </w:p>
        </w:tc>
        <w:tc>
          <w:tcPr>
            <w:tcW w:w="1191" w:type="dxa"/>
            <w:tcBorders>
              <w:top w:val="nil"/>
              <w:left w:val="single" w:sz="8" w:space="0" w:color="auto"/>
              <w:bottom w:val="nil"/>
              <w:right w:val="single" w:sz="8" w:space="0" w:color="auto"/>
            </w:tcBorders>
            <w:shd w:val="clear" w:color="auto" w:fill="auto"/>
            <w:vAlign w:val="center"/>
            <w:hideMark/>
          </w:tcPr>
          <w:p w14:paraId="375F4E5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2,78,00,537</w:t>
            </w:r>
          </w:p>
        </w:tc>
        <w:tc>
          <w:tcPr>
            <w:tcW w:w="1071" w:type="dxa"/>
            <w:tcBorders>
              <w:top w:val="nil"/>
              <w:left w:val="nil"/>
              <w:bottom w:val="nil"/>
              <w:right w:val="nil"/>
            </w:tcBorders>
            <w:shd w:val="clear" w:color="auto" w:fill="auto"/>
            <w:vAlign w:val="center"/>
            <w:hideMark/>
          </w:tcPr>
          <w:p w14:paraId="5E4D3D4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2,81,306</w:t>
            </w:r>
          </w:p>
        </w:tc>
        <w:tc>
          <w:tcPr>
            <w:tcW w:w="1191" w:type="dxa"/>
            <w:tcBorders>
              <w:top w:val="nil"/>
              <w:left w:val="single" w:sz="8" w:space="0" w:color="auto"/>
              <w:bottom w:val="nil"/>
              <w:right w:val="single" w:sz="8" w:space="0" w:color="auto"/>
            </w:tcBorders>
            <w:shd w:val="clear" w:color="auto" w:fill="auto"/>
            <w:vAlign w:val="center"/>
            <w:hideMark/>
          </w:tcPr>
          <w:p w14:paraId="5434357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4,77,426</w:t>
            </w:r>
          </w:p>
        </w:tc>
      </w:tr>
      <w:tr w:rsidR="003656FA" w:rsidRPr="003656FA" w14:paraId="3BD68C10"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5BBA652B"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Singapore Exchange</w:t>
            </w:r>
          </w:p>
        </w:tc>
        <w:tc>
          <w:tcPr>
            <w:tcW w:w="1202" w:type="dxa"/>
            <w:tcBorders>
              <w:top w:val="nil"/>
              <w:left w:val="nil"/>
              <w:bottom w:val="nil"/>
              <w:right w:val="single" w:sz="8" w:space="0" w:color="auto"/>
            </w:tcBorders>
            <w:shd w:val="clear" w:color="auto" w:fill="auto"/>
            <w:vAlign w:val="center"/>
            <w:hideMark/>
          </w:tcPr>
          <w:p w14:paraId="18C7FAA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99,441</w:t>
            </w:r>
          </w:p>
        </w:tc>
        <w:tc>
          <w:tcPr>
            <w:tcW w:w="1072" w:type="dxa"/>
            <w:tcBorders>
              <w:top w:val="nil"/>
              <w:left w:val="nil"/>
              <w:bottom w:val="nil"/>
              <w:right w:val="single" w:sz="8" w:space="0" w:color="auto"/>
            </w:tcBorders>
            <w:shd w:val="clear" w:color="auto" w:fill="auto"/>
            <w:vAlign w:val="center"/>
            <w:hideMark/>
          </w:tcPr>
          <w:p w14:paraId="4AE80FA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nil"/>
            </w:tcBorders>
            <w:shd w:val="clear" w:color="auto" w:fill="auto"/>
            <w:vAlign w:val="center"/>
            <w:hideMark/>
          </w:tcPr>
          <w:p w14:paraId="43ACF62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42,192</w:t>
            </w:r>
          </w:p>
        </w:tc>
        <w:tc>
          <w:tcPr>
            <w:tcW w:w="1191" w:type="dxa"/>
            <w:tcBorders>
              <w:top w:val="nil"/>
              <w:left w:val="single" w:sz="8" w:space="0" w:color="auto"/>
              <w:bottom w:val="nil"/>
              <w:right w:val="single" w:sz="8" w:space="0" w:color="auto"/>
            </w:tcBorders>
            <w:shd w:val="clear" w:color="auto" w:fill="auto"/>
            <w:vAlign w:val="center"/>
            <w:hideMark/>
          </w:tcPr>
          <w:p w14:paraId="5D6BD50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1" w:type="dxa"/>
            <w:tcBorders>
              <w:top w:val="nil"/>
              <w:left w:val="nil"/>
              <w:bottom w:val="nil"/>
              <w:right w:val="nil"/>
            </w:tcBorders>
            <w:shd w:val="clear" w:color="auto" w:fill="auto"/>
            <w:vAlign w:val="center"/>
            <w:hideMark/>
          </w:tcPr>
          <w:p w14:paraId="0CD8B42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7085107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6DDD83C3"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30C8170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Taiwan Futures Exchange</w:t>
            </w:r>
          </w:p>
        </w:tc>
        <w:tc>
          <w:tcPr>
            <w:tcW w:w="1202" w:type="dxa"/>
            <w:tcBorders>
              <w:top w:val="nil"/>
              <w:left w:val="nil"/>
              <w:bottom w:val="nil"/>
              <w:right w:val="single" w:sz="8" w:space="0" w:color="auto"/>
            </w:tcBorders>
            <w:shd w:val="clear" w:color="auto" w:fill="auto"/>
            <w:vAlign w:val="center"/>
            <w:hideMark/>
          </w:tcPr>
          <w:p w14:paraId="07276F5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23,42,398</w:t>
            </w:r>
          </w:p>
        </w:tc>
        <w:tc>
          <w:tcPr>
            <w:tcW w:w="1072" w:type="dxa"/>
            <w:tcBorders>
              <w:top w:val="nil"/>
              <w:left w:val="nil"/>
              <w:bottom w:val="nil"/>
              <w:right w:val="single" w:sz="8" w:space="0" w:color="auto"/>
            </w:tcBorders>
            <w:shd w:val="clear" w:color="auto" w:fill="auto"/>
            <w:vAlign w:val="center"/>
            <w:hideMark/>
          </w:tcPr>
          <w:p w14:paraId="0EE7E8C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25870.52</w:t>
            </w:r>
          </w:p>
        </w:tc>
        <w:tc>
          <w:tcPr>
            <w:tcW w:w="1123" w:type="dxa"/>
            <w:tcBorders>
              <w:top w:val="nil"/>
              <w:left w:val="nil"/>
              <w:bottom w:val="nil"/>
              <w:right w:val="nil"/>
            </w:tcBorders>
            <w:shd w:val="clear" w:color="auto" w:fill="auto"/>
            <w:vAlign w:val="center"/>
            <w:hideMark/>
          </w:tcPr>
          <w:p w14:paraId="71D9D14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1,93,206</w:t>
            </w:r>
          </w:p>
        </w:tc>
        <w:tc>
          <w:tcPr>
            <w:tcW w:w="1191" w:type="dxa"/>
            <w:tcBorders>
              <w:top w:val="nil"/>
              <w:left w:val="single" w:sz="8" w:space="0" w:color="auto"/>
              <w:bottom w:val="nil"/>
              <w:right w:val="single" w:sz="8" w:space="0" w:color="auto"/>
            </w:tcBorders>
            <w:shd w:val="clear" w:color="auto" w:fill="auto"/>
            <w:vAlign w:val="center"/>
            <w:hideMark/>
          </w:tcPr>
          <w:p w14:paraId="4C3EEA2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11,169</w:t>
            </w:r>
          </w:p>
        </w:tc>
        <w:tc>
          <w:tcPr>
            <w:tcW w:w="1071" w:type="dxa"/>
            <w:tcBorders>
              <w:top w:val="nil"/>
              <w:left w:val="nil"/>
              <w:bottom w:val="nil"/>
              <w:right w:val="nil"/>
            </w:tcBorders>
            <w:shd w:val="clear" w:color="auto" w:fill="auto"/>
            <w:vAlign w:val="center"/>
            <w:hideMark/>
          </w:tcPr>
          <w:p w14:paraId="24A9FE7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126</w:t>
            </w:r>
          </w:p>
        </w:tc>
        <w:tc>
          <w:tcPr>
            <w:tcW w:w="1191" w:type="dxa"/>
            <w:tcBorders>
              <w:top w:val="nil"/>
              <w:left w:val="single" w:sz="8" w:space="0" w:color="auto"/>
              <w:bottom w:val="nil"/>
              <w:right w:val="single" w:sz="8" w:space="0" w:color="auto"/>
            </w:tcBorders>
            <w:shd w:val="clear" w:color="auto" w:fill="auto"/>
            <w:vAlign w:val="center"/>
            <w:hideMark/>
          </w:tcPr>
          <w:p w14:paraId="2894C1D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4,708</w:t>
            </w:r>
          </w:p>
        </w:tc>
      </w:tr>
      <w:tr w:rsidR="003656FA" w:rsidRPr="003656FA" w14:paraId="7A473A64"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6614B930"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Thailand Futures Exchange</w:t>
            </w:r>
          </w:p>
        </w:tc>
        <w:tc>
          <w:tcPr>
            <w:tcW w:w="1202" w:type="dxa"/>
            <w:tcBorders>
              <w:top w:val="nil"/>
              <w:left w:val="nil"/>
              <w:bottom w:val="nil"/>
              <w:right w:val="single" w:sz="8" w:space="0" w:color="auto"/>
            </w:tcBorders>
            <w:shd w:val="clear" w:color="auto" w:fill="auto"/>
            <w:vAlign w:val="center"/>
            <w:hideMark/>
          </w:tcPr>
          <w:p w14:paraId="44114F4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3,39,66,616</w:t>
            </w:r>
          </w:p>
        </w:tc>
        <w:tc>
          <w:tcPr>
            <w:tcW w:w="1072" w:type="dxa"/>
            <w:tcBorders>
              <w:top w:val="nil"/>
              <w:left w:val="nil"/>
              <w:bottom w:val="nil"/>
              <w:right w:val="single" w:sz="8" w:space="0" w:color="auto"/>
            </w:tcBorders>
            <w:shd w:val="clear" w:color="auto" w:fill="auto"/>
            <w:vAlign w:val="center"/>
            <w:hideMark/>
          </w:tcPr>
          <w:p w14:paraId="671A9B9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nil"/>
            </w:tcBorders>
            <w:shd w:val="clear" w:color="auto" w:fill="auto"/>
            <w:vAlign w:val="center"/>
            <w:hideMark/>
          </w:tcPr>
          <w:p w14:paraId="02D029C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12,79,606</w:t>
            </w:r>
          </w:p>
        </w:tc>
        <w:tc>
          <w:tcPr>
            <w:tcW w:w="1191" w:type="dxa"/>
            <w:tcBorders>
              <w:top w:val="nil"/>
              <w:left w:val="single" w:sz="8" w:space="0" w:color="auto"/>
              <w:bottom w:val="nil"/>
              <w:right w:val="single" w:sz="8" w:space="0" w:color="auto"/>
            </w:tcBorders>
            <w:shd w:val="clear" w:color="auto" w:fill="auto"/>
            <w:vAlign w:val="center"/>
            <w:hideMark/>
          </w:tcPr>
          <w:p w14:paraId="06DE9D8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1" w:type="dxa"/>
            <w:tcBorders>
              <w:top w:val="nil"/>
              <w:left w:val="nil"/>
              <w:bottom w:val="nil"/>
              <w:right w:val="nil"/>
            </w:tcBorders>
            <w:shd w:val="clear" w:color="auto" w:fill="auto"/>
            <w:vAlign w:val="center"/>
            <w:hideMark/>
          </w:tcPr>
          <w:p w14:paraId="254E9B7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53AEF70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587F2773"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1998001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Athens Stock Exchange</w:t>
            </w:r>
          </w:p>
        </w:tc>
        <w:tc>
          <w:tcPr>
            <w:tcW w:w="1202" w:type="dxa"/>
            <w:tcBorders>
              <w:top w:val="nil"/>
              <w:left w:val="nil"/>
              <w:bottom w:val="nil"/>
              <w:right w:val="single" w:sz="8" w:space="0" w:color="auto"/>
            </w:tcBorders>
            <w:shd w:val="clear" w:color="auto" w:fill="auto"/>
            <w:vAlign w:val="center"/>
            <w:hideMark/>
          </w:tcPr>
          <w:p w14:paraId="7747822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6,26,674</w:t>
            </w:r>
          </w:p>
        </w:tc>
        <w:tc>
          <w:tcPr>
            <w:tcW w:w="1072" w:type="dxa"/>
            <w:tcBorders>
              <w:top w:val="nil"/>
              <w:left w:val="nil"/>
              <w:bottom w:val="nil"/>
              <w:right w:val="single" w:sz="8" w:space="0" w:color="auto"/>
            </w:tcBorders>
            <w:shd w:val="clear" w:color="auto" w:fill="auto"/>
            <w:vAlign w:val="center"/>
            <w:hideMark/>
          </w:tcPr>
          <w:p w14:paraId="0D5A488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96.98</w:t>
            </w:r>
          </w:p>
        </w:tc>
        <w:tc>
          <w:tcPr>
            <w:tcW w:w="1123" w:type="dxa"/>
            <w:tcBorders>
              <w:top w:val="nil"/>
              <w:left w:val="nil"/>
              <w:bottom w:val="nil"/>
              <w:right w:val="nil"/>
            </w:tcBorders>
            <w:shd w:val="clear" w:color="auto" w:fill="auto"/>
            <w:vAlign w:val="center"/>
            <w:hideMark/>
          </w:tcPr>
          <w:p w14:paraId="5B9C210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2,73,640</w:t>
            </w:r>
          </w:p>
        </w:tc>
        <w:tc>
          <w:tcPr>
            <w:tcW w:w="1191" w:type="dxa"/>
            <w:tcBorders>
              <w:top w:val="nil"/>
              <w:left w:val="single" w:sz="8" w:space="0" w:color="auto"/>
              <w:bottom w:val="nil"/>
              <w:right w:val="single" w:sz="8" w:space="0" w:color="auto"/>
            </w:tcBorders>
            <w:shd w:val="clear" w:color="auto" w:fill="auto"/>
            <w:vAlign w:val="center"/>
            <w:hideMark/>
          </w:tcPr>
          <w:p w14:paraId="0FACE5A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950</w:t>
            </w:r>
          </w:p>
        </w:tc>
        <w:tc>
          <w:tcPr>
            <w:tcW w:w="1071" w:type="dxa"/>
            <w:tcBorders>
              <w:top w:val="nil"/>
              <w:left w:val="nil"/>
              <w:bottom w:val="nil"/>
              <w:right w:val="nil"/>
            </w:tcBorders>
            <w:shd w:val="clear" w:color="auto" w:fill="auto"/>
            <w:vAlign w:val="center"/>
            <w:hideMark/>
          </w:tcPr>
          <w:p w14:paraId="76F35A7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w:t>
            </w:r>
          </w:p>
        </w:tc>
        <w:tc>
          <w:tcPr>
            <w:tcW w:w="1191" w:type="dxa"/>
            <w:tcBorders>
              <w:top w:val="nil"/>
              <w:left w:val="single" w:sz="8" w:space="0" w:color="auto"/>
              <w:bottom w:val="nil"/>
              <w:right w:val="single" w:sz="8" w:space="0" w:color="auto"/>
            </w:tcBorders>
            <w:shd w:val="clear" w:color="auto" w:fill="auto"/>
            <w:vAlign w:val="center"/>
            <w:hideMark/>
          </w:tcPr>
          <w:p w14:paraId="70E33BE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1,289</w:t>
            </w:r>
          </w:p>
        </w:tc>
      </w:tr>
      <w:tr w:rsidR="003656FA" w:rsidRPr="003656FA" w14:paraId="23903010"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211948B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BME Spanish Exchanges</w:t>
            </w:r>
          </w:p>
        </w:tc>
        <w:tc>
          <w:tcPr>
            <w:tcW w:w="1202" w:type="dxa"/>
            <w:tcBorders>
              <w:top w:val="nil"/>
              <w:left w:val="nil"/>
              <w:bottom w:val="nil"/>
              <w:right w:val="single" w:sz="8" w:space="0" w:color="auto"/>
            </w:tcBorders>
            <w:shd w:val="clear" w:color="auto" w:fill="auto"/>
            <w:vAlign w:val="center"/>
            <w:hideMark/>
          </w:tcPr>
          <w:p w14:paraId="6207311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1,59,411</w:t>
            </w:r>
          </w:p>
        </w:tc>
        <w:tc>
          <w:tcPr>
            <w:tcW w:w="1072" w:type="dxa"/>
            <w:tcBorders>
              <w:top w:val="nil"/>
              <w:left w:val="nil"/>
              <w:bottom w:val="nil"/>
              <w:right w:val="single" w:sz="8" w:space="0" w:color="auto"/>
            </w:tcBorders>
            <w:shd w:val="clear" w:color="auto" w:fill="auto"/>
            <w:vAlign w:val="center"/>
            <w:hideMark/>
          </w:tcPr>
          <w:p w14:paraId="48F39B1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53</w:t>
            </w:r>
          </w:p>
        </w:tc>
        <w:tc>
          <w:tcPr>
            <w:tcW w:w="1123" w:type="dxa"/>
            <w:tcBorders>
              <w:top w:val="nil"/>
              <w:left w:val="nil"/>
              <w:bottom w:val="nil"/>
              <w:right w:val="nil"/>
            </w:tcBorders>
            <w:shd w:val="clear" w:color="auto" w:fill="auto"/>
            <w:vAlign w:val="center"/>
            <w:hideMark/>
          </w:tcPr>
          <w:p w14:paraId="4492C49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12,46,576</w:t>
            </w:r>
          </w:p>
        </w:tc>
        <w:tc>
          <w:tcPr>
            <w:tcW w:w="1191" w:type="dxa"/>
            <w:tcBorders>
              <w:top w:val="nil"/>
              <w:left w:val="single" w:sz="8" w:space="0" w:color="auto"/>
              <w:bottom w:val="nil"/>
              <w:right w:val="single" w:sz="8" w:space="0" w:color="auto"/>
            </w:tcBorders>
            <w:shd w:val="clear" w:color="auto" w:fill="auto"/>
            <w:vAlign w:val="center"/>
            <w:hideMark/>
          </w:tcPr>
          <w:p w14:paraId="4D8C7D8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13,87,754</w:t>
            </w:r>
          </w:p>
        </w:tc>
        <w:tc>
          <w:tcPr>
            <w:tcW w:w="1071" w:type="dxa"/>
            <w:tcBorders>
              <w:top w:val="nil"/>
              <w:left w:val="nil"/>
              <w:bottom w:val="nil"/>
              <w:right w:val="nil"/>
            </w:tcBorders>
            <w:shd w:val="clear" w:color="auto" w:fill="auto"/>
            <w:vAlign w:val="center"/>
            <w:hideMark/>
          </w:tcPr>
          <w:p w14:paraId="21B9092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1,675</w:t>
            </w:r>
          </w:p>
        </w:tc>
        <w:tc>
          <w:tcPr>
            <w:tcW w:w="1191" w:type="dxa"/>
            <w:tcBorders>
              <w:top w:val="nil"/>
              <w:left w:val="single" w:sz="8" w:space="0" w:color="auto"/>
              <w:bottom w:val="nil"/>
              <w:right w:val="single" w:sz="8" w:space="0" w:color="auto"/>
            </w:tcBorders>
            <w:shd w:val="clear" w:color="auto" w:fill="auto"/>
            <w:vAlign w:val="center"/>
            <w:hideMark/>
          </w:tcPr>
          <w:p w14:paraId="52A1C85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83,36,690</w:t>
            </w:r>
          </w:p>
        </w:tc>
      </w:tr>
      <w:tr w:rsidR="003656FA" w:rsidRPr="003656FA" w14:paraId="57A84EC3"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6D90A9F4"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Borsa Istanbul</w:t>
            </w:r>
          </w:p>
        </w:tc>
        <w:tc>
          <w:tcPr>
            <w:tcW w:w="1202" w:type="dxa"/>
            <w:tcBorders>
              <w:top w:val="nil"/>
              <w:left w:val="nil"/>
              <w:bottom w:val="nil"/>
              <w:right w:val="single" w:sz="8" w:space="0" w:color="auto"/>
            </w:tcBorders>
            <w:shd w:val="clear" w:color="auto" w:fill="auto"/>
            <w:vAlign w:val="center"/>
            <w:hideMark/>
          </w:tcPr>
          <w:p w14:paraId="61D4F52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11,42,61,423</w:t>
            </w:r>
          </w:p>
        </w:tc>
        <w:tc>
          <w:tcPr>
            <w:tcW w:w="1072" w:type="dxa"/>
            <w:tcBorders>
              <w:top w:val="nil"/>
              <w:left w:val="nil"/>
              <w:bottom w:val="nil"/>
              <w:right w:val="single" w:sz="8" w:space="0" w:color="auto"/>
            </w:tcBorders>
            <w:shd w:val="clear" w:color="auto" w:fill="auto"/>
            <w:vAlign w:val="center"/>
            <w:hideMark/>
          </w:tcPr>
          <w:p w14:paraId="41CE527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9921.67</w:t>
            </w:r>
          </w:p>
        </w:tc>
        <w:tc>
          <w:tcPr>
            <w:tcW w:w="1123" w:type="dxa"/>
            <w:tcBorders>
              <w:top w:val="nil"/>
              <w:left w:val="nil"/>
              <w:bottom w:val="nil"/>
              <w:right w:val="nil"/>
            </w:tcBorders>
            <w:shd w:val="clear" w:color="auto" w:fill="auto"/>
            <w:vAlign w:val="center"/>
            <w:hideMark/>
          </w:tcPr>
          <w:p w14:paraId="233E123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57,60,197</w:t>
            </w:r>
          </w:p>
        </w:tc>
        <w:tc>
          <w:tcPr>
            <w:tcW w:w="1191" w:type="dxa"/>
            <w:tcBorders>
              <w:top w:val="nil"/>
              <w:left w:val="single" w:sz="8" w:space="0" w:color="auto"/>
              <w:bottom w:val="nil"/>
              <w:right w:val="single" w:sz="8" w:space="0" w:color="auto"/>
            </w:tcBorders>
            <w:shd w:val="clear" w:color="auto" w:fill="auto"/>
            <w:vAlign w:val="center"/>
            <w:hideMark/>
          </w:tcPr>
          <w:p w14:paraId="1F4CCAC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2,69,661</w:t>
            </w:r>
          </w:p>
        </w:tc>
        <w:tc>
          <w:tcPr>
            <w:tcW w:w="1071" w:type="dxa"/>
            <w:tcBorders>
              <w:top w:val="nil"/>
              <w:left w:val="nil"/>
              <w:bottom w:val="nil"/>
              <w:right w:val="nil"/>
            </w:tcBorders>
            <w:shd w:val="clear" w:color="auto" w:fill="auto"/>
            <w:vAlign w:val="center"/>
            <w:hideMark/>
          </w:tcPr>
          <w:p w14:paraId="600BFA2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31</w:t>
            </w:r>
          </w:p>
        </w:tc>
        <w:tc>
          <w:tcPr>
            <w:tcW w:w="1191" w:type="dxa"/>
            <w:tcBorders>
              <w:top w:val="nil"/>
              <w:left w:val="single" w:sz="8" w:space="0" w:color="auto"/>
              <w:bottom w:val="nil"/>
              <w:right w:val="single" w:sz="8" w:space="0" w:color="auto"/>
            </w:tcBorders>
            <w:shd w:val="clear" w:color="auto" w:fill="auto"/>
            <w:vAlign w:val="center"/>
            <w:hideMark/>
          </w:tcPr>
          <w:p w14:paraId="4687828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2,06,744</w:t>
            </w:r>
          </w:p>
        </w:tc>
      </w:tr>
      <w:tr w:rsidR="003656FA" w:rsidRPr="003656FA" w14:paraId="09425F84"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6EE26C1F"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Budapest Stock Exchange</w:t>
            </w:r>
          </w:p>
        </w:tc>
        <w:tc>
          <w:tcPr>
            <w:tcW w:w="1202" w:type="dxa"/>
            <w:tcBorders>
              <w:top w:val="nil"/>
              <w:left w:val="nil"/>
              <w:bottom w:val="nil"/>
              <w:right w:val="single" w:sz="8" w:space="0" w:color="auto"/>
            </w:tcBorders>
            <w:shd w:val="clear" w:color="auto" w:fill="auto"/>
            <w:vAlign w:val="center"/>
            <w:hideMark/>
          </w:tcPr>
          <w:p w14:paraId="7F5AE6E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6,837</w:t>
            </w:r>
          </w:p>
        </w:tc>
        <w:tc>
          <w:tcPr>
            <w:tcW w:w="1072" w:type="dxa"/>
            <w:tcBorders>
              <w:top w:val="nil"/>
              <w:left w:val="nil"/>
              <w:bottom w:val="nil"/>
              <w:right w:val="single" w:sz="8" w:space="0" w:color="auto"/>
            </w:tcBorders>
            <w:shd w:val="clear" w:color="auto" w:fill="auto"/>
            <w:vAlign w:val="center"/>
            <w:hideMark/>
          </w:tcPr>
          <w:p w14:paraId="5D5A3A7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34.72</w:t>
            </w:r>
          </w:p>
        </w:tc>
        <w:tc>
          <w:tcPr>
            <w:tcW w:w="1123" w:type="dxa"/>
            <w:tcBorders>
              <w:top w:val="nil"/>
              <w:left w:val="nil"/>
              <w:bottom w:val="nil"/>
              <w:right w:val="nil"/>
            </w:tcBorders>
            <w:shd w:val="clear" w:color="auto" w:fill="auto"/>
            <w:vAlign w:val="center"/>
            <w:hideMark/>
          </w:tcPr>
          <w:p w14:paraId="6981A06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4,526</w:t>
            </w:r>
          </w:p>
        </w:tc>
        <w:tc>
          <w:tcPr>
            <w:tcW w:w="1191" w:type="dxa"/>
            <w:tcBorders>
              <w:top w:val="nil"/>
              <w:left w:val="single" w:sz="8" w:space="0" w:color="auto"/>
              <w:bottom w:val="nil"/>
              <w:right w:val="single" w:sz="8" w:space="0" w:color="auto"/>
            </w:tcBorders>
            <w:shd w:val="clear" w:color="auto" w:fill="auto"/>
            <w:vAlign w:val="center"/>
            <w:hideMark/>
          </w:tcPr>
          <w:p w14:paraId="2CF3599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1" w:type="dxa"/>
            <w:tcBorders>
              <w:top w:val="nil"/>
              <w:left w:val="nil"/>
              <w:bottom w:val="nil"/>
              <w:right w:val="nil"/>
            </w:tcBorders>
            <w:shd w:val="clear" w:color="auto" w:fill="auto"/>
            <w:vAlign w:val="center"/>
            <w:hideMark/>
          </w:tcPr>
          <w:p w14:paraId="0EC115A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2069788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03E52C96"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5256F77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Deutsche Boerse AG</w:t>
            </w:r>
          </w:p>
        </w:tc>
        <w:tc>
          <w:tcPr>
            <w:tcW w:w="1202" w:type="dxa"/>
            <w:tcBorders>
              <w:top w:val="nil"/>
              <w:left w:val="nil"/>
              <w:bottom w:val="nil"/>
              <w:right w:val="single" w:sz="8" w:space="0" w:color="auto"/>
            </w:tcBorders>
            <w:shd w:val="clear" w:color="auto" w:fill="auto"/>
            <w:vAlign w:val="center"/>
            <w:hideMark/>
          </w:tcPr>
          <w:p w14:paraId="6D603FA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31,83,127</w:t>
            </w:r>
          </w:p>
        </w:tc>
        <w:tc>
          <w:tcPr>
            <w:tcW w:w="1072" w:type="dxa"/>
            <w:tcBorders>
              <w:top w:val="nil"/>
              <w:left w:val="nil"/>
              <w:bottom w:val="nil"/>
              <w:right w:val="single" w:sz="8" w:space="0" w:color="auto"/>
            </w:tcBorders>
            <w:shd w:val="clear" w:color="auto" w:fill="auto"/>
            <w:vAlign w:val="center"/>
            <w:hideMark/>
          </w:tcPr>
          <w:p w14:paraId="20770F6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15274.91</w:t>
            </w:r>
          </w:p>
        </w:tc>
        <w:tc>
          <w:tcPr>
            <w:tcW w:w="1123" w:type="dxa"/>
            <w:tcBorders>
              <w:top w:val="nil"/>
              <w:left w:val="nil"/>
              <w:bottom w:val="nil"/>
              <w:right w:val="nil"/>
            </w:tcBorders>
            <w:shd w:val="clear" w:color="auto" w:fill="auto"/>
            <w:vAlign w:val="center"/>
            <w:hideMark/>
          </w:tcPr>
          <w:p w14:paraId="129700E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54,11,417</w:t>
            </w:r>
          </w:p>
        </w:tc>
        <w:tc>
          <w:tcPr>
            <w:tcW w:w="1191" w:type="dxa"/>
            <w:tcBorders>
              <w:top w:val="nil"/>
              <w:left w:val="single" w:sz="8" w:space="0" w:color="auto"/>
              <w:bottom w:val="nil"/>
              <w:right w:val="single" w:sz="8" w:space="0" w:color="auto"/>
            </w:tcBorders>
            <w:shd w:val="clear" w:color="auto" w:fill="auto"/>
            <w:vAlign w:val="center"/>
            <w:hideMark/>
          </w:tcPr>
          <w:p w14:paraId="460A0B3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1,32,69,237</w:t>
            </w:r>
          </w:p>
        </w:tc>
        <w:tc>
          <w:tcPr>
            <w:tcW w:w="1071" w:type="dxa"/>
            <w:tcBorders>
              <w:top w:val="nil"/>
              <w:left w:val="nil"/>
              <w:bottom w:val="nil"/>
              <w:right w:val="nil"/>
            </w:tcBorders>
            <w:shd w:val="clear" w:color="auto" w:fill="auto"/>
            <w:vAlign w:val="center"/>
            <w:hideMark/>
          </w:tcPr>
          <w:p w14:paraId="0A5BFA8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56,455</w:t>
            </w:r>
          </w:p>
        </w:tc>
        <w:tc>
          <w:tcPr>
            <w:tcW w:w="1191" w:type="dxa"/>
            <w:tcBorders>
              <w:top w:val="nil"/>
              <w:left w:val="single" w:sz="8" w:space="0" w:color="auto"/>
              <w:bottom w:val="nil"/>
              <w:right w:val="single" w:sz="8" w:space="0" w:color="auto"/>
            </w:tcBorders>
            <w:shd w:val="clear" w:color="auto" w:fill="auto"/>
            <w:vAlign w:val="center"/>
            <w:hideMark/>
          </w:tcPr>
          <w:p w14:paraId="05A772A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6,04,65,065</w:t>
            </w:r>
          </w:p>
        </w:tc>
      </w:tr>
      <w:tr w:rsidR="003656FA" w:rsidRPr="003656FA" w14:paraId="09BAB774"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09EC1C6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Euronext</w:t>
            </w:r>
          </w:p>
        </w:tc>
        <w:tc>
          <w:tcPr>
            <w:tcW w:w="1202" w:type="dxa"/>
            <w:tcBorders>
              <w:top w:val="nil"/>
              <w:left w:val="nil"/>
              <w:bottom w:val="nil"/>
              <w:right w:val="single" w:sz="8" w:space="0" w:color="auto"/>
            </w:tcBorders>
            <w:shd w:val="clear" w:color="auto" w:fill="auto"/>
            <w:vAlign w:val="center"/>
            <w:hideMark/>
          </w:tcPr>
          <w:p w14:paraId="420A982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2" w:type="dxa"/>
            <w:tcBorders>
              <w:top w:val="nil"/>
              <w:left w:val="nil"/>
              <w:bottom w:val="nil"/>
              <w:right w:val="single" w:sz="8" w:space="0" w:color="auto"/>
            </w:tcBorders>
            <w:shd w:val="clear" w:color="auto" w:fill="auto"/>
            <w:vAlign w:val="center"/>
            <w:hideMark/>
          </w:tcPr>
          <w:p w14:paraId="2B7CBA6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nil"/>
            </w:tcBorders>
            <w:shd w:val="clear" w:color="auto" w:fill="auto"/>
            <w:vAlign w:val="center"/>
            <w:hideMark/>
          </w:tcPr>
          <w:p w14:paraId="6B0718B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0A4D146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1" w:type="dxa"/>
            <w:tcBorders>
              <w:top w:val="nil"/>
              <w:left w:val="nil"/>
              <w:bottom w:val="nil"/>
              <w:right w:val="nil"/>
            </w:tcBorders>
            <w:shd w:val="clear" w:color="auto" w:fill="auto"/>
            <w:vAlign w:val="center"/>
            <w:hideMark/>
          </w:tcPr>
          <w:p w14:paraId="4A13A1A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6E2E853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34DCC243"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5B1C9077"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Moscow Exchange</w:t>
            </w:r>
          </w:p>
        </w:tc>
        <w:tc>
          <w:tcPr>
            <w:tcW w:w="1202" w:type="dxa"/>
            <w:tcBorders>
              <w:top w:val="nil"/>
              <w:left w:val="nil"/>
              <w:bottom w:val="nil"/>
              <w:right w:val="single" w:sz="8" w:space="0" w:color="auto"/>
            </w:tcBorders>
            <w:shd w:val="clear" w:color="auto" w:fill="auto"/>
            <w:vAlign w:val="center"/>
            <w:hideMark/>
          </w:tcPr>
          <w:p w14:paraId="71DF0F5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1,14,84,910</w:t>
            </w:r>
          </w:p>
        </w:tc>
        <w:tc>
          <w:tcPr>
            <w:tcW w:w="1072" w:type="dxa"/>
            <w:tcBorders>
              <w:top w:val="nil"/>
              <w:left w:val="nil"/>
              <w:bottom w:val="nil"/>
              <w:right w:val="single" w:sz="8" w:space="0" w:color="auto"/>
            </w:tcBorders>
            <w:shd w:val="clear" w:color="auto" w:fill="auto"/>
            <w:vAlign w:val="center"/>
            <w:hideMark/>
          </w:tcPr>
          <w:p w14:paraId="155BEB2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3095.45</w:t>
            </w:r>
          </w:p>
        </w:tc>
        <w:tc>
          <w:tcPr>
            <w:tcW w:w="1123" w:type="dxa"/>
            <w:tcBorders>
              <w:top w:val="nil"/>
              <w:left w:val="nil"/>
              <w:bottom w:val="nil"/>
              <w:right w:val="nil"/>
            </w:tcBorders>
            <w:shd w:val="clear" w:color="auto" w:fill="auto"/>
            <w:vAlign w:val="center"/>
            <w:hideMark/>
          </w:tcPr>
          <w:p w14:paraId="0258DE5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11,32,684</w:t>
            </w:r>
          </w:p>
        </w:tc>
        <w:tc>
          <w:tcPr>
            <w:tcW w:w="1191" w:type="dxa"/>
            <w:tcBorders>
              <w:top w:val="nil"/>
              <w:left w:val="single" w:sz="8" w:space="0" w:color="auto"/>
              <w:bottom w:val="nil"/>
              <w:right w:val="single" w:sz="8" w:space="0" w:color="auto"/>
            </w:tcBorders>
            <w:shd w:val="clear" w:color="auto" w:fill="auto"/>
            <w:vAlign w:val="center"/>
            <w:hideMark/>
          </w:tcPr>
          <w:p w14:paraId="265722D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85,217</w:t>
            </w:r>
          </w:p>
        </w:tc>
        <w:tc>
          <w:tcPr>
            <w:tcW w:w="1071" w:type="dxa"/>
            <w:tcBorders>
              <w:top w:val="nil"/>
              <w:left w:val="nil"/>
              <w:bottom w:val="nil"/>
              <w:right w:val="nil"/>
            </w:tcBorders>
            <w:shd w:val="clear" w:color="auto" w:fill="auto"/>
            <w:vAlign w:val="center"/>
            <w:hideMark/>
          </w:tcPr>
          <w:p w14:paraId="77DFC35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w:t>
            </w:r>
          </w:p>
        </w:tc>
        <w:tc>
          <w:tcPr>
            <w:tcW w:w="1191" w:type="dxa"/>
            <w:tcBorders>
              <w:top w:val="nil"/>
              <w:left w:val="single" w:sz="8" w:space="0" w:color="auto"/>
              <w:bottom w:val="nil"/>
              <w:right w:val="single" w:sz="8" w:space="0" w:color="auto"/>
            </w:tcBorders>
            <w:shd w:val="clear" w:color="auto" w:fill="auto"/>
            <w:vAlign w:val="center"/>
            <w:hideMark/>
          </w:tcPr>
          <w:p w14:paraId="5E566E9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1,22,276</w:t>
            </w:r>
          </w:p>
        </w:tc>
      </w:tr>
      <w:tr w:rsidR="003656FA" w:rsidRPr="003656FA" w14:paraId="337D1B07"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14155B6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Nasdaq Nordic and Baltics</w:t>
            </w:r>
          </w:p>
        </w:tc>
        <w:tc>
          <w:tcPr>
            <w:tcW w:w="1202" w:type="dxa"/>
            <w:tcBorders>
              <w:top w:val="nil"/>
              <w:left w:val="nil"/>
              <w:bottom w:val="nil"/>
              <w:right w:val="single" w:sz="8" w:space="0" w:color="auto"/>
            </w:tcBorders>
            <w:shd w:val="clear" w:color="auto" w:fill="auto"/>
            <w:vAlign w:val="center"/>
            <w:hideMark/>
          </w:tcPr>
          <w:p w14:paraId="1260812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20,387</w:t>
            </w:r>
          </w:p>
        </w:tc>
        <w:tc>
          <w:tcPr>
            <w:tcW w:w="1072" w:type="dxa"/>
            <w:tcBorders>
              <w:top w:val="nil"/>
              <w:left w:val="nil"/>
              <w:bottom w:val="nil"/>
              <w:right w:val="single" w:sz="8" w:space="0" w:color="auto"/>
            </w:tcBorders>
            <w:shd w:val="clear" w:color="auto" w:fill="auto"/>
            <w:vAlign w:val="center"/>
            <w:hideMark/>
          </w:tcPr>
          <w:p w14:paraId="1B48270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36.51</w:t>
            </w:r>
          </w:p>
        </w:tc>
        <w:tc>
          <w:tcPr>
            <w:tcW w:w="1123" w:type="dxa"/>
            <w:tcBorders>
              <w:top w:val="nil"/>
              <w:left w:val="nil"/>
              <w:bottom w:val="nil"/>
              <w:right w:val="nil"/>
            </w:tcBorders>
            <w:shd w:val="clear" w:color="auto" w:fill="auto"/>
            <w:vAlign w:val="center"/>
            <w:hideMark/>
          </w:tcPr>
          <w:p w14:paraId="3A0E6AF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1,25,936</w:t>
            </w:r>
          </w:p>
        </w:tc>
        <w:tc>
          <w:tcPr>
            <w:tcW w:w="1191" w:type="dxa"/>
            <w:tcBorders>
              <w:top w:val="nil"/>
              <w:left w:val="single" w:sz="8" w:space="0" w:color="auto"/>
              <w:bottom w:val="nil"/>
              <w:right w:val="single" w:sz="8" w:space="0" w:color="auto"/>
            </w:tcBorders>
            <w:shd w:val="clear" w:color="auto" w:fill="auto"/>
            <w:vAlign w:val="center"/>
            <w:hideMark/>
          </w:tcPr>
          <w:p w14:paraId="562B939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10,65,310</w:t>
            </w:r>
          </w:p>
        </w:tc>
        <w:tc>
          <w:tcPr>
            <w:tcW w:w="1071" w:type="dxa"/>
            <w:tcBorders>
              <w:top w:val="nil"/>
              <w:left w:val="nil"/>
              <w:bottom w:val="nil"/>
              <w:right w:val="nil"/>
            </w:tcBorders>
            <w:shd w:val="clear" w:color="auto" w:fill="auto"/>
            <w:vAlign w:val="center"/>
            <w:hideMark/>
          </w:tcPr>
          <w:p w14:paraId="60CA420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1,950</w:t>
            </w:r>
          </w:p>
        </w:tc>
        <w:tc>
          <w:tcPr>
            <w:tcW w:w="1191" w:type="dxa"/>
            <w:tcBorders>
              <w:top w:val="nil"/>
              <w:left w:val="single" w:sz="8" w:space="0" w:color="auto"/>
              <w:bottom w:val="nil"/>
              <w:right w:val="single" w:sz="8" w:space="0" w:color="auto"/>
            </w:tcBorders>
            <w:shd w:val="clear" w:color="auto" w:fill="auto"/>
            <w:vAlign w:val="center"/>
            <w:hideMark/>
          </w:tcPr>
          <w:p w14:paraId="4A54D50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28,50,099</w:t>
            </w:r>
          </w:p>
        </w:tc>
      </w:tr>
      <w:tr w:rsidR="003656FA" w:rsidRPr="003656FA" w14:paraId="5C4E07BC"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618298D5"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Tehran Stock Exchange</w:t>
            </w:r>
          </w:p>
        </w:tc>
        <w:tc>
          <w:tcPr>
            <w:tcW w:w="1202" w:type="dxa"/>
            <w:tcBorders>
              <w:top w:val="nil"/>
              <w:left w:val="nil"/>
              <w:bottom w:val="nil"/>
              <w:right w:val="single" w:sz="8" w:space="0" w:color="auto"/>
            </w:tcBorders>
            <w:shd w:val="clear" w:color="auto" w:fill="auto"/>
            <w:vAlign w:val="center"/>
            <w:hideMark/>
          </w:tcPr>
          <w:p w14:paraId="6A2E138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2" w:type="dxa"/>
            <w:tcBorders>
              <w:top w:val="nil"/>
              <w:left w:val="nil"/>
              <w:bottom w:val="nil"/>
              <w:right w:val="single" w:sz="8" w:space="0" w:color="auto"/>
            </w:tcBorders>
            <w:shd w:val="clear" w:color="auto" w:fill="auto"/>
            <w:vAlign w:val="center"/>
            <w:hideMark/>
          </w:tcPr>
          <w:p w14:paraId="04B0B87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nil"/>
            </w:tcBorders>
            <w:shd w:val="clear" w:color="auto" w:fill="auto"/>
            <w:vAlign w:val="center"/>
            <w:hideMark/>
          </w:tcPr>
          <w:p w14:paraId="0AA1F94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02E44A1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4,17,062</w:t>
            </w:r>
          </w:p>
        </w:tc>
        <w:tc>
          <w:tcPr>
            <w:tcW w:w="1071" w:type="dxa"/>
            <w:tcBorders>
              <w:top w:val="nil"/>
              <w:left w:val="nil"/>
              <w:bottom w:val="nil"/>
              <w:right w:val="nil"/>
            </w:tcBorders>
            <w:shd w:val="clear" w:color="auto" w:fill="auto"/>
            <w:vAlign w:val="center"/>
            <w:hideMark/>
          </w:tcPr>
          <w:p w14:paraId="0AFC456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w:t>
            </w:r>
          </w:p>
        </w:tc>
        <w:tc>
          <w:tcPr>
            <w:tcW w:w="1191" w:type="dxa"/>
            <w:tcBorders>
              <w:top w:val="nil"/>
              <w:left w:val="single" w:sz="8" w:space="0" w:color="auto"/>
              <w:bottom w:val="nil"/>
              <w:right w:val="single" w:sz="8" w:space="0" w:color="auto"/>
            </w:tcBorders>
            <w:shd w:val="clear" w:color="auto" w:fill="auto"/>
            <w:vAlign w:val="center"/>
            <w:hideMark/>
          </w:tcPr>
          <w:p w14:paraId="0AFE63F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6A9707A8"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388BA26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Tel-Aviv Stock Exchange</w:t>
            </w:r>
          </w:p>
        </w:tc>
        <w:tc>
          <w:tcPr>
            <w:tcW w:w="1202" w:type="dxa"/>
            <w:tcBorders>
              <w:top w:val="nil"/>
              <w:left w:val="nil"/>
              <w:bottom w:val="nil"/>
              <w:right w:val="single" w:sz="8" w:space="0" w:color="auto"/>
            </w:tcBorders>
            <w:shd w:val="clear" w:color="auto" w:fill="auto"/>
            <w:vAlign w:val="center"/>
            <w:hideMark/>
          </w:tcPr>
          <w:p w14:paraId="5FE1F39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2" w:type="dxa"/>
            <w:tcBorders>
              <w:top w:val="nil"/>
              <w:left w:val="nil"/>
              <w:bottom w:val="nil"/>
              <w:right w:val="single" w:sz="8" w:space="0" w:color="auto"/>
            </w:tcBorders>
            <w:shd w:val="clear" w:color="auto" w:fill="auto"/>
            <w:vAlign w:val="center"/>
            <w:hideMark/>
          </w:tcPr>
          <w:p w14:paraId="7A4B3EE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nil"/>
            </w:tcBorders>
            <w:shd w:val="clear" w:color="auto" w:fill="auto"/>
            <w:vAlign w:val="center"/>
            <w:hideMark/>
          </w:tcPr>
          <w:p w14:paraId="33B8E33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56F23B0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83,681</w:t>
            </w:r>
          </w:p>
        </w:tc>
        <w:tc>
          <w:tcPr>
            <w:tcW w:w="1071" w:type="dxa"/>
            <w:tcBorders>
              <w:top w:val="nil"/>
              <w:left w:val="nil"/>
              <w:bottom w:val="nil"/>
              <w:right w:val="nil"/>
            </w:tcBorders>
            <w:shd w:val="clear" w:color="auto" w:fill="auto"/>
            <w:vAlign w:val="center"/>
            <w:hideMark/>
          </w:tcPr>
          <w:p w14:paraId="25CE76C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272</w:t>
            </w:r>
          </w:p>
        </w:tc>
        <w:tc>
          <w:tcPr>
            <w:tcW w:w="1191" w:type="dxa"/>
            <w:tcBorders>
              <w:top w:val="nil"/>
              <w:left w:val="single" w:sz="8" w:space="0" w:color="auto"/>
              <w:bottom w:val="nil"/>
              <w:right w:val="single" w:sz="8" w:space="0" w:color="auto"/>
            </w:tcBorders>
            <w:shd w:val="clear" w:color="auto" w:fill="auto"/>
            <w:vAlign w:val="center"/>
            <w:hideMark/>
          </w:tcPr>
          <w:p w14:paraId="7CAF427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24,678</w:t>
            </w:r>
          </w:p>
        </w:tc>
      </w:tr>
      <w:tr w:rsidR="003656FA" w:rsidRPr="003656FA" w14:paraId="121EBAA2" w14:textId="77777777" w:rsidTr="00A92684">
        <w:trPr>
          <w:trHeight w:val="259"/>
        </w:trPr>
        <w:tc>
          <w:tcPr>
            <w:tcW w:w="3178" w:type="dxa"/>
            <w:tcBorders>
              <w:top w:val="nil"/>
              <w:left w:val="single" w:sz="8" w:space="0" w:color="auto"/>
              <w:bottom w:val="nil"/>
              <w:right w:val="single" w:sz="8" w:space="0" w:color="auto"/>
            </w:tcBorders>
            <w:shd w:val="clear" w:color="000000" w:fill="B4C6E7"/>
            <w:vAlign w:val="center"/>
            <w:hideMark/>
          </w:tcPr>
          <w:p w14:paraId="3F0DAC3F"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Warsaw Stock Exchange</w:t>
            </w:r>
          </w:p>
        </w:tc>
        <w:tc>
          <w:tcPr>
            <w:tcW w:w="1202" w:type="dxa"/>
            <w:tcBorders>
              <w:top w:val="nil"/>
              <w:left w:val="nil"/>
              <w:bottom w:val="nil"/>
              <w:right w:val="single" w:sz="8" w:space="0" w:color="auto"/>
            </w:tcBorders>
            <w:shd w:val="clear" w:color="auto" w:fill="auto"/>
            <w:vAlign w:val="center"/>
            <w:hideMark/>
          </w:tcPr>
          <w:p w14:paraId="0A95BC2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1,55,223</w:t>
            </w:r>
          </w:p>
        </w:tc>
        <w:tc>
          <w:tcPr>
            <w:tcW w:w="1072" w:type="dxa"/>
            <w:tcBorders>
              <w:top w:val="nil"/>
              <w:left w:val="nil"/>
              <w:bottom w:val="nil"/>
              <w:right w:val="single" w:sz="8" w:space="0" w:color="auto"/>
            </w:tcBorders>
            <w:shd w:val="clear" w:color="auto" w:fill="auto"/>
            <w:vAlign w:val="center"/>
            <w:hideMark/>
          </w:tcPr>
          <w:p w14:paraId="2D60517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270.45</w:t>
            </w:r>
          </w:p>
        </w:tc>
        <w:tc>
          <w:tcPr>
            <w:tcW w:w="1123" w:type="dxa"/>
            <w:tcBorders>
              <w:top w:val="nil"/>
              <w:left w:val="nil"/>
              <w:bottom w:val="nil"/>
              <w:right w:val="nil"/>
            </w:tcBorders>
            <w:shd w:val="clear" w:color="auto" w:fill="auto"/>
            <w:vAlign w:val="center"/>
            <w:hideMark/>
          </w:tcPr>
          <w:p w14:paraId="6322945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38,315</w:t>
            </w:r>
          </w:p>
        </w:tc>
        <w:tc>
          <w:tcPr>
            <w:tcW w:w="1191" w:type="dxa"/>
            <w:tcBorders>
              <w:top w:val="nil"/>
              <w:left w:val="single" w:sz="8" w:space="0" w:color="auto"/>
              <w:bottom w:val="nil"/>
              <w:right w:val="single" w:sz="8" w:space="0" w:color="auto"/>
            </w:tcBorders>
            <w:shd w:val="clear" w:color="auto" w:fill="auto"/>
            <w:vAlign w:val="center"/>
            <w:hideMark/>
          </w:tcPr>
          <w:p w14:paraId="40A140A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1" w:type="dxa"/>
            <w:tcBorders>
              <w:top w:val="nil"/>
              <w:left w:val="nil"/>
              <w:bottom w:val="nil"/>
              <w:right w:val="nil"/>
            </w:tcBorders>
            <w:shd w:val="clear" w:color="auto" w:fill="auto"/>
            <w:vAlign w:val="center"/>
            <w:hideMark/>
          </w:tcPr>
          <w:p w14:paraId="0539C38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140EAD6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61A14D46" w14:textId="77777777" w:rsidTr="00A92684">
        <w:trPr>
          <w:trHeight w:val="272"/>
        </w:trPr>
        <w:tc>
          <w:tcPr>
            <w:tcW w:w="3178" w:type="dxa"/>
            <w:tcBorders>
              <w:top w:val="nil"/>
              <w:left w:val="single" w:sz="8" w:space="0" w:color="auto"/>
              <w:bottom w:val="nil"/>
              <w:right w:val="single" w:sz="8" w:space="0" w:color="auto"/>
            </w:tcBorders>
            <w:shd w:val="clear" w:color="000000" w:fill="B4C6E7"/>
            <w:vAlign w:val="center"/>
            <w:hideMark/>
          </w:tcPr>
          <w:p w14:paraId="3FEAA28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Dubai Gold and Commodities Exchange</w:t>
            </w:r>
          </w:p>
        </w:tc>
        <w:tc>
          <w:tcPr>
            <w:tcW w:w="1202" w:type="dxa"/>
            <w:tcBorders>
              <w:top w:val="nil"/>
              <w:left w:val="nil"/>
              <w:bottom w:val="nil"/>
              <w:right w:val="single" w:sz="8" w:space="0" w:color="auto"/>
            </w:tcBorders>
            <w:shd w:val="clear" w:color="auto" w:fill="auto"/>
            <w:vAlign w:val="center"/>
            <w:hideMark/>
          </w:tcPr>
          <w:p w14:paraId="27691DE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10,939</w:t>
            </w:r>
          </w:p>
        </w:tc>
        <w:tc>
          <w:tcPr>
            <w:tcW w:w="1072" w:type="dxa"/>
            <w:tcBorders>
              <w:top w:val="nil"/>
              <w:left w:val="nil"/>
              <w:bottom w:val="nil"/>
              <w:right w:val="single" w:sz="8" w:space="0" w:color="auto"/>
            </w:tcBorders>
            <w:shd w:val="clear" w:color="auto" w:fill="auto"/>
            <w:vAlign w:val="center"/>
            <w:hideMark/>
          </w:tcPr>
          <w:p w14:paraId="06AD2E7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21.43</w:t>
            </w:r>
          </w:p>
        </w:tc>
        <w:tc>
          <w:tcPr>
            <w:tcW w:w="1123" w:type="dxa"/>
            <w:tcBorders>
              <w:top w:val="nil"/>
              <w:left w:val="nil"/>
              <w:bottom w:val="nil"/>
              <w:right w:val="nil"/>
            </w:tcBorders>
            <w:shd w:val="clear" w:color="auto" w:fill="auto"/>
            <w:vAlign w:val="center"/>
            <w:hideMark/>
          </w:tcPr>
          <w:p w14:paraId="3CDC554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558</w:t>
            </w:r>
          </w:p>
        </w:tc>
        <w:tc>
          <w:tcPr>
            <w:tcW w:w="1191" w:type="dxa"/>
            <w:tcBorders>
              <w:top w:val="nil"/>
              <w:left w:val="single" w:sz="8" w:space="0" w:color="auto"/>
              <w:bottom w:val="nil"/>
              <w:right w:val="single" w:sz="8" w:space="0" w:color="auto"/>
            </w:tcBorders>
            <w:shd w:val="clear" w:color="auto" w:fill="auto"/>
            <w:vAlign w:val="center"/>
            <w:hideMark/>
          </w:tcPr>
          <w:p w14:paraId="6BBFB07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1" w:type="dxa"/>
            <w:tcBorders>
              <w:top w:val="nil"/>
              <w:left w:val="nil"/>
              <w:bottom w:val="nil"/>
              <w:right w:val="nil"/>
            </w:tcBorders>
            <w:shd w:val="clear" w:color="auto" w:fill="auto"/>
            <w:vAlign w:val="center"/>
            <w:hideMark/>
          </w:tcPr>
          <w:p w14:paraId="33E2EB1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single" w:sz="8" w:space="0" w:color="auto"/>
              <w:bottom w:val="nil"/>
              <w:right w:val="single" w:sz="8" w:space="0" w:color="auto"/>
            </w:tcBorders>
            <w:shd w:val="clear" w:color="auto" w:fill="auto"/>
            <w:vAlign w:val="center"/>
            <w:hideMark/>
          </w:tcPr>
          <w:p w14:paraId="23612A5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5D33D4AE" w14:textId="77777777" w:rsidTr="00A92684">
        <w:trPr>
          <w:trHeight w:val="272"/>
        </w:trPr>
        <w:tc>
          <w:tcPr>
            <w:tcW w:w="3178" w:type="dxa"/>
            <w:tcBorders>
              <w:top w:val="single" w:sz="8" w:space="0" w:color="auto"/>
              <w:left w:val="single" w:sz="8" w:space="0" w:color="auto"/>
              <w:bottom w:val="single" w:sz="8" w:space="0" w:color="auto"/>
              <w:right w:val="nil"/>
            </w:tcBorders>
            <w:shd w:val="clear" w:color="000000" w:fill="D9E1F2"/>
            <w:vAlign w:val="center"/>
            <w:hideMark/>
          </w:tcPr>
          <w:p w14:paraId="041E6D32"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Grand Total</w:t>
            </w:r>
          </w:p>
        </w:tc>
        <w:tc>
          <w:tcPr>
            <w:tcW w:w="1202"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1E4FC6D2"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30,51,94,963</w:t>
            </w:r>
          </w:p>
        </w:tc>
        <w:tc>
          <w:tcPr>
            <w:tcW w:w="1072" w:type="dxa"/>
            <w:tcBorders>
              <w:top w:val="single" w:sz="8" w:space="0" w:color="auto"/>
              <w:left w:val="nil"/>
              <w:bottom w:val="single" w:sz="8" w:space="0" w:color="auto"/>
              <w:right w:val="single" w:sz="8" w:space="0" w:color="auto"/>
            </w:tcBorders>
            <w:shd w:val="clear" w:color="000000" w:fill="D9E1F2"/>
            <w:vAlign w:val="center"/>
            <w:hideMark/>
          </w:tcPr>
          <w:p w14:paraId="758B2DD8"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3,20,811</w:t>
            </w:r>
          </w:p>
        </w:tc>
        <w:tc>
          <w:tcPr>
            <w:tcW w:w="1123" w:type="dxa"/>
            <w:tcBorders>
              <w:top w:val="single" w:sz="8" w:space="0" w:color="auto"/>
              <w:left w:val="nil"/>
              <w:bottom w:val="single" w:sz="8" w:space="0" w:color="auto"/>
              <w:right w:val="single" w:sz="8" w:space="0" w:color="auto"/>
            </w:tcBorders>
            <w:shd w:val="clear" w:color="000000" w:fill="D9E1F2"/>
            <w:vAlign w:val="center"/>
            <w:hideMark/>
          </w:tcPr>
          <w:p w14:paraId="776AA336"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3,48,62,553</w:t>
            </w:r>
          </w:p>
        </w:tc>
        <w:tc>
          <w:tcPr>
            <w:tcW w:w="1191" w:type="dxa"/>
            <w:tcBorders>
              <w:top w:val="single" w:sz="8" w:space="0" w:color="auto"/>
              <w:left w:val="nil"/>
              <w:bottom w:val="single" w:sz="8" w:space="0" w:color="auto"/>
              <w:right w:val="single" w:sz="8" w:space="0" w:color="auto"/>
            </w:tcBorders>
            <w:shd w:val="clear" w:color="000000" w:fill="D9E1F2"/>
            <w:vAlign w:val="center"/>
            <w:hideMark/>
          </w:tcPr>
          <w:p w14:paraId="5104569C"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48,39,01,618</w:t>
            </w:r>
          </w:p>
        </w:tc>
        <w:tc>
          <w:tcPr>
            <w:tcW w:w="1071" w:type="dxa"/>
            <w:tcBorders>
              <w:top w:val="single" w:sz="8" w:space="0" w:color="auto"/>
              <w:left w:val="nil"/>
              <w:bottom w:val="single" w:sz="8" w:space="0" w:color="auto"/>
              <w:right w:val="single" w:sz="8" w:space="0" w:color="auto"/>
            </w:tcBorders>
            <w:shd w:val="clear" w:color="000000" w:fill="D9E1F2"/>
            <w:vAlign w:val="center"/>
            <w:hideMark/>
          </w:tcPr>
          <w:p w14:paraId="2E7B9296"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14,50,656</w:t>
            </w:r>
          </w:p>
        </w:tc>
        <w:tc>
          <w:tcPr>
            <w:tcW w:w="1191" w:type="dxa"/>
            <w:tcBorders>
              <w:top w:val="single" w:sz="8" w:space="0" w:color="auto"/>
              <w:left w:val="nil"/>
              <w:bottom w:val="single" w:sz="8" w:space="0" w:color="auto"/>
              <w:right w:val="single" w:sz="8" w:space="0" w:color="auto"/>
            </w:tcBorders>
            <w:shd w:val="clear" w:color="000000" w:fill="D9E1F2"/>
            <w:vAlign w:val="center"/>
            <w:hideMark/>
          </w:tcPr>
          <w:p w14:paraId="55B35E41"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33,41,97,801</w:t>
            </w:r>
          </w:p>
        </w:tc>
      </w:tr>
    </w:tbl>
    <w:p w14:paraId="2872F4B9" w14:textId="77777777" w:rsidR="003656FA" w:rsidRPr="003656FA" w:rsidRDefault="003656FA" w:rsidP="003656FA">
      <w:pPr>
        <w:tabs>
          <w:tab w:val="left" w:pos="3306"/>
          <w:tab w:val="left" w:pos="4629"/>
          <w:tab w:val="left" w:pos="5685"/>
          <w:tab w:val="left" w:pos="6835"/>
          <w:tab w:val="left" w:pos="7999"/>
          <w:tab w:val="left" w:pos="9070"/>
        </w:tabs>
        <w:spacing w:line="23" w:lineRule="atLeast"/>
        <w:rPr>
          <w:rFonts w:ascii="Garamond" w:eastAsia="Times New Roman" w:hAnsi="Garamond" w:cs="Calibri"/>
          <w:color w:val="000000"/>
          <w:sz w:val="20"/>
          <w:szCs w:val="20"/>
          <w:lang w:val="en-IN" w:eastAsia="en-IN"/>
        </w:rPr>
      </w:pPr>
      <w:r w:rsidRPr="003656FA">
        <w:rPr>
          <w:rFonts w:ascii="Garamond" w:hAnsi="Garamond"/>
          <w:bCs/>
          <w:sz w:val="18"/>
          <w:szCs w:val="18"/>
        </w:rPr>
        <w:t>NA: Not Available</w:t>
      </w:r>
    </w:p>
    <w:p w14:paraId="5D232B0E" w14:textId="77777777" w:rsidR="003656FA" w:rsidRPr="003656FA" w:rsidRDefault="003656FA" w:rsidP="003656FA">
      <w:pPr>
        <w:tabs>
          <w:tab w:val="left" w:pos="3306"/>
          <w:tab w:val="left" w:pos="4629"/>
          <w:tab w:val="left" w:pos="5685"/>
          <w:tab w:val="left" w:pos="6835"/>
          <w:tab w:val="left" w:pos="7999"/>
          <w:tab w:val="left" w:pos="9070"/>
        </w:tabs>
        <w:spacing w:line="23" w:lineRule="atLeast"/>
        <w:rPr>
          <w:rFonts w:ascii="Garamond" w:hAnsi="Garamond"/>
          <w:bCs/>
          <w:sz w:val="18"/>
          <w:szCs w:val="18"/>
        </w:rPr>
      </w:pPr>
      <w:r w:rsidRPr="003656FA">
        <w:rPr>
          <w:rFonts w:ascii="Garamond" w:hAnsi="Garamond"/>
          <w:bCs/>
          <w:sz w:val="18"/>
          <w:szCs w:val="18"/>
        </w:rPr>
        <w:t>Source: World Federation of Exchanges</w:t>
      </w:r>
    </w:p>
    <w:p w14:paraId="2937ADBA" w14:textId="77777777" w:rsidR="003656FA" w:rsidRPr="003656FA" w:rsidRDefault="003656FA" w:rsidP="003656FA">
      <w:pPr>
        <w:rPr>
          <w:rFonts w:ascii="Garamond" w:eastAsia="Times New Roman" w:hAnsi="Garamond"/>
          <w:bCs/>
          <w:sz w:val="22"/>
          <w:szCs w:val="22"/>
          <w:lang w:val="en-US"/>
        </w:rPr>
      </w:pPr>
    </w:p>
    <w:p w14:paraId="581072CA" w14:textId="77777777" w:rsidR="003656FA" w:rsidRPr="003656FA" w:rsidRDefault="003656FA" w:rsidP="003656FA">
      <w:pPr>
        <w:rPr>
          <w:rFonts w:ascii="Garamond" w:eastAsia="Times New Roman" w:hAnsi="Garamond"/>
          <w:bCs/>
          <w:sz w:val="22"/>
          <w:szCs w:val="22"/>
          <w:lang w:val="en-US"/>
        </w:rPr>
      </w:pPr>
      <w:r w:rsidRPr="003656FA">
        <w:rPr>
          <w:rFonts w:ascii="Garamond" w:eastAsia="Times New Roman" w:hAnsi="Garamond"/>
          <w:bCs/>
          <w:sz w:val="22"/>
          <w:szCs w:val="22"/>
          <w:lang w:val="en-US"/>
        </w:rPr>
        <w:br w:type="page"/>
      </w:r>
    </w:p>
    <w:p w14:paraId="0A108E65" w14:textId="77777777" w:rsidR="003656FA" w:rsidRPr="003656FA" w:rsidRDefault="003656FA" w:rsidP="003656FA">
      <w:pPr>
        <w:spacing w:line="23" w:lineRule="atLeast"/>
        <w:rPr>
          <w:rFonts w:ascii="Garamond" w:eastAsia="Times New Roman" w:hAnsi="Garamond"/>
          <w:b/>
          <w:bCs/>
          <w:szCs w:val="22"/>
          <w:lang w:val="en-US"/>
        </w:rPr>
      </w:pPr>
      <w:r w:rsidRPr="003656FA">
        <w:rPr>
          <w:rFonts w:ascii="Garamond" w:eastAsia="Times New Roman" w:hAnsi="Garamond"/>
          <w:b/>
          <w:bCs/>
          <w:szCs w:val="22"/>
          <w:lang w:val="en-US"/>
        </w:rPr>
        <w:lastRenderedPageBreak/>
        <w:t xml:space="preserve">Table A5: Index Futures and Index Options Traded in Major Exchanges </w:t>
      </w:r>
    </w:p>
    <w:p w14:paraId="38337875" w14:textId="77777777" w:rsidR="003656FA" w:rsidRPr="003656FA" w:rsidRDefault="003656FA" w:rsidP="003656FA">
      <w:pPr>
        <w:spacing w:line="23" w:lineRule="atLeast"/>
        <w:ind w:right="249"/>
        <w:jc w:val="right"/>
        <w:rPr>
          <w:rFonts w:ascii="Garamond" w:eastAsia="Times New Roman" w:hAnsi="Garamond"/>
          <w:bCs/>
          <w:sz w:val="22"/>
          <w:szCs w:val="22"/>
          <w:lang w:val="en-US"/>
        </w:rPr>
      </w:pPr>
      <w:r w:rsidRPr="003656FA">
        <w:rPr>
          <w:rFonts w:ascii="Garamond" w:hAnsi="Garamond"/>
          <w:bCs/>
          <w:sz w:val="22"/>
          <w:szCs w:val="22"/>
        </w:rPr>
        <w:t>Notional Turnover in (USD million)</w:t>
      </w:r>
    </w:p>
    <w:tbl>
      <w:tblPr>
        <w:tblW w:w="9490" w:type="dxa"/>
        <w:tblLook w:val="04A0" w:firstRow="1" w:lastRow="0" w:firstColumn="1" w:lastColumn="0" w:noHBand="0" w:noVBand="1"/>
      </w:tblPr>
      <w:tblGrid>
        <w:gridCol w:w="2665"/>
        <w:gridCol w:w="1216"/>
        <w:gridCol w:w="1108"/>
        <w:gridCol w:w="1123"/>
        <w:gridCol w:w="1191"/>
        <w:gridCol w:w="1079"/>
        <w:gridCol w:w="1108"/>
      </w:tblGrid>
      <w:tr w:rsidR="003656FA" w:rsidRPr="003656FA" w14:paraId="640451B1" w14:textId="77777777" w:rsidTr="00A92684">
        <w:trPr>
          <w:trHeight w:val="252"/>
        </w:trPr>
        <w:tc>
          <w:tcPr>
            <w:tcW w:w="2665"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29A0EA16"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Exchange</w:t>
            </w:r>
          </w:p>
        </w:tc>
        <w:tc>
          <w:tcPr>
            <w:tcW w:w="6825" w:type="dxa"/>
            <w:gridSpan w:val="6"/>
            <w:tcBorders>
              <w:top w:val="single" w:sz="4" w:space="0" w:color="auto"/>
              <w:left w:val="nil"/>
              <w:bottom w:val="single" w:sz="4" w:space="0" w:color="auto"/>
              <w:right w:val="single" w:sz="4" w:space="0" w:color="auto"/>
            </w:tcBorders>
            <w:shd w:val="clear" w:color="000000" w:fill="B4C6E7"/>
            <w:vAlign w:val="center"/>
            <w:hideMark/>
          </w:tcPr>
          <w:p w14:paraId="1D410FB5"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Jul-20</w:t>
            </w:r>
          </w:p>
        </w:tc>
      </w:tr>
      <w:tr w:rsidR="003656FA" w:rsidRPr="003656FA" w14:paraId="63141965" w14:textId="77777777" w:rsidTr="00A92684">
        <w:trPr>
          <w:trHeight w:val="252"/>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14BEE352"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3447" w:type="dxa"/>
            <w:gridSpan w:val="3"/>
            <w:tcBorders>
              <w:top w:val="single" w:sz="4" w:space="0" w:color="auto"/>
              <w:left w:val="nil"/>
              <w:bottom w:val="single" w:sz="4" w:space="0" w:color="auto"/>
              <w:right w:val="single" w:sz="4" w:space="0" w:color="000000"/>
            </w:tcBorders>
            <w:shd w:val="clear" w:color="000000" w:fill="B4C6E7"/>
            <w:vAlign w:val="center"/>
            <w:hideMark/>
          </w:tcPr>
          <w:p w14:paraId="7A238977"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Stock Index Futures</w:t>
            </w:r>
          </w:p>
        </w:tc>
        <w:tc>
          <w:tcPr>
            <w:tcW w:w="3378" w:type="dxa"/>
            <w:gridSpan w:val="3"/>
            <w:tcBorders>
              <w:top w:val="single" w:sz="4" w:space="0" w:color="auto"/>
              <w:left w:val="single" w:sz="4" w:space="0" w:color="auto"/>
              <w:bottom w:val="single" w:sz="4" w:space="0" w:color="auto"/>
              <w:right w:val="single" w:sz="4" w:space="0" w:color="000000"/>
            </w:tcBorders>
            <w:shd w:val="clear" w:color="000000" w:fill="B4C6E7"/>
            <w:vAlign w:val="center"/>
            <w:hideMark/>
          </w:tcPr>
          <w:p w14:paraId="405DA1C7"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Stock Index Options</w:t>
            </w:r>
          </w:p>
        </w:tc>
      </w:tr>
      <w:tr w:rsidR="003656FA" w:rsidRPr="003656FA" w14:paraId="2F0AD144" w14:textId="77777777" w:rsidTr="00A92684">
        <w:trPr>
          <w:trHeight w:val="656"/>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151F2A2F"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216" w:type="dxa"/>
            <w:tcBorders>
              <w:top w:val="single" w:sz="4" w:space="0" w:color="auto"/>
              <w:left w:val="nil"/>
              <w:bottom w:val="single" w:sz="4" w:space="0" w:color="auto"/>
              <w:right w:val="single" w:sz="4" w:space="0" w:color="auto"/>
            </w:tcBorders>
            <w:shd w:val="clear" w:color="000000" w:fill="B4C6E7"/>
            <w:vAlign w:val="center"/>
            <w:hideMark/>
          </w:tcPr>
          <w:p w14:paraId="67A21587"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Number of</w:t>
            </w:r>
            <w:r w:rsidRPr="003656FA">
              <w:rPr>
                <w:rFonts w:ascii="Garamond" w:eastAsia="Times New Roman" w:hAnsi="Garamond" w:cs="Calibri"/>
                <w:b/>
                <w:bCs/>
                <w:color w:val="000000"/>
                <w:sz w:val="20"/>
                <w:szCs w:val="20"/>
                <w:lang w:val="en-IN" w:eastAsia="en-IN" w:bidi="hi-IN"/>
              </w:rPr>
              <w:br/>
              <w:t>Contracts Traded</w:t>
            </w:r>
          </w:p>
        </w:tc>
        <w:tc>
          <w:tcPr>
            <w:tcW w:w="1108" w:type="dxa"/>
            <w:tcBorders>
              <w:top w:val="single" w:sz="4" w:space="0" w:color="auto"/>
              <w:left w:val="nil"/>
              <w:bottom w:val="single" w:sz="4" w:space="0" w:color="auto"/>
              <w:right w:val="single" w:sz="4" w:space="0" w:color="auto"/>
            </w:tcBorders>
            <w:shd w:val="clear" w:color="000000" w:fill="B4C6E7"/>
            <w:vAlign w:val="center"/>
            <w:hideMark/>
          </w:tcPr>
          <w:p w14:paraId="5020CEAF"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Notional</w:t>
            </w:r>
            <w:r w:rsidRPr="003656FA">
              <w:rPr>
                <w:rFonts w:ascii="Garamond" w:eastAsia="Times New Roman" w:hAnsi="Garamond" w:cs="Calibri"/>
                <w:b/>
                <w:bCs/>
                <w:color w:val="000000"/>
                <w:sz w:val="20"/>
                <w:szCs w:val="20"/>
                <w:lang w:val="en-IN" w:eastAsia="en-IN" w:bidi="hi-IN"/>
              </w:rPr>
              <w:br/>
              <w:t>Turnover</w:t>
            </w:r>
          </w:p>
        </w:tc>
        <w:tc>
          <w:tcPr>
            <w:tcW w:w="1123" w:type="dxa"/>
            <w:tcBorders>
              <w:top w:val="single" w:sz="4" w:space="0" w:color="auto"/>
              <w:left w:val="nil"/>
              <w:bottom w:val="single" w:sz="4" w:space="0" w:color="auto"/>
              <w:right w:val="single" w:sz="4" w:space="0" w:color="auto"/>
            </w:tcBorders>
            <w:shd w:val="clear" w:color="000000" w:fill="B4C6E7"/>
            <w:vAlign w:val="center"/>
            <w:hideMark/>
          </w:tcPr>
          <w:p w14:paraId="15A5E5F8"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Open</w:t>
            </w:r>
            <w:r w:rsidRPr="003656FA">
              <w:rPr>
                <w:rFonts w:ascii="Garamond" w:eastAsia="Times New Roman" w:hAnsi="Garamond" w:cs="Calibri"/>
                <w:b/>
                <w:bCs/>
                <w:color w:val="000000"/>
                <w:sz w:val="20"/>
                <w:szCs w:val="20"/>
                <w:lang w:val="en-IN" w:eastAsia="en-IN" w:bidi="hi-IN"/>
              </w:rPr>
              <w:br/>
              <w:t>Interest</w:t>
            </w:r>
          </w:p>
        </w:tc>
        <w:tc>
          <w:tcPr>
            <w:tcW w:w="1191" w:type="dxa"/>
            <w:tcBorders>
              <w:top w:val="single" w:sz="4" w:space="0" w:color="auto"/>
              <w:left w:val="nil"/>
              <w:bottom w:val="single" w:sz="4" w:space="0" w:color="auto"/>
              <w:right w:val="single" w:sz="4" w:space="0" w:color="auto"/>
            </w:tcBorders>
            <w:shd w:val="clear" w:color="000000" w:fill="B4C6E7"/>
            <w:vAlign w:val="center"/>
            <w:hideMark/>
          </w:tcPr>
          <w:p w14:paraId="18741F22"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Number of</w:t>
            </w:r>
            <w:r w:rsidRPr="003656FA">
              <w:rPr>
                <w:rFonts w:ascii="Garamond" w:eastAsia="Times New Roman" w:hAnsi="Garamond" w:cs="Calibri"/>
                <w:b/>
                <w:bCs/>
                <w:color w:val="000000"/>
                <w:sz w:val="20"/>
                <w:szCs w:val="20"/>
                <w:lang w:val="en-IN" w:eastAsia="en-IN" w:bidi="hi-IN"/>
              </w:rPr>
              <w:br/>
              <w:t>Contracts Traded</w:t>
            </w:r>
          </w:p>
        </w:tc>
        <w:tc>
          <w:tcPr>
            <w:tcW w:w="1079" w:type="dxa"/>
            <w:tcBorders>
              <w:top w:val="single" w:sz="4" w:space="0" w:color="auto"/>
              <w:left w:val="nil"/>
              <w:bottom w:val="single" w:sz="4" w:space="0" w:color="auto"/>
              <w:right w:val="single" w:sz="4" w:space="0" w:color="auto"/>
            </w:tcBorders>
            <w:shd w:val="clear" w:color="000000" w:fill="B4C6E7"/>
            <w:vAlign w:val="center"/>
            <w:hideMark/>
          </w:tcPr>
          <w:p w14:paraId="39DB0C21"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Notional</w:t>
            </w:r>
            <w:r w:rsidRPr="003656FA">
              <w:rPr>
                <w:rFonts w:ascii="Garamond" w:eastAsia="Times New Roman" w:hAnsi="Garamond" w:cs="Calibri"/>
                <w:b/>
                <w:bCs/>
                <w:color w:val="000000"/>
                <w:sz w:val="20"/>
                <w:szCs w:val="20"/>
                <w:lang w:val="en-IN" w:eastAsia="en-IN" w:bidi="hi-IN"/>
              </w:rPr>
              <w:br/>
              <w:t>Turnover</w:t>
            </w:r>
          </w:p>
        </w:tc>
        <w:tc>
          <w:tcPr>
            <w:tcW w:w="1108" w:type="dxa"/>
            <w:tcBorders>
              <w:top w:val="single" w:sz="4" w:space="0" w:color="auto"/>
              <w:left w:val="nil"/>
              <w:bottom w:val="single" w:sz="4" w:space="0" w:color="auto"/>
              <w:right w:val="single" w:sz="4" w:space="0" w:color="auto"/>
            </w:tcBorders>
            <w:shd w:val="clear" w:color="000000" w:fill="B4C6E7"/>
            <w:vAlign w:val="center"/>
            <w:hideMark/>
          </w:tcPr>
          <w:p w14:paraId="236D3158"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Open</w:t>
            </w:r>
            <w:r w:rsidRPr="003656FA">
              <w:rPr>
                <w:rFonts w:ascii="Garamond" w:eastAsia="Times New Roman" w:hAnsi="Garamond" w:cs="Calibri"/>
                <w:b/>
                <w:bCs/>
                <w:color w:val="000000"/>
                <w:sz w:val="20"/>
                <w:szCs w:val="20"/>
                <w:lang w:val="en-IN" w:eastAsia="en-IN" w:bidi="hi-IN"/>
              </w:rPr>
              <w:br/>
              <w:t>Interest</w:t>
            </w:r>
          </w:p>
        </w:tc>
      </w:tr>
      <w:tr w:rsidR="003656FA" w:rsidRPr="003656FA" w14:paraId="5D372E90"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4D0ADE7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B3 - Brasil Bolsa Balcão</w:t>
            </w:r>
          </w:p>
        </w:tc>
        <w:tc>
          <w:tcPr>
            <w:tcW w:w="1216" w:type="dxa"/>
            <w:tcBorders>
              <w:top w:val="single" w:sz="8" w:space="0" w:color="auto"/>
              <w:left w:val="single" w:sz="8" w:space="0" w:color="auto"/>
              <w:bottom w:val="nil"/>
              <w:right w:val="single" w:sz="8" w:space="0" w:color="auto"/>
            </w:tcBorders>
            <w:shd w:val="clear" w:color="auto" w:fill="auto"/>
            <w:vAlign w:val="center"/>
            <w:hideMark/>
          </w:tcPr>
          <w:p w14:paraId="35046C7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27,31,60,103</w:t>
            </w:r>
          </w:p>
        </w:tc>
        <w:tc>
          <w:tcPr>
            <w:tcW w:w="1108" w:type="dxa"/>
            <w:tcBorders>
              <w:top w:val="single" w:sz="8" w:space="0" w:color="auto"/>
              <w:left w:val="nil"/>
              <w:bottom w:val="nil"/>
              <w:right w:val="single" w:sz="8" w:space="0" w:color="auto"/>
            </w:tcBorders>
            <w:shd w:val="clear" w:color="auto" w:fill="auto"/>
            <w:vAlign w:val="center"/>
            <w:hideMark/>
          </w:tcPr>
          <w:p w14:paraId="05C2F6A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11,16,356</w:t>
            </w:r>
          </w:p>
        </w:tc>
        <w:tc>
          <w:tcPr>
            <w:tcW w:w="1123" w:type="dxa"/>
            <w:tcBorders>
              <w:top w:val="single" w:sz="8" w:space="0" w:color="auto"/>
              <w:left w:val="nil"/>
              <w:bottom w:val="nil"/>
              <w:right w:val="single" w:sz="8" w:space="0" w:color="auto"/>
            </w:tcBorders>
            <w:shd w:val="clear" w:color="auto" w:fill="auto"/>
            <w:vAlign w:val="center"/>
            <w:hideMark/>
          </w:tcPr>
          <w:p w14:paraId="237CB56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13,21,062</w:t>
            </w:r>
          </w:p>
        </w:tc>
        <w:tc>
          <w:tcPr>
            <w:tcW w:w="1191" w:type="dxa"/>
            <w:tcBorders>
              <w:top w:val="single" w:sz="8" w:space="0" w:color="auto"/>
              <w:left w:val="nil"/>
              <w:bottom w:val="nil"/>
              <w:right w:val="single" w:sz="8" w:space="0" w:color="auto"/>
            </w:tcBorders>
            <w:shd w:val="clear" w:color="auto" w:fill="auto"/>
            <w:vAlign w:val="center"/>
            <w:hideMark/>
          </w:tcPr>
          <w:p w14:paraId="02477F9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53,03,523</w:t>
            </w:r>
          </w:p>
        </w:tc>
        <w:tc>
          <w:tcPr>
            <w:tcW w:w="1079" w:type="dxa"/>
            <w:tcBorders>
              <w:top w:val="single" w:sz="8" w:space="0" w:color="auto"/>
              <w:left w:val="nil"/>
              <w:bottom w:val="nil"/>
              <w:right w:val="single" w:sz="8" w:space="0" w:color="auto"/>
            </w:tcBorders>
            <w:shd w:val="clear" w:color="auto" w:fill="auto"/>
            <w:vAlign w:val="center"/>
            <w:hideMark/>
          </w:tcPr>
          <w:p w14:paraId="0BF5A70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35,230</w:t>
            </w:r>
          </w:p>
        </w:tc>
        <w:tc>
          <w:tcPr>
            <w:tcW w:w="1108" w:type="dxa"/>
            <w:tcBorders>
              <w:top w:val="single" w:sz="8" w:space="0" w:color="auto"/>
              <w:left w:val="nil"/>
              <w:bottom w:val="nil"/>
              <w:right w:val="single" w:sz="8" w:space="0" w:color="auto"/>
            </w:tcBorders>
            <w:shd w:val="clear" w:color="auto" w:fill="auto"/>
            <w:vAlign w:val="center"/>
            <w:hideMark/>
          </w:tcPr>
          <w:p w14:paraId="6A15B11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5,17,176</w:t>
            </w:r>
          </w:p>
        </w:tc>
      </w:tr>
      <w:tr w:rsidR="003656FA" w:rsidRPr="003656FA" w14:paraId="4C137510"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290220DB"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Bolsa de Valores de Colombia</w:t>
            </w:r>
          </w:p>
        </w:tc>
        <w:tc>
          <w:tcPr>
            <w:tcW w:w="1216" w:type="dxa"/>
            <w:tcBorders>
              <w:top w:val="nil"/>
              <w:left w:val="single" w:sz="8" w:space="0" w:color="auto"/>
              <w:bottom w:val="nil"/>
              <w:right w:val="single" w:sz="8" w:space="0" w:color="auto"/>
            </w:tcBorders>
            <w:shd w:val="clear" w:color="auto" w:fill="auto"/>
            <w:vAlign w:val="center"/>
            <w:hideMark/>
          </w:tcPr>
          <w:p w14:paraId="51B3438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3,605</w:t>
            </w:r>
          </w:p>
        </w:tc>
        <w:tc>
          <w:tcPr>
            <w:tcW w:w="1108" w:type="dxa"/>
            <w:tcBorders>
              <w:top w:val="nil"/>
              <w:left w:val="nil"/>
              <w:bottom w:val="nil"/>
              <w:right w:val="single" w:sz="8" w:space="0" w:color="auto"/>
            </w:tcBorders>
            <w:shd w:val="clear" w:color="auto" w:fill="auto"/>
            <w:vAlign w:val="center"/>
            <w:hideMark/>
          </w:tcPr>
          <w:p w14:paraId="6532874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w:t>
            </w:r>
          </w:p>
        </w:tc>
        <w:tc>
          <w:tcPr>
            <w:tcW w:w="1123" w:type="dxa"/>
            <w:tcBorders>
              <w:top w:val="nil"/>
              <w:left w:val="nil"/>
              <w:bottom w:val="nil"/>
              <w:right w:val="single" w:sz="8" w:space="0" w:color="auto"/>
            </w:tcBorders>
            <w:shd w:val="clear" w:color="auto" w:fill="auto"/>
            <w:vAlign w:val="center"/>
            <w:hideMark/>
          </w:tcPr>
          <w:p w14:paraId="5E7D9F7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4,941</w:t>
            </w:r>
          </w:p>
        </w:tc>
        <w:tc>
          <w:tcPr>
            <w:tcW w:w="1191" w:type="dxa"/>
            <w:tcBorders>
              <w:top w:val="nil"/>
              <w:left w:val="nil"/>
              <w:bottom w:val="nil"/>
              <w:right w:val="single" w:sz="8" w:space="0" w:color="auto"/>
            </w:tcBorders>
            <w:shd w:val="clear" w:color="auto" w:fill="auto"/>
            <w:vAlign w:val="center"/>
            <w:hideMark/>
          </w:tcPr>
          <w:p w14:paraId="145A7F4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9" w:type="dxa"/>
            <w:tcBorders>
              <w:top w:val="nil"/>
              <w:left w:val="nil"/>
              <w:bottom w:val="nil"/>
              <w:right w:val="single" w:sz="8" w:space="0" w:color="auto"/>
            </w:tcBorders>
            <w:shd w:val="clear" w:color="auto" w:fill="auto"/>
            <w:vAlign w:val="center"/>
            <w:hideMark/>
          </w:tcPr>
          <w:p w14:paraId="6ED2913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1F1A394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43B23FCD"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217EC9B8"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Bolsa Mexicana de Valores</w:t>
            </w:r>
          </w:p>
        </w:tc>
        <w:tc>
          <w:tcPr>
            <w:tcW w:w="1216" w:type="dxa"/>
            <w:tcBorders>
              <w:top w:val="nil"/>
              <w:left w:val="single" w:sz="8" w:space="0" w:color="auto"/>
              <w:bottom w:val="nil"/>
              <w:right w:val="single" w:sz="8" w:space="0" w:color="auto"/>
            </w:tcBorders>
            <w:shd w:val="clear" w:color="auto" w:fill="auto"/>
            <w:vAlign w:val="center"/>
            <w:hideMark/>
          </w:tcPr>
          <w:p w14:paraId="180D68B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33,314</w:t>
            </w:r>
          </w:p>
        </w:tc>
        <w:tc>
          <w:tcPr>
            <w:tcW w:w="1108" w:type="dxa"/>
            <w:tcBorders>
              <w:top w:val="nil"/>
              <w:left w:val="nil"/>
              <w:bottom w:val="nil"/>
              <w:right w:val="single" w:sz="8" w:space="0" w:color="auto"/>
            </w:tcBorders>
            <w:shd w:val="clear" w:color="auto" w:fill="auto"/>
            <w:vAlign w:val="center"/>
            <w:hideMark/>
          </w:tcPr>
          <w:p w14:paraId="557627C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553</w:t>
            </w:r>
          </w:p>
        </w:tc>
        <w:tc>
          <w:tcPr>
            <w:tcW w:w="1123" w:type="dxa"/>
            <w:tcBorders>
              <w:top w:val="nil"/>
              <w:left w:val="nil"/>
              <w:bottom w:val="nil"/>
              <w:right w:val="single" w:sz="8" w:space="0" w:color="auto"/>
            </w:tcBorders>
            <w:shd w:val="clear" w:color="auto" w:fill="auto"/>
            <w:vAlign w:val="center"/>
            <w:hideMark/>
          </w:tcPr>
          <w:p w14:paraId="30E05F6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23,375</w:t>
            </w:r>
          </w:p>
        </w:tc>
        <w:tc>
          <w:tcPr>
            <w:tcW w:w="1191" w:type="dxa"/>
            <w:tcBorders>
              <w:top w:val="nil"/>
              <w:left w:val="nil"/>
              <w:bottom w:val="nil"/>
              <w:right w:val="single" w:sz="8" w:space="0" w:color="auto"/>
            </w:tcBorders>
            <w:shd w:val="clear" w:color="auto" w:fill="auto"/>
            <w:vAlign w:val="center"/>
            <w:hideMark/>
          </w:tcPr>
          <w:p w14:paraId="2AB893B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491</w:t>
            </w:r>
          </w:p>
        </w:tc>
        <w:tc>
          <w:tcPr>
            <w:tcW w:w="1079" w:type="dxa"/>
            <w:tcBorders>
              <w:top w:val="nil"/>
              <w:left w:val="nil"/>
              <w:bottom w:val="nil"/>
              <w:right w:val="single" w:sz="8" w:space="0" w:color="auto"/>
            </w:tcBorders>
            <w:shd w:val="clear" w:color="auto" w:fill="auto"/>
            <w:vAlign w:val="center"/>
            <w:hideMark/>
          </w:tcPr>
          <w:p w14:paraId="0606934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w:t>
            </w:r>
          </w:p>
        </w:tc>
        <w:tc>
          <w:tcPr>
            <w:tcW w:w="1108" w:type="dxa"/>
            <w:tcBorders>
              <w:top w:val="nil"/>
              <w:left w:val="nil"/>
              <w:bottom w:val="nil"/>
              <w:right w:val="single" w:sz="8" w:space="0" w:color="auto"/>
            </w:tcBorders>
            <w:shd w:val="clear" w:color="auto" w:fill="auto"/>
            <w:vAlign w:val="center"/>
            <w:hideMark/>
          </w:tcPr>
          <w:p w14:paraId="454D5B3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256</w:t>
            </w:r>
          </w:p>
        </w:tc>
      </w:tr>
      <w:tr w:rsidR="003656FA" w:rsidRPr="003656FA" w14:paraId="47058C5A"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284672FE"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Bolsa y Mercados Argentinos</w:t>
            </w:r>
          </w:p>
        </w:tc>
        <w:tc>
          <w:tcPr>
            <w:tcW w:w="1216" w:type="dxa"/>
            <w:tcBorders>
              <w:top w:val="nil"/>
              <w:left w:val="single" w:sz="8" w:space="0" w:color="auto"/>
              <w:bottom w:val="nil"/>
              <w:right w:val="single" w:sz="8" w:space="0" w:color="auto"/>
            </w:tcBorders>
            <w:shd w:val="clear" w:color="auto" w:fill="auto"/>
            <w:vAlign w:val="center"/>
            <w:hideMark/>
          </w:tcPr>
          <w:p w14:paraId="31B633B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2,410</w:t>
            </w:r>
          </w:p>
        </w:tc>
        <w:tc>
          <w:tcPr>
            <w:tcW w:w="1108" w:type="dxa"/>
            <w:tcBorders>
              <w:top w:val="nil"/>
              <w:left w:val="nil"/>
              <w:bottom w:val="nil"/>
              <w:right w:val="single" w:sz="8" w:space="0" w:color="auto"/>
            </w:tcBorders>
            <w:shd w:val="clear" w:color="auto" w:fill="auto"/>
            <w:vAlign w:val="center"/>
            <w:hideMark/>
          </w:tcPr>
          <w:p w14:paraId="35EBE61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w:t>
            </w:r>
          </w:p>
        </w:tc>
        <w:tc>
          <w:tcPr>
            <w:tcW w:w="1123" w:type="dxa"/>
            <w:tcBorders>
              <w:top w:val="nil"/>
              <w:left w:val="nil"/>
              <w:bottom w:val="nil"/>
              <w:right w:val="single" w:sz="8" w:space="0" w:color="auto"/>
            </w:tcBorders>
            <w:shd w:val="clear" w:color="auto" w:fill="auto"/>
            <w:vAlign w:val="center"/>
            <w:hideMark/>
          </w:tcPr>
          <w:p w14:paraId="35E64FE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nil"/>
              <w:bottom w:val="nil"/>
              <w:right w:val="single" w:sz="8" w:space="0" w:color="auto"/>
            </w:tcBorders>
            <w:shd w:val="clear" w:color="auto" w:fill="auto"/>
            <w:vAlign w:val="center"/>
            <w:hideMark/>
          </w:tcPr>
          <w:p w14:paraId="5F93309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9" w:type="dxa"/>
            <w:tcBorders>
              <w:top w:val="nil"/>
              <w:left w:val="nil"/>
              <w:bottom w:val="nil"/>
              <w:right w:val="single" w:sz="8" w:space="0" w:color="auto"/>
            </w:tcBorders>
            <w:shd w:val="clear" w:color="auto" w:fill="auto"/>
            <w:vAlign w:val="center"/>
            <w:hideMark/>
          </w:tcPr>
          <w:p w14:paraId="2CBB35F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2512384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5562E908"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3AE6380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Cboe Global Markets</w:t>
            </w:r>
          </w:p>
        </w:tc>
        <w:tc>
          <w:tcPr>
            <w:tcW w:w="1216" w:type="dxa"/>
            <w:tcBorders>
              <w:top w:val="nil"/>
              <w:left w:val="single" w:sz="8" w:space="0" w:color="auto"/>
              <w:bottom w:val="nil"/>
              <w:right w:val="single" w:sz="8" w:space="0" w:color="auto"/>
            </w:tcBorders>
            <w:shd w:val="clear" w:color="auto" w:fill="auto"/>
            <w:vAlign w:val="center"/>
            <w:hideMark/>
          </w:tcPr>
          <w:p w14:paraId="2CFF5A0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5B2C917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single" w:sz="8" w:space="0" w:color="auto"/>
            </w:tcBorders>
            <w:shd w:val="clear" w:color="auto" w:fill="auto"/>
            <w:vAlign w:val="center"/>
            <w:hideMark/>
          </w:tcPr>
          <w:p w14:paraId="57D51F1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nil"/>
              <w:bottom w:val="nil"/>
              <w:right w:val="single" w:sz="8" w:space="0" w:color="auto"/>
            </w:tcBorders>
            <w:shd w:val="clear" w:color="auto" w:fill="auto"/>
            <w:vAlign w:val="center"/>
            <w:hideMark/>
          </w:tcPr>
          <w:p w14:paraId="2616197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2,90,57,332</w:t>
            </w:r>
          </w:p>
        </w:tc>
        <w:tc>
          <w:tcPr>
            <w:tcW w:w="1079" w:type="dxa"/>
            <w:tcBorders>
              <w:top w:val="nil"/>
              <w:left w:val="nil"/>
              <w:bottom w:val="nil"/>
              <w:right w:val="single" w:sz="8" w:space="0" w:color="auto"/>
            </w:tcBorders>
            <w:shd w:val="clear" w:color="auto" w:fill="auto"/>
            <w:vAlign w:val="center"/>
            <w:hideMark/>
          </w:tcPr>
          <w:p w14:paraId="38DC6E0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7B7512E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2,13,92,595</w:t>
            </w:r>
          </w:p>
        </w:tc>
      </w:tr>
      <w:tr w:rsidR="003656FA" w:rsidRPr="003656FA" w14:paraId="0BB9AE3A"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4E92ABE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Nasdaq - US</w:t>
            </w:r>
          </w:p>
        </w:tc>
        <w:tc>
          <w:tcPr>
            <w:tcW w:w="1216" w:type="dxa"/>
            <w:tcBorders>
              <w:top w:val="nil"/>
              <w:left w:val="single" w:sz="8" w:space="0" w:color="auto"/>
              <w:bottom w:val="nil"/>
              <w:right w:val="single" w:sz="8" w:space="0" w:color="auto"/>
            </w:tcBorders>
            <w:shd w:val="clear" w:color="auto" w:fill="auto"/>
            <w:vAlign w:val="center"/>
            <w:hideMark/>
          </w:tcPr>
          <w:p w14:paraId="6BD9882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1348DB5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single" w:sz="8" w:space="0" w:color="auto"/>
            </w:tcBorders>
            <w:shd w:val="clear" w:color="auto" w:fill="auto"/>
            <w:vAlign w:val="center"/>
            <w:hideMark/>
          </w:tcPr>
          <w:p w14:paraId="6D147C9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nil"/>
              <w:bottom w:val="nil"/>
              <w:right w:val="single" w:sz="8" w:space="0" w:color="auto"/>
            </w:tcBorders>
            <w:shd w:val="clear" w:color="auto" w:fill="auto"/>
            <w:vAlign w:val="center"/>
            <w:hideMark/>
          </w:tcPr>
          <w:p w14:paraId="45FC85B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3,05,946</w:t>
            </w:r>
          </w:p>
        </w:tc>
        <w:tc>
          <w:tcPr>
            <w:tcW w:w="1079" w:type="dxa"/>
            <w:tcBorders>
              <w:top w:val="nil"/>
              <w:left w:val="nil"/>
              <w:bottom w:val="nil"/>
              <w:right w:val="single" w:sz="8" w:space="0" w:color="auto"/>
            </w:tcBorders>
            <w:shd w:val="clear" w:color="auto" w:fill="auto"/>
            <w:vAlign w:val="center"/>
            <w:hideMark/>
          </w:tcPr>
          <w:p w14:paraId="03A2CE2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17CC17C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05DEF4E0"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6D5D94A0"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MIAX Exchange Group</w:t>
            </w:r>
          </w:p>
        </w:tc>
        <w:tc>
          <w:tcPr>
            <w:tcW w:w="1216" w:type="dxa"/>
            <w:tcBorders>
              <w:top w:val="nil"/>
              <w:left w:val="single" w:sz="8" w:space="0" w:color="auto"/>
              <w:bottom w:val="nil"/>
              <w:right w:val="single" w:sz="8" w:space="0" w:color="auto"/>
            </w:tcBorders>
            <w:shd w:val="clear" w:color="auto" w:fill="auto"/>
            <w:vAlign w:val="center"/>
            <w:hideMark/>
          </w:tcPr>
          <w:p w14:paraId="3A1BA8C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5225938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single" w:sz="8" w:space="0" w:color="auto"/>
            </w:tcBorders>
            <w:shd w:val="clear" w:color="auto" w:fill="auto"/>
            <w:vAlign w:val="center"/>
            <w:hideMark/>
          </w:tcPr>
          <w:p w14:paraId="0698C03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nil"/>
              <w:bottom w:val="nil"/>
              <w:right w:val="single" w:sz="8" w:space="0" w:color="auto"/>
            </w:tcBorders>
            <w:shd w:val="clear" w:color="auto" w:fill="auto"/>
            <w:vAlign w:val="center"/>
            <w:hideMark/>
          </w:tcPr>
          <w:p w14:paraId="2D11C2B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9" w:type="dxa"/>
            <w:tcBorders>
              <w:top w:val="nil"/>
              <w:left w:val="nil"/>
              <w:bottom w:val="nil"/>
              <w:right w:val="single" w:sz="8" w:space="0" w:color="auto"/>
            </w:tcBorders>
            <w:shd w:val="clear" w:color="auto" w:fill="auto"/>
            <w:vAlign w:val="center"/>
            <w:hideMark/>
          </w:tcPr>
          <w:p w14:paraId="1D68833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4D7E6B1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7F225371"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5564EC9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Matba Rofex</w:t>
            </w:r>
          </w:p>
        </w:tc>
        <w:tc>
          <w:tcPr>
            <w:tcW w:w="1216" w:type="dxa"/>
            <w:tcBorders>
              <w:top w:val="nil"/>
              <w:left w:val="single" w:sz="8" w:space="0" w:color="auto"/>
              <w:bottom w:val="nil"/>
              <w:right w:val="single" w:sz="8" w:space="0" w:color="auto"/>
            </w:tcBorders>
            <w:shd w:val="clear" w:color="auto" w:fill="auto"/>
            <w:vAlign w:val="center"/>
            <w:hideMark/>
          </w:tcPr>
          <w:p w14:paraId="1BD57E6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2,00,770</w:t>
            </w:r>
          </w:p>
        </w:tc>
        <w:tc>
          <w:tcPr>
            <w:tcW w:w="1108" w:type="dxa"/>
            <w:tcBorders>
              <w:top w:val="nil"/>
              <w:left w:val="nil"/>
              <w:bottom w:val="nil"/>
              <w:right w:val="single" w:sz="8" w:space="0" w:color="auto"/>
            </w:tcBorders>
            <w:shd w:val="clear" w:color="auto" w:fill="auto"/>
            <w:vAlign w:val="center"/>
            <w:hideMark/>
          </w:tcPr>
          <w:p w14:paraId="685F009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187</w:t>
            </w:r>
          </w:p>
        </w:tc>
        <w:tc>
          <w:tcPr>
            <w:tcW w:w="1123" w:type="dxa"/>
            <w:tcBorders>
              <w:top w:val="nil"/>
              <w:left w:val="nil"/>
              <w:bottom w:val="nil"/>
              <w:right w:val="single" w:sz="8" w:space="0" w:color="auto"/>
            </w:tcBorders>
            <w:shd w:val="clear" w:color="auto" w:fill="auto"/>
            <w:vAlign w:val="center"/>
            <w:hideMark/>
          </w:tcPr>
          <w:p w14:paraId="1FA5C20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15,192</w:t>
            </w:r>
          </w:p>
        </w:tc>
        <w:tc>
          <w:tcPr>
            <w:tcW w:w="1191" w:type="dxa"/>
            <w:tcBorders>
              <w:top w:val="nil"/>
              <w:left w:val="nil"/>
              <w:bottom w:val="nil"/>
              <w:right w:val="single" w:sz="8" w:space="0" w:color="auto"/>
            </w:tcBorders>
            <w:shd w:val="clear" w:color="auto" w:fill="auto"/>
            <w:vAlign w:val="center"/>
            <w:hideMark/>
          </w:tcPr>
          <w:p w14:paraId="35102F2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227</w:t>
            </w:r>
          </w:p>
        </w:tc>
        <w:tc>
          <w:tcPr>
            <w:tcW w:w="1079" w:type="dxa"/>
            <w:tcBorders>
              <w:top w:val="nil"/>
              <w:left w:val="nil"/>
              <w:bottom w:val="nil"/>
              <w:right w:val="single" w:sz="8" w:space="0" w:color="auto"/>
            </w:tcBorders>
            <w:shd w:val="clear" w:color="auto" w:fill="auto"/>
            <w:vAlign w:val="center"/>
            <w:hideMark/>
          </w:tcPr>
          <w:p w14:paraId="48ECB02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3B2E6D4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165</w:t>
            </w:r>
          </w:p>
        </w:tc>
      </w:tr>
      <w:tr w:rsidR="003656FA" w:rsidRPr="003656FA" w14:paraId="0F996153"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62E8076A"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CME Group</w:t>
            </w:r>
          </w:p>
        </w:tc>
        <w:tc>
          <w:tcPr>
            <w:tcW w:w="1216" w:type="dxa"/>
            <w:tcBorders>
              <w:top w:val="nil"/>
              <w:left w:val="single" w:sz="8" w:space="0" w:color="auto"/>
              <w:bottom w:val="nil"/>
              <w:right w:val="single" w:sz="8" w:space="0" w:color="auto"/>
            </w:tcBorders>
            <w:shd w:val="clear" w:color="auto" w:fill="auto"/>
            <w:vAlign w:val="center"/>
            <w:hideMark/>
          </w:tcPr>
          <w:p w14:paraId="7A7166F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10,14,07,591</w:t>
            </w:r>
          </w:p>
        </w:tc>
        <w:tc>
          <w:tcPr>
            <w:tcW w:w="1108" w:type="dxa"/>
            <w:tcBorders>
              <w:top w:val="nil"/>
              <w:left w:val="nil"/>
              <w:bottom w:val="nil"/>
              <w:right w:val="single" w:sz="8" w:space="0" w:color="auto"/>
            </w:tcBorders>
            <w:shd w:val="clear" w:color="auto" w:fill="auto"/>
            <w:vAlign w:val="center"/>
            <w:hideMark/>
          </w:tcPr>
          <w:p w14:paraId="6B87FC6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1,01,17,095</w:t>
            </w:r>
          </w:p>
        </w:tc>
        <w:tc>
          <w:tcPr>
            <w:tcW w:w="1123" w:type="dxa"/>
            <w:tcBorders>
              <w:top w:val="nil"/>
              <w:left w:val="nil"/>
              <w:bottom w:val="nil"/>
              <w:right w:val="single" w:sz="8" w:space="0" w:color="auto"/>
            </w:tcBorders>
            <w:shd w:val="clear" w:color="auto" w:fill="auto"/>
            <w:vAlign w:val="center"/>
            <w:hideMark/>
          </w:tcPr>
          <w:p w14:paraId="5AEBD49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44,74,592</w:t>
            </w:r>
          </w:p>
        </w:tc>
        <w:tc>
          <w:tcPr>
            <w:tcW w:w="1191" w:type="dxa"/>
            <w:tcBorders>
              <w:top w:val="nil"/>
              <w:left w:val="nil"/>
              <w:bottom w:val="nil"/>
              <w:right w:val="single" w:sz="8" w:space="0" w:color="auto"/>
            </w:tcBorders>
            <w:shd w:val="clear" w:color="auto" w:fill="auto"/>
            <w:vAlign w:val="center"/>
            <w:hideMark/>
          </w:tcPr>
          <w:p w14:paraId="24485DF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1,28,31,536</w:t>
            </w:r>
          </w:p>
        </w:tc>
        <w:tc>
          <w:tcPr>
            <w:tcW w:w="1079" w:type="dxa"/>
            <w:tcBorders>
              <w:top w:val="nil"/>
              <w:left w:val="nil"/>
              <w:bottom w:val="nil"/>
              <w:right w:val="single" w:sz="8" w:space="0" w:color="auto"/>
            </w:tcBorders>
            <w:shd w:val="clear" w:color="auto" w:fill="auto"/>
            <w:vAlign w:val="center"/>
            <w:hideMark/>
          </w:tcPr>
          <w:p w14:paraId="074A42F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22,39,409</w:t>
            </w:r>
          </w:p>
        </w:tc>
        <w:tc>
          <w:tcPr>
            <w:tcW w:w="1108" w:type="dxa"/>
            <w:tcBorders>
              <w:top w:val="nil"/>
              <w:left w:val="nil"/>
              <w:bottom w:val="nil"/>
              <w:right w:val="single" w:sz="8" w:space="0" w:color="auto"/>
            </w:tcBorders>
            <w:shd w:val="clear" w:color="auto" w:fill="auto"/>
            <w:vAlign w:val="center"/>
            <w:hideMark/>
          </w:tcPr>
          <w:p w14:paraId="46F712C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33,40,497</w:t>
            </w:r>
          </w:p>
        </w:tc>
      </w:tr>
      <w:tr w:rsidR="003656FA" w:rsidRPr="003656FA" w14:paraId="1CF79AC1"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0A3763A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Cboe Futures Exchange</w:t>
            </w:r>
          </w:p>
        </w:tc>
        <w:tc>
          <w:tcPr>
            <w:tcW w:w="1216" w:type="dxa"/>
            <w:tcBorders>
              <w:top w:val="nil"/>
              <w:left w:val="single" w:sz="8" w:space="0" w:color="auto"/>
              <w:bottom w:val="nil"/>
              <w:right w:val="single" w:sz="8" w:space="0" w:color="auto"/>
            </w:tcBorders>
            <w:shd w:val="clear" w:color="auto" w:fill="auto"/>
            <w:vAlign w:val="center"/>
            <w:hideMark/>
          </w:tcPr>
          <w:p w14:paraId="09F5CCF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31,56,652</w:t>
            </w:r>
          </w:p>
        </w:tc>
        <w:tc>
          <w:tcPr>
            <w:tcW w:w="1108" w:type="dxa"/>
            <w:tcBorders>
              <w:top w:val="nil"/>
              <w:left w:val="nil"/>
              <w:bottom w:val="nil"/>
              <w:right w:val="single" w:sz="8" w:space="0" w:color="auto"/>
            </w:tcBorders>
            <w:shd w:val="clear" w:color="auto" w:fill="auto"/>
            <w:vAlign w:val="center"/>
            <w:hideMark/>
          </w:tcPr>
          <w:p w14:paraId="35C5D3E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single" w:sz="8" w:space="0" w:color="auto"/>
            </w:tcBorders>
            <w:shd w:val="clear" w:color="auto" w:fill="auto"/>
            <w:vAlign w:val="center"/>
            <w:hideMark/>
          </w:tcPr>
          <w:p w14:paraId="015F6ED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2,70,667</w:t>
            </w:r>
          </w:p>
        </w:tc>
        <w:tc>
          <w:tcPr>
            <w:tcW w:w="1191" w:type="dxa"/>
            <w:tcBorders>
              <w:top w:val="nil"/>
              <w:left w:val="nil"/>
              <w:bottom w:val="nil"/>
              <w:right w:val="single" w:sz="8" w:space="0" w:color="auto"/>
            </w:tcBorders>
            <w:shd w:val="clear" w:color="auto" w:fill="auto"/>
            <w:vAlign w:val="center"/>
            <w:hideMark/>
          </w:tcPr>
          <w:p w14:paraId="452C9FE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9" w:type="dxa"/>
            <w:tcBorders>
              <w:top w:val="nil"/>
              <w:left w:val="nil"/>
              <w:bottom w:val="nil"/>
              <w:right w:val="single" w:sz="8" w:space="0" w:color="auto"/>
            </w:tcBorders>
            <w:shd w:val="clear" w:color="auto" w:fill="auto"/>
            <w:vAlign w:val="center"/>
            <w:hideMark/>
          </w:tcPr>
          <w:p w14:paraId="5BFF1A5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64A1599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0ECC337D"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61F892DC"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ASX Australian Securities Exchange</w:t>
            </w:r>
          </w:p>
        </w:tc>
        <w:tc>
          <w:tcPr>
            <w:tcW w:w="1216" w:type="dxa"/>
            <w:tcBorders>
              <w:top w:val="nil"/>
              <w:left w:val="single" w:sz="8" w:space="0" w:color="auto"/>
              <w:bottom w:val="nil"/>
              <w:right w:val="single" w:sz="8" w:space="0" w:color="auto"/>
            </w:tcBorders>
            <w:shd w:val="clear" w:color="auto" w:fill="auto"/>
            <w:vAlign w:val="center"/>
            <w:hideMark/>
          </w:tcPr>
          <w:p w14:paraId="1826FD5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9,45,827</w:t>
            </w:r>
          </w:p>
        </w:tc>
        <w:tc>
          <w:tcPr>
            <w:tcW w:w="1108" w:type="dxa"/>
            <w:tcBorders>
              <w:top w:val="nil"/>
              <w:left w:val="nil"/>
              <w:bottom w:val="nil"/>
              <w:right w:val="single" w:sz="8" w:space="0" w:color="auto"/>
            </w:tcBorders>
            <w:shd w:val="clear" w:color="auto" w:fill="auto"/>
            <w:vAlign w:val="center"/>
            <w:hideMark/>
          </w:tcPr>
          <w:p w14:paraId="2AD15F9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1,00,335</w:t>
            </w:r>
          </w:p>
        </w:tc>
        <w:tc>
          <w:tcPr>
            <w:tcW w:w="1123" w:type="dxa"/>
            <w:tcBorders>
              <w:top w:val="nil"/>
              <w:left w:val="nil"/>
              <w:bottom w:val="nil"/>
              <w:right w:val="single" w:sz="8" w:space="0" w:color="auto"/>
            </w:tcBorders>
            <w:shd w:val="clear" w:color="auto" w:fill="auto"/>
            <w:vAlign w:val="center"/>
            <w:hideMark/>
          </w:tcPr>
          <w:p w14:paraId="3D4C5EF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3,39,893</w:t>
            </w:r>
          </w:p>
        </w:tc>
        <w:tc>
          <w:tcPr>
            <w:tcW w:w="1191" w:type="dxa"/>
            <w:tcBorders>
              <w:top w:val="nil"/>
              <w:left w:val="nil"/>
              <w:bottom w:val="nil"/>
              <w:right w:val="single" w:sz="8" w:space="0" w:color="auto"/>
            </w:tcBorders>
            <w:shd w:val="clear" w:color="auto" w:fill="auto"/>
            <w:vAlign w:val="center"/>
            <w:hideMark/>
          </w:tcPr>
          <w:p w14:paraId="35E5394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5,34,521</w:t>
            </w:r>
          </w:p>
        </w:tc>
        <w:tc>
          <w:tcPr>
            <w:tcW w:w="1079" w:type="dxa"/>
            <w:tcBorders>
              <w:top w:val="nil"/>
              <w:left w:val="nil"/>
              <w:bottom w:val="nil"/>
              <w:right w:val="single" w:sz="8" w:space="0" w:color="auto"/>
            </w:tcBorders>
            <w:shd w:val="clear" w:color="auto" w:fill="auto"/>
            <w:vAlign w:val="center"/>
            <w:hideMark/>
          </w:tcPr>
          <w:p w14:paraId="35D2133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22,260</w:t>
            </w:r>
          </w:p>
        </w:tc>
        <w:tc>
          <w:tcPr>
            <w:tcW w:w="1108" w:type="dxa"/>
            <w:tcBorders>
              <w:top w:val="nil"/>
              <w:left w:val="nil"/>
              <w:bottom w:val="nil"/>
              <w:right w:val="single" w:sz="8" w:space="0" w:color="auto"/>
            </w:tcBorders>
            <w:shd w:val="clear" w:color="auto" w:fill="auto"/>
            <w:vAlign w:val="center"/>
            <w:hideMark/>
          </w:tcPr>
          <w:p w14:paraId="5737B29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6,87,940</w:t>
            </w:r>
          </w:p>
        </w:tc>
      </w:tr>
      <w:tr w:rsidR="003656FA" w:rsidRPr="003656FA" w14:paraId="656571EC"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4ADFFEF4"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Hong Kong Exchanges and Clearing</w:t>
            </w:r>
          </w:p>
        </w:tc>
        <w:tc>
          <w:tcPr>
            <w:tcW w:w="1216" w:type="dxa"/>
            <w:tcBorders>
              <w:top w:val="nil"/>
              <w:left w:val="single" w:sz="8" w:space="0" w:color="auto"/>
              <w:bottom w:val="nil"/>
              <w:right w:val="single" w:sz="8" w:space="0" w:color="auto"/>
            </w:tcBorders>
            <w:shd w:val="clear" w:color="auto" w:fill="auto"/>
            <w:vAlign w:val="center"/>
            <w:hideMark/>
          </w:tcPr>
          <w:p w14:paraId="0E44A77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1,07,38,843</w:t>
            </w:r>
          </w:p>
        </w:tc>
        <w:tc>
          <w:tcPr>
            <w:tcW w:w="1108" w:type="dxa"/>
            <w:tcBorders>
              <w:top w:val="nil"/>
              <w:left w:val="nil"/>
              <w:bottom w:val="nil"/>
              <w:right w:val="single" w:sz="8" w:space="0" w:color="auto"/>
            </w:tcBorders>
            <w:shd w:val="clear" w:color="auto" w:fill="auto"/>
            <w:vAlign w:val="center"/>
            <w:hideMark/>
          </w:tcPr>
          <w:p w14:paraId="7ADA3FD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9,67,570</w:t>
            </w:r>
          </w:p>
        </w:tc>
        <w:tc>
          <w:tcPr>
            <w:tcW w:w="1123" w:type="dxa"/>
            <w:tcBorders>
              <w:top w:val="nil"/>
              <w:left w:val="nil"/>
              <w:bottom w:val="nil"/>
              <w:right w:val="single" w:sz="8" w:space="0" w:color="auto"/>
            </w:tcBorders>
            <w:shd w:val="clear" w:color="auto" w:fill="auto"/>
            <w:vAlign w:val="center"/>
            <w:hideMark/>
          </w:tcPr>
          <w:p w14:paraId="21D1499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6,16,690</w:t>
            </w:r>
          </w:p>
        </w:tc>
        <w:tc>
          <w:tcPr>
            <w:tcW w:w="1191" w:type="dxa"/>
            <w:tcBorders>
              <w:top w:val="nil"/>
              <w:left w:val="nil"/>
              <w:bottom w:val="nil"/>
              <w:right w:val="single" w:sz="8" w:space="0" w:color="auto"/>
            </w:tcBorders>
            <w:shd w:val="clear" w:color="auto" w:fill="auto"/>
            <w:vAlign w:val="center"/>
            <w:hideMark/>
          </w:tcPr>
          <w:p w14:paraId="75002DB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37,39,224</w:t>
            </w:r>
          </w:p>
        </w:tc>
        <w:tc>
          <w:tcPr>
            <w:tcW w:w="1079" w:type="dxa"/>
            <w:tcBorders>
              <w:top w:val="nil"/>
              <w:left w:val="nil"/>
              <w:bottom w:val="nil"/>
              <w:right w:val="single" w:sz="8" w:space="0" w:color="auto"/>
            </w:tcBorders>
            <w:shd w:val="clear" w:color="auto" w:fill="auto"/>
            <w:vAlign w:val="center"/>
            <w:hideMark/>
          </w:tcPr>
          <w:p w14:paraId="22E7CBB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2,08,078</w:t>
            </w:r>
          </w:p>
        </w:tc>
        <w:tc>
          <w:tcPr>
            <w:tcW w:w="1108" w:type="dxa"/>
            <w:tcBorders>
              <w:top w:val="nil"/>
              <w:left w:val="nil"/>
              <w:bottom w:val="nil"/>
              <w:right w:val="single" w:sz="8" w:space="0" w:color="auto"/>
            </w:tcBorders>
            <w:shd w:val="clear" w:color="auto" w:fill="auto"/>
            <w:vAlign w:val="center"/>
            <w:hideMark/>
          </w:tcPr>
          <w:p w14:paraId="317EB7F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30,15,221</w:t>
            </w:r>
          </w:p>
        </w:tc>
      </w:tr>
      <w:tr w:rsidR="003656FA" w:rsidRPr="003656FA" w14:paraId="3A2F7AAA"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7FD06517"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Japan Exchange Group</w:t>
            </w:r>
          </w:p>
        </w:tc>
        <w:tc>
          <w:tcPr>
            <w:tcW w:w="1216" w:type="dxa"/>
            <w:tcBorders>
              <w:top w:val="nil"/>
              <w:left w:val="single" w:sz="8" w:space="0" w:color="auto"/>
              <w:bottom w:val="nil"/>
              <w:right w:val="single" w:sz="8" w:space="0" w:color="auto"/>
            </w:tcBorders>
            <w:shd w:val="clear" w:color="auto" w:fill="auto"/>
            <w:vAlign w:val="center"/>
            <w:hideMark/>
          </w:tcPr>
          <w:p w14:paraId="78C314F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2,58,83,572</w:t>
            </w:r>
          </w:p>
        </w:tc>
        <w:tc>
          <w:tcPr>
            <w:tcW w:w="1108" w:type="dxa"/>
            <w:tcBorders>
              <w:top w:val="nil"/>
              <w:left w:val="nil"/>
              <w:bottom w:val="nil"/>
              <w:right w:val="single" w:sz="8" w:space="0" w:color="auto"/>
            </w:tcBorders>
            <w:shd w:val="clear" w:color="auto" w:fill="auto"/>
            <w:vAlign w:val="center"/>
            <w:hideMark/>
          </w:tcPr>
          <w:p w14:paraId="6F076FD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9,93,284</w:t>
            </w:r>
          </w:p>
        </w:tc>
        <w:tc>
          <w:tcPr>
            <w:tcW w:w="1123" w:type="dxa"/>
            <w:tcBorders>
              <w:top w:val="nil"/>
              <w:left w:val="nil"/>
              <w:bottom w:val="nil"/>
              <w:right w:val="single" w:sz="8" w:space="0" w:color="auto"/>
            </w:tcBorders>
            <w:shd w:val="clear" w:color="auto" w:fill="auto"/>
            <w:vAlign w:val="center"/>
            <w:hideMark/>
          </w:tcPr>
          <w:p w14:paraId="0B5A628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18,91,014</w:t>
            </w:r>
          </w:p>
        </w:tc>
        <w:tc>
          <w:tcPr>
            <w:tcW w:w="1191" w:type="dxa"/>
            <w:tcBorders>
              <w:top w:val="nil"/>
              <w:left w:val="nil"/>
              <w:bottom w:val="nil"/>
              <w:right w:val="single" w:sz="8" w:space="0" w:color="auto"/>
            </w:tcBorders>
            <w:shd w:val="clear" w:color="auto" w:fill="auto"/>
            <w:vAlign w:val="center"/>
            <w:hideMark/>
          </w:tcPr>
          <w:p w14:paraId="25836DC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77,708</w:t>
            </w:r>
          </w:p>
        </w:tc>
        <w:tc>
          <w:tcPr>
            <w:tcW w:w="1079" w:type="dxa"/>
            <w:tcBorders>
              <w:top w:val="nil"/>
              <w:left w:val="nil"/>
              <w:bottom w:val="nil"/>
              <w:right w:val="single" w:sz="8" w:space="0" w:color="auto"/>
            </w:tcBorders>
            <w:shd w:val="clear" w:color="auto" w:fill="auto"/>
            <w:vAlign w:val="center"/>
            <w:hideMark/>
          </w:tcPr>
          <w:p w14:paraId="3E181C4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3E00A7B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66,825</w:t>
            </w:r>
          </w:p>
        </w:tc>
      </w:tr>
      <w:tr w:rsidR="003656FA" w:rsidRPr="003656FA" w14:paraId="2A7E196A"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4A819B68"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Korea Exchange</w:t>
            </w:r>
          </w:p>
        </w:tc>
        <w:tc>
          <w:tcPr>
            <w:tcW w:w="1216" w:type="dxa"/>
            <w:tcBorders>
              <w:top w:val="nil"/>
              <w:left w:val="single" w:sz="8" w:space="0" w:color="auto"/>
              <w:bottom w:val="nil"/>
              <w:right w:val="single" w:sz="8" w:space="0" w:color="auto"/>
            </w:tcBorders>
            <w:shd w:val="clear" w:color="auto" w:fill="auto"/>
            <w:vAlign w:val="center"/>
            <w:hideMark/>
          </w:tcPr>
          <w:p w14:paraId="6933C1D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94,72,623</w:t>
            </w:r>
          </w:p>
        </w:tc>
        <w:tc>
          <w:tcPr>
            <w:tcW w:w="1108" w:type="dxa"/>
            <w:tcBorders>
              <w:top w:val="nil"/>
              <w:left w:val="nil"/>
              <w:bottom w:val="nil"/>
              <w:right w:val="single" w:sz="8" w:space="0" w:color="auto"/>
            </w:tcBorders>
            <w:shd w:val="clear" w:color="auto" w:fill="auto"/>
            <w:vAlign w:val="center"/>
            <w:hideMark/>
          </w:tcPr>
          <w:p w14:paraId="01A045E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3,82,028</w:t>
            </w:r>
          </w:p>
        </w:tc>
        <w:tc>
          <w:tcPr>
            <w:tcW w:w="1123" w:type="dxa"/>
            <w:tcBorders>
              <w:top w:val="nil"/>
              <w:left w:val="nil"/>
              <w:bottom w:val="nil"/>
              <w:right w:val="single" w:sz="8" w:space="0" w:color="auto"/>
            </w:tcBorders>
            <w:shd w:val="clear" w:color="auto" w:fill="auto"/>
            <w:vAlign w:val="center"/>
            <w:hideMark/>
          </w:tcPr>
          <w:p w14:paraId="7CA5640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7,02,473</w:t>
            </w:r>
          </w:p>
        </w:tc>
        <w:tc>
          <w:tcPr>
            <w:tcW w:w="1191" w:type="dxa"/>
            <w:tcBorders>
              <w:top w:val="nil"/>
              <w:left w:val="nil"/>
              <w:bottom w:val="nil"/>
              <w:right w:val="single" w:sz="8" w:space="0" w:color="auto"/>
            </w:tcBorders>
            <w:shd w:val="clear" w:color="auto" w:fill="auto"/>
            <w:vAlign w:val="center"/>
            <w:hideMark/>
          </w:tcPr>
          <w:p w14:paraId="6FFAA56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4,75,40,766</w:t>
            </w:r>
          </w:p>
        </w:tc>
        <w:tc>
          <w:tcPr>
            <w:tcW w:w="1079" w:type="dxa"/>
            <w:tcBorders>
              <w:top w:val="nil"/>
              <w:left w:val="nil"/>
              <w:bottom w:val="nil"/>
              <w:right w:val="single" w:sz="8" w:space="0" w:color="auto"/>
            </w:tcBorders>
            <w:shd w:val="clear" w:color="auto" w:fill="auto"/>
            <w:vAlign w:val="center"/>
            <w:hideMark/>
          </w:tcPr>
          <w:p w14:paraId="7DA91FF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28,48,334</w:t>
            </w:r>
          </w:p>
        </w:tc>
        <w:tc>
          <w:tcPr>
            <w:tcW w:w="1108" w:type="dxa"/>
            <w:tcBorders>
              <w:top w:val="nil"/>
              <w:left w:val="nil"/>
              <w:bottom w:val="nil"/>
              <w:right w:val="single" w:sz="8" w:space="0" w:color="auto"/>
            </w:tcBorders>
            <w:shd w:val="clear" w:color="auto" w:fill="auto"/>
            <w:vAlign w:val="center"/>
            <w:hideMark/>
          </w:tcPr>
          <w:p w14:paraId="5C3CFB3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22,79,258</w:t>
            </w:r>
          </w:p>
        </w:tc>
      </w:tr>
      <w:tr w:rsidR="003656FA" w:rsidRPr="003656FA" w14:paraId="14509C04"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42A1C655"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National Stock Exchange of India</w:t>
            </w:r>
          </w:p>
        </w:tc>
        <w:tc>
          <w:tcPr>
            <w:tcW w:w="1216" w:type="dxa"/>
            <w:tcBorders>
              <w:top w:val="nil"/>
              <w:left w:val="single" w:sz="8" w:space="0" w:color="auto"/>
              <w:bottom w:val="nil"/>
              <w:right w:val="single" w:sz="8" w:space="0" w:color="auto"/>
            </w:tcBorders>
            <w:shd w:val="clear" w:color="auto" w:fill="auto"/>
            <w:vAlign w:val="center"/>
            <w:hideMark/>
          </w:tcPr>
          <w:p w14:paraId="5342880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1,17,72,248</w:t>
            </w:r>
          </w:p>
        </w:tc>
        <w:tc>
          <w:tcPr>
            <w:tcW w:w="1108" w:type="dxa"/>
            <w:tcBorders>
              <w:top w:val="nil"/>
              <w:left w:val="nil"/>
              <w:bottom w:val="nil"/>
              <w:right w:val="single" w:sz="8" w:space="0" w:color="auto"/>
            </w:tcBorders>
            <w:shd w:val="clear" w:color="auto" w:fill="auto"/>
            <w:vAlign w:val="center"/>
            <w:hideMark/>
          </w:tcPr>
          <w:p w14:paraId="3A68D2D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1,03,739</w:t>
            </w:r>
          </w:p>
        </w:tc>
        <w:tc>
          <w:tcPr>
            <w:tcW w:w="1123" w:type="dxa"/>
            <w:tcBorders>
              <w:top w:val="nil"/>
              <w:left w:val="nil"/>
              <w:bottom w:val="nil"/>
              <w:right w:val="single" w:sz="8" w:space="0" w:color="auto"/>
            </w:tcBorders>
            <w:shd w:val="clear" w:color="auto" w:fill="auto"/>
            <w:vAlign w:val="center"/>
            <w:hideMark/>
          </w:tcPr>
          <w:p w14:paraId="626CCC8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2,03,834</w:t>
            </w:r>
          </w:p>
        </w:tc>
        <w:tc>
          <w:tcPr>
            <w:tcW w:w="1191" w:type="dxa"/>
            <w:tcBorders>
              <w:top w:val="nil"/>
              <w:left w:val="nil"/>
              <w:bottom w:val="nil"/>
              <w:right w:val="single" w:sz="8" w:space="0" w:color="auto"/>
            </w:tcBorders>
            <w:shd w:val="clear" w:color="auto" w:fill="auto"/>
            <w:vAlign w:val="center"/>
            <w:hideMark/>
          </w:tcPr>
          <w:p w14:paraId="02EF5C1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65,89,19,790</w:t>
            </w:r>
          </w:p>
        </w:tc>
        <w:tc>
          <w:tcPr>
            <w:tcW w:w="1079" w:type="dxa"/>
            <w:tcBorders>
              <w:top w:val="nil"/>
              <w:left w:val="nil"/>
              <w:bottom w:val="nil"/>
              <w:right w:val="single" w:sz="8" w:space="0" w:color="auto"/>
            </w:tcBorders>
            <w:shd w:val="clear" w:color="auto" w:fill="auto"/>
            <w:vAlign w:val="center"/>
            <w:hideMark/>
          </w:tcPr>
          <w:p w14:paraId="33ADB52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52,69,240</w:t>
            </w:r>
          </w:p>
        </w:tc>
        <w:tc>
          <w:tcPr>
            <w:tcW w:w="1108" w:type="dxa"/>
            <w:tcBorders>
              <w:top w:val="nil"/>
              <w:left w:val="nil"/>
              <w:bottom w:val="nil"/>
              <w:right w:val="single" w:sz="8" w:space="0" w:color="auto"/>
            </w:tcBorders>
            <w:shd w:val="clear" w:color="auto" w:fill="auto"/>
            <w:vAlign w:val="center"/>
            <w:hideMark/>
          </w:tcPr>
          <w:p w14:paraId="2A0B733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19,77,816</w:t>
            </w:r>
          </w:p>
        </w:tc>
      </w:tr>
      <w:tr w:rsidR="003656FA" w:rsidRPr="003656FA" w14:paraId="5A5C2BD3"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737E096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Singapore Exchange</w:t>
            </w:r>
          </w:p>
        </w:tc>
        <w:tc>
          <w:tcPr>
            <w:tcW w:w="1216" w:type="dxa"/>
            <w:tcBorders>
              <w:top w:val="nil"/>
              <w:left w:val="single" w:sz="8" w:space="0" w:color="auto"/>
              <w:bottom w:val="nil"/>
              <w:right w:val="single" w:sz="8" w:space="0" w:color="auto"/>
            </w:tcBorders>
            <w:shd w:val="clear" w:color="auto" w:fill="auto"/>
            <w:vAlign w:val="center"/>
            <w:hideMark/>
          </w:tcPr>
          <w:p w14:paraId="453BF7A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1,93,52,530</w:t>
            </w:r>
          </w:p>
        </w:tc>
        <w:tc>
          <w:tcPr>
            <w:tcW w:w="1108" w:type="dxa"/>
            <w:tcBorders>
              <w:top w:val="nil"/>
              <w:left w:val="nil"/>
              <w:bottom w:val="nil"/>
              <w:right w:val="single" w:sz="8" w:space="0" w:color="auto"/>
            </w:tcBorders>
            <w:shd w:val="clear" w:color="auto" w:fill="auto"/>
            <w:vAlign w:val="center"/>
            <w:hideMark/>
          </w:tcPr>
          <w:p w14:paraId="2899B5D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single" w:sz="8" w:space="0" w:color="auto"/>
            </w:tcBorders>
            <w:shd w:val="clear" w:color="auto" w:fill="auto"/>
            <w:vAlign w:val="center"/>
            <w:hideMark/>
          </w:tcPr>
          <w:p w14:paraId="2BE1B49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17,61,235</w:t>
            </w:r>
          </w:p>
        </w:tc>
        <w:tc>
          <w:tcPr>
            <w:tcW w:w="1191" w:type="dxa"/>
            <w:tcBorders>
              <w:top w:val="nil"/>
              <w:left w:val="nil"/>
              <w:bottom w:val="nil"/>
              <w:right w:val="single" w:sz="8" w:space="0" w:color="auto"/>
            </w:tcBorders>
            <w:shd w:val="clear" w:color="auto" w:fill="auto"/>
            <w:vAlign w:val="center"/>
            <w:hideMark/>
          </w:tcPr>
          <w:p w14:paraId="0CDA33F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5,39,457</w:t>
            </w:r>
          </w:p>
        </w:tc>
        <w:tc>
          <w:tcPr>
            <w:tcW w:w="1079" w:type="dxa"/>
            <w:tcBorders>
              <w:top w:val="nil"/>
              <w:left w:val="nil"/>
              <w:bottom w:val="nil"/>
              <w:right w:val="single" w:sz="8" w:space="0" w:color="auto"/>
            </w:tcBorders>
            <w:shd w:val="clear" w:color="auto" w:fill="auto"/>
            <w:vAlign w:val="center"/>
            <w:hideMark/>
          </w:tcPr>
          <w:p w14:paraId="2A08512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1C1E883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20,45,749</w:t>
            </w:r>
          </w:p>
        </w:tc>
      </w:tr>
      <w:tr w:rsidR="003656FA" w:rsidRPr="003656FA" w14:paraId="7D481433"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1D0A1DF0"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Taiwan Futures Exchange</w:t>
            </w:r>
          </w:p>
        </w:tc>
        <w:tc>
          <w:tcPr>
            <w:tcW w:w="1216" w:type="dxa"/>
            <w:tcBorders>
              <w:top w:val="nil"/>
              <w:left w:val="single" w:sz="8" w:space="0" w:color="auto"/>
              <w:bottom w:val="nil"/>
              <w:right w:val="single" w:sz="8" w:space="0" w:color="auto"/>
            </w:tcBorders>
            <w:shd w:val="clear" w:color="auto" w:fill="auto"/>
            <w:vAlign w:val="center"/>
            <w:hideMark/>
          </w:tcPr>
          <w:p w14:paraId="282B435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98,13,556</w:t>
            </w:r>
          </w:p>
        </w:tc>
        <w:tc>
          <w:tcPr>
            <w:tcW w:w="1108" w:type="dxa"/>
            <w:tcBorders>
              <w:top w:val="nil"/>
              <w:left w:val="nil"/>
              <w:bottom w:val="nil"/>
              <w:right w:val="single" w:sz="8" w:space="0" w:color="auto"/>
            </w:tcBorders>
            <w:shd w:val="clear" w:color="auto" w:fill="auto"/>
            <w:vAlign w:val="center"/>
            <w:hideMark/>
          </w:tcPr>
          <w:p w14:paraId="1EC2976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4,67,420</w:t>
            </w:r>
          </w:p>
        </w:tc>
        <w:tc>
          <w:tcPr>
            <w:tcW w:w="1123" w:type="dxa"/>
            <w:tcBorders>
              <w:top w:val="nil"/>
              <w:left w:val="nil"/>
              <w:bottom w:val="nil"/>
              <w:right w:val="single" w:sz="8" w:space="0" w:color="auto"/>
            </w:tcBorders>
            <w:shd w:val="clear" w:color="auto" w:fill="auto"/>
            <w:vAlign w:val="center"/>
            <w:hideMark/>
          </w:tcPr>
          <w:p w14:paraId="2A37128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1,56,290</w:t>
            </w:r>
          </w:p>
        </w:tc>
        <w:tc>
          <w:tcPr>
            <w:tcW w:w="1191" w:type="dxa"/>
            <w:tcBorders>
              <w:top w:val="nil"/>
              <w:left w:val="nil"/>
              <w:bottom w:val="nil"/>
              <w:right w:val="single" w:sz="8" w:space="0" w:color="auto"/>
            </w:tcBorders>
            <w:shd w:val="clear" w:color="auto" w:fill="auto"/>
            <w:vAlign w:val="center"/>
            <w:hideMark/>
          </w:tcPr>
          <w:p w14:paraId="1DCD884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1,95,96,605</w:t>
            </w:r>
          </w:p>
        </w:tc>
        <w:tc>
          <w:tcPr>
            <w:tcW w:w="1079" w:type="dxa"/>
            <w:tcBorders>
              <w:top w:val="nil"/>
              <w:left w:val="nil"/>
              <w:bottom w:val="nil"/>
              <w:right w:val="single" w:sz="8" w:space="0" w:color="auto"/>
            </w:tcBorders>
            <w:shd w:val="clear" w:color="auto" w:fill="auto"/>
            <w:vAlign w:val="center"/>
            <w:hideMark/>
          </w:tcPr>
          <w:p w14:paraId="70F2B69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4,09,936</w:t>
            </w:r>
          </w:p>
        </w:tc>
        <w:tc>
          <w:tcPr>
            <w:tcW w:w="1108" w:type="dxa"/>
            <w:tcBorders>
              <w:top w:val="nil"/>
              <w:left w:val="nil"/>
              <w:bottom w:val="nil"/>
              <w:right w:val="single" w:sz="8" w:space="0" w:color="auto"/>
            </w:tcBorders>
            <w:shd w:val="clear" w:color="auto" w:fill="auto"/>
            <w:vAlign w:val="center"/>
            <w:hideMark/>
          </w:tcPr>
          <w:p w14:paraId="2A5440D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4,97,989</w:t>
            </w:r>
          </w:p>
        </w:tc>
      </w:tr>
      <w:tr w:rsidR="003656FA" w:rsidRPr="003656FA" w14:paraId="76BCECCE"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513BED2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Thailand Futures Exchange</w:t>
            </w:r>
          </w:p>
        </w:tc>
        <w:tc>
          <w:tcPr>
            <w:tcW w:w="1216" w:type="dxa"/>
            <w:tcBorders>
              <w:top w:val="nil"/>
              <w:left w:val="single" w:sz="8" w:space="0" w:color="auto"/>
              <w:bottom w:val="nil"/>
              <w:right w:val="single" w:sz="8" w:space="0" w:color="auto"/>
            </w:tcBorders>
            <w:shd w:val="clear" w:color="auto" w:fill="auto"/>
            <w:vAlign w:val="center"/>
            <w:hideMark/>
          </w:tcPr>
          <w:p w14:paraId="0305B82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33,68,225</w:t>
            </w:r>
          </w:p>
        </w:tc>
        <w:tc>
          <w:tcPr>
            <w:tcW w:w="1108" w:type="dxa"/>
            <w:tcBorders>
              <w:top w:val="nil"/>
              <w:left w:val="nil"/>
              <w:bottom w:val="nil"/>
              <w:right w:val="single" w:sz="8" w:space="0" w:color="auto"/>
            </w:tcBorders>
            <w:shd w:val="clear" w:color="auto" w:fill="auto"/>
            <w:vAlign w:val="center"/>
            <w:hideMark/>
          </w:tcPr>
          <w:p w14:paraId="0D757DF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single" w:sz="8" w:space="0" w:color="auto"/>
            </w:tcBorders>
            <w:shd w:val="clear" w:color="auto" w:fill="auto"/>
            <w:vAlign w:val="center"/>
            <w:hideMark/>
          </w:tcPr>
          <w:p w14:paraId="6F6F2EF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3,03,843</w:t>
            </w:r>
          </w:p>
        </w:tc>
        <w:tc>
          <w:tcPr>
            <w:tcW w:w="1191" w:type="dxa"/>
            <w:tcBorders>
              <w:top w:val="nil"/>
              <w:left w:val="nil"/>
              <w:bottom w:val="nil"/>
              <w:right w:val="single" w:sz="8" w:space="0" w:color="auto"/>
            </w:tcBorders>
            <w:shd w:val="clear" w:color="auto" w:fill="auto"/>
            <w:vAlign w:val="center"/>
            <w:hideMark/>
          </w:tcPr>
          <w:p w14:paraId="176AE68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96,571</w:t>
            </w:r>
          </w:p>
        </w:tc>
        <w:tc>
          <w:tcPr>
            <w:tcW w:w="1079" w:type="dxa"/>
            <w:tcBorders>
              <w:top w:val="nil"/>
              <w:left w:val="nil"/>
              <w:bottom w:val="nil"/>
              <w:right w:val="single" w:sz="8" w:space="0" w:color="auto"/>
            </w:tcBorders>
            <w:shd w:val="clear" w:color="auto" w:fill="auto"/>
            <w:vAlign w:val="center"/>
            <w:hideMark/>
          </w:tcPr>
          <w:p w14:paraId="7B1B50B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61F45DB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46,179</w:t>
            </w:r>
          </w:p>
        </w:tc>
      </w:tr>
      <w:tr w:rsidR="003656FA" w:rsidRPr="003656FA" w14:paraId="4F9689AF"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48D5902C"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Bursa Malaysia Derivatives</w:t>
            </w:r>
          </w:p>
        </w:tc>
        <w:tc>
          <w:tcPr>
            <w:tcW w:w="1216" w:type="dxa"/>
            <w:tcBorders>
              <w:top w:val="nil"/>
              <w:left w:val="single" w:sz="8" w:space="0" w:color="auto"/>
              <w:bottom w:val="nil"/>
              <w:right w:val="single" w:sz="8" w:space="0" w:color="auto"/>
            </w:tcBorders>
            <w:shd w:val="clear" w:color="auto" w:fill="auto"/>
            <w:vAlign w:val="center"/>
            <w:hideMark/>
          </w:tcPr>
          <w:p w14:paraId="4408D33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3,17,803</w:t>
            </w:r>
          </w:p>
        </w:tc>
        <w:tc>
          <w:tcPr>
            <w:tcW w:w="1108" w:type="dxa"/>
            <w:tcBorders>
              <w:top w:val="nil"/>
              <w:left w:val="nil"/>
              <w:bottom w:val="nil"/>
              <w:right w:val="single" w:sz="8" w:space="0" w:color="auto"/>
            </w:tcBorders>
            <w:shd w:val="clear" w:color="auto" w:fill="auto"/>
            <w:vAlign w:val="center"/>
            <w:hideMark/>
          </w:tcPr>
          <w:p w14:paraId="219B6F5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5,879</w:t>
            </w:r>
          </w:p>
        </w:tc>
        <w:tc>
          <w:tcPr>
            <w:tcW w:w="1123" w:type="dxa"/>
            <w:tcBorders>
              <w:top w:val="nil"/>
              <w:left w:val="nil"/>
              <w:bottom w:val="nil"/>
              <w:right w:val="single" w:sz="8" w:space="0" w:color="auto"/>
            </w:tcBorders>
            <w:shd w:val="clear" w:color="auto" w:fill="auto"/>
            <w:vAlign w:val="center"/>
            <w:hideMark/>
          </w:tcPr>
          <w:p w14:paraId="630A792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29,314</w:t>
            </w:r>
          </w:p>
        </w:tc>
        <w:tc>
          <w:tcPr>
            <w:tcW w:w="1191" w:type="dxa"/>
            <w:tcBorders>
              <w:top w:val="nil"/>
              <w:left w:val="nil"/>
              <w:bottom w:val="nil"/>
              <w:right w:val="single" w:sz="8" w:space="0" w:color="auto"/>
            </w:tcBorders>
            <w:shd w:val="clear" w:color="auto" w:fill="auto"/>
            <w:vAlign w:val="center"/>
            <w:hideMark/>
          </w:tcPr>
          <w:p w14:paraId="23D78BC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1,140</w:t>
            </w:r>
          </w:p>
        </w:tc>
        <w:tc>
          <w:tcPr>
            <w:tcW w:w="1079" w:type="dxa"/>
            <w:tcBorders>
              <w:top w:val="nil"/>
              <w:left w:val="nil"/>
              <w:bottom w:val="nil"/>
              <w:right w:val="single" w:sz="8" w:space="0" w:color="auto"/>
            </w:tcBorders>
            <w:shd w:val="clear" w:color="auto" w:fill="auto"/>
            <w:vAlign w:val="center"/>
            <w:hideMark/>
          </w:tcPr>
          <w:p w14:paraId="1F199E9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34E4FBA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363</w:t>
            </w:r>
          </w:p>
        </w:tc>
      </w:tr>
      <w:tr w:rsidR="003656FA" w:rsidRPr="003656FA" w14:paraId="1B3AE222"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5D2CE6DF"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China Financial Futures Exchange</w:t>
            </w:r>
          </w:p>
        </w:tc>
        <w:tc>
          <w:tcPr>
            <w:tcW w:w="1216" w:type="dxa"/>
            <w:tcBorders>
              <w:top w:val="nil"/>
              <w:left w:val="single" w:sz="8" w:space="0" w:color="auto"/>
              <w:bottom w:val="nil"/>
              <w:right w:val="single" w:sz="8" w:space="0" w:color="auto"/>
            </w:tcBorders>
            <w:shd w:val="clear" w:color="auto" w:fill="auto"/>
            <w:vAlign w:val="center"/>
            <w:hideMark/>
          </w:tcPr>
          <w:p w14:paraId="1EA1F33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97,84,560</w:t>
            </w:r>
          </w:p>
        </w:tc>
        <w:tc>
          <w:tcPr>
            <w:tcW w:w="1108" w:type="dxa"/>
            <w:tcBorders>
              <w:top w:val="nil"/>
              <w:left w:val="nil"/>
              <w:bottom w:val="nil"/>
              <w:right w:val="single" w:sz="8" w:space="0" w:color="auto"/>
            </w:tcBorders>
            <w:shd w:val="clear" w:color="auto" w:fill="auto"/>
            <w:vAlign w:val="center"/>
            <w:hideMark/>
          </w:tcPr>
          <w:p w14:paraId="45FC8F0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17,82,881</w:t>
            </w:r>
          </w:p>
        </w:tc>
        <w:tc>
          <w:tcPr>
            <w:tcW w:w="1123" w:type="dxa"/>
            <w:tcBorders>
              <w:top w:val="nil"/>
              <w:left w:val="nil"/>
              <w:bottom w:val="nil"/>
              <w:right w:val="single" w:sz="8" w:space="0" w:color="auto"/>
            </w:tcBorders>
            <w:shd w:val="clear" w:color="auto" w:fill="auto"/>
            <w:vAlign w:val="center"/>
            <w:hideMark/>
          </w:tcPr>
          <w:p w14:paraId="0506BCC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5,06,514</w:t>
            </w:r>
          </w:p>
        </w:tc>
        <w:tc>
          <w:tcPr>
            <w:tcW w:w="1191" w:type="dxa"/>
            <w:tcBorders>
              <w:top w:val="nil"/>
              <w:left w:val="nil"/>
              <w:bottom w:val="nil"/>
              <w:right w:val="single" w:sz="8" w:space="0" w:color="auto"/>
            </w:tcBorders>
            <w:shd w:val="clear" w:color="auto" w:fill="auto"/>
            <w:vAlign w:val="center"/>
            <w:hideMark/>
          </w:tcPr>
          <w:p w14:paraId="6E86017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24,88,145</w:t>
            </w:r>
          </w:p>
        </w:tc>
        <w:tc>
          <w:tcPr>
            <w:tcW w:w="1079" w:type="dxa"/>
            <w:tcBorders>
              <w:top w:val="nil"/>
              <w:left w:val="nil"/>
              <w:bottom w:val="nil"/>
              <w:right w:val="single" w:sz="8" w:space="0" w:color="auto"/>
            </w:tcBorders>
            <w:shd w:val="clear" w:color="auto" w:fill="auto"/>
            <w:vAlign w:val="center"/>
            <w:hideMark/>
          </w:tcPr>
          <w:p w14:paraId="25F2981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3,702</w:t>
            </w:r>
          </w:p>
        </w:tc>
        <w:tc>
          <w:tcPr>
            <w:tcW w:w="1108" w:type="dxa"/>
            <w:tcBorders>
              <w:top w:val="nil"/>
              <w:left w:val="nil"/>
              <w:bottom w:val="nil"/>
              <w:right w:val="single" w:sz="8" w:space="0" w:color="auto"/>
            </w:tcBorders>
            <w:shd w:val="clear" w:color="auto" w:fill="auto"/>
            <w:vAlign w:val="center"/>
            <w:hideMark/>
          </w:tcPr>
          <w:p w14:paraId="66C1287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1,20,452</w:t>
            </w:r>
          </w:p>
        </w:tc>
      </w:tr>
      <w:tr w:rsidR="003656FA" w:rsidRPr="003656FA" w14:paraId="38B7D55B"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3D01F7F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Athens Stock Exchange</w:t>
            </w:r>
          </w:p>
        </w:tc>
        <w:tc>
          <w:tcPr>
            <w:tcW w:w="1216" w:type="dxa"/>
            <w:tcBorders>
              <w:top w:val="nil"/>
              <w:left w:val="single" w:sz="8" w:space="0" w:color="auto"/>
              <w:bottom w:val="nil"/>
              <w:right w:val="single" w:sz="8" w:space="0" w:color="auto"/>
            </w:tcBorders>
            <w:shd w:val="clear" w:color="auto" w:fill="auto"/>
            <w:vAlign w:val="center"/>
            <w:hideMark/>
          </w:tcPr>
          <w:p w14:paraId="0F92686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37,627</w:t>
            </w:r>
          </w:p>
        </w:tc>
        <w:tc>
          <w:tcPr>
            <w:tcW w:w="1108" w:type="dxa"/>
            <w:tcBorders>
              <w:top w:val="nil"/>
              <w:left w:val="nil"/>
              <w:bottom w:val="nil"/>
              <w:right w:val="single" w:sz="8" w:space="0" w:color="auto"/>
            </w:tcBorders>
            <w:shd w:val="clear" w:color="auto" w:fill="auto"/>
            <w:vAlign w:val="center"/>
            <w:hideMark/>
          </w:tcPr>
          <w:p w14:paraId="7EBB9DD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137</w:t>
            </w:r>
          </w:p>
        </w:tc>
        <w:tc>
          <w:tcPr>
            <w:tcW w:w="1123" w:type="dxa"/>
            <w:tcBorders>
              <w:top w:val="nil"/>
              <w:left w:val="nil"/>
              <w:bottom w:val="nil"/>
              <w:right w:val="single" w:sz="8" w:space="0" w:color="auto"/>
            </w:tcBorders>
            <w:shd w:val="clear" w:color="auto" w:fill="auto"/>
            <w:vAlign w:val="center"/>
            <w:hideMark/>
          </w:tcPr>
          <w:p w14:paraId="7EA429C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4,690</w:t>
            </w:r>
          </w:p>
        </w:tc>
        <w:tc>
          <w:tcPr>
            <w:tcW w:w="1191" w:type="dxa"/>
            <w:tcBorders>
              <w:top w:val="nil"/>
              <w:left w:val="nil"/>
              <w:bottom w:val="nil"/>
              <w:right w:val="single" w:sz="8" w:space="0" w:color="auto"/>
            </w:tcBorders>
            <w:shd w:val="clear" w:color="auto" w:fill="auto"/>
            <w:vAlign w:val="center"/>
            <w:hideMark/>
          </w:tcPr>
          <w:p w14:paraId="7AE4D43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3,856</w:t>
            </w:r>
          </w:p>
        </w:tc>
        <w:tc>
          <w:tcPr>
            <w:tcW w:w="1079" w:type="dxa"/>
            <w:tcBorders>
              <w:top w:val="nil"/>
              <w:left w:val="nil"/>
              <w:bottom w:val="nil"/>
              <w:right w:val="single" w:sz="8" w:space="0" w:color="auto"/>
            </w:tcBorders>
            <w:shd w:val="clear" w:color="auto" w:fill="auto"/>
            <w:vAlign w:val="center"/>
            <w:hideMark/>
          </w:tcPr>
          <w:p w14:paraId="37AE697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w:t>
            </w:r>
          </w:p>
        </w:tc>
        <w:tc>
          <w:tcPr>
            <w:tcW w:w="1108" w:type="dxa"/>
            <w:tcBorders>
              <w:top w:val="nil"/>
              <w:left w:val="nil"/>
              <w:bottom w:val="nil"/>
              <w:right w:val="single" w:sz="8" w:space="0" w:color="auto"/>
            </w:tcBorders>
            <w:shd w:val="clear" w:color="auto" w:fill="auto"/>
            <w:vAlign w:val="center"/>
            <w:hideMark/>
          </w:tcPr>
          <w:p w14:paraId="3910130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1,267</w:t>
            </w:r>
          </w:p>
        </w:tc>
      </w:tr>
      <w:tr w:rsidR="003656FA" w:rsidRPr="003656FA" w14:paraId="61CD08CE"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7F80D2A8"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BME Spanish Exchanges</w:t>
            </w:r>
          </w:p>
        </w:tc>
        <w:tc>
          <w:tcPr>
            <w:tcW w:w="1216" w:type="dxa"/>
            <w:tcBorders>
              <w:top w:val="nil"/>
              <w:left w:val="single" w:sz="8" w:space="0" w:color="auto"/>
              <w:bottom w:val="nil"/>
              <w:right w:val="single" w:sz="8" w:space="0" w:color="auto"/>
            </w:tcBorders>
            <w:shd w:val="clear" w:color="auto" w:fill="auto"/>
            <w:vAlign w:val="center"/>
            <w:hideMark/>
          </w:tcPr>
          <w:p w14:paraId="0C1E65A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5,60,970</w:t>
            </w:r>
          </w:p>
        </w:tc>
        <w:tc>
          <w:tcPr>
            <w:tcW w:w="1108" w:type="dxa"/>
            <w:tcBorders>
              <w:top w:val="nil"/>
              <w:left w:val="nil"/>
              <w:bottom w:val="nil"/>
              <w:right w:val="single" w:sz="8" w:space="0" w:color="auto"/>
            </w:tcBorders>
            <w:shd w:val="clear" w:color="auto" w:fill="auto"/>
            <w:vAlign w:val="center"/>
            <w:hideMark/>
          </w:tcPr>
          <w:p w14:paraId="052D88D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40,060</w:t>
            </w:r>
          </w:p>
        </w:tc>
        <w:tc>
          <w:tcPr>
            <w:tcW w:w="1123" w:type="dxa"/>
            <w:tcBorders>
              <w:top w:val="nil"/>
              <w:left w:val="nil"/>
              <w:bottom w:val="nil"/>
              <w:right w:val="single" w:sz="8" w:space="0" w:color="auto"/>
            </w:tcBorders>
            <w:shd w:val="clear" w:color="auto" w:fill="auto"/>
            <w:vAlign w:val="center"/>
            <w:hideMark/>
          </w:tcPr>
          <w:p w14:paraId="3EE842A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1,09,092</w:t>
            </w:r>
          </w:p>
        </w:tc>
        <w:tc>
          <w:tcPr>
            <w:tcW w:w="1191" w:type="dxa"/>
            <w:tcBorders>
              <w:top w:val="nil"/>
              <w:left w:val="nil"/>
              <w:bottom w:val="nil"/>
              <w:right w:val="single" w:sz="8" w:space="0" w:color="auto"/>
            </w:tcBorders>
            <w:shd w:val="clear" w:color="auto" w:fill="auto"/>
            <w:vAlign w:val="center"/>
            <w:hideMark/>
          </w:tcPr>
          <w:p w14:paraId="6F52D01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1,03,800</w:t>
            </w:r>
          </w:p>
        </w:tc>
        <w:tc>
          <w:tcPr>
            <w:tcW w:w="1079" w:type="dxa"/>
            <w:tcBorders>
              <w:top w:val="nil"/>
              <w:left w:val="nil"/>
              <w:bottom w:val="nil"/>
              <w:right w:val="single" w:sz="8" w:space="0" w:color="auto"/>
            </w:tcBorders>
            <w:shd w:val="clear" w:color="auto" w:fill="auto"/>
            <w:vAlign w:val="center"/>
            <w:hideMark/>
          </w:tcPr>
          <w:p w14:paraId="570716F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839</w:t>
            </w:r>
          </w:p>
        </w:tc>
        <w:tc>
          <w:tcPr>
            <w:tcW w:w="1108" w:type="dxa"/>
            <w:tcBorders>
              <w:top w:val="nil"/>
              <w:left w:val="nil"/>
              <w:bottom w:val="nil"/>
              <w:right w:val="single" w:sz="8" w:space="0" w:color="auto"/>
            </w:tcBorders>
            <w:shd w:val="clear" w:color="auto" w:fill="auto"/>
            <w:vAlign w:val="center"/>
            <w:hideMark/>
          </w:tcPr>
          <w:p w14:paraId="4608FC8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6,40,072</w:t>
            </w:r>
          </w:p>
        </w:tc>
      </w:tr>
      <w:tr w:rsidR="003656FA" w:rsidRPr="003656FA" w14:paraId="51A4160A"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11D7BC67"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Borsa Istanbul</w:t>
            </w:r>
          </w:p>
        </w:tc>
        <w:tc>
          <w:tcPr>
            <w:tcW w:w="1216" w:type="dxa"/>
            <w:tcBorders>
              <w:top w:val="nil"/>
              <w:left w:val="single" w:sz="8" w:space="0" w:color="auto"/>
              <w:bottom w:val="nil"/>
              <w:right w:val="single" w:sz="8" w:space="0" w:color="auto"/>
            </w:tcBorders>
            <w:shd w:val="clear" w:color="auto" w:fill="auto"/>
            <w:vAlign w:val="center"/>
            <w:hideMark/>
          </w:tcPr>
          <w:p w14:paraId="1C636EA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65,62,981</w:t>
            </w:r>
          </w:p>
        </w:tc>
        <w:tc>
          <w:tcPr>
            <w:tcW w:w="1108" w:type="dxa"/>
            <w:tcBorders>
              <w:top w:val="nil"/>
              <w:left w:val="nil"/>
              <w:bottom w:val="nil"/>
              <w:right w:val="single" w:sz="8" w:space="0" w:color="auto"/>
            </w:tcBorders>
            <w:shd w:val="clear" w:color="auto" w:fill="auto"/>
            <w:vAlign w:val="center"/>
            <w:hideMark/>
          </w:tcPr>
          <w:p w14:paraId="2D99794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12,596</w:t>
            </w:r>
          </w:p>
        </w:tc>
        <w:tc>
          <w:tcPr>
            <w:tcW w:w="1123" w:type="dxa"/>
            <w:tcBorders>
              <w:top w:val="nil"/>
              <w:left w:val="nil"/>
              <w:bottom w:val="nil"/>
              <w:right w:val="single" w:sz="8" w:space="0" w:color="auto"/>
            </w:tcBorders>
            <w:shd w:val="clear" w:color="auto" w:fill="auto"/>
            <w:vAlign w:val="center"/>
            <w:hideMark/>
          </w:tcPr>
          <w:p w14:paraId="73CD720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4,90,871</w:t>
            </w:r>
          </w:p>
        </w:tc>
        <w:tc>
          <w:tcPr>
            <w:tcW w:w="1191" w:type="dxa"/>
            <w:tcBorders>
              <w:top w:val="nil"/>
              <w:left w:val="nil"/>
              <w:bottom w:val="nil"/>
              <w:right w:val="single" w:sz="8" w:space="0" w:color="auto"/>
            </w:tcBorders>
            <w:shd w:val="clear" w:color="auto" w:fill="auto"/>
            <w:vAlign w:val="center"/>
            <w:hideMark/>
          </w:tcPr>
          <w:p w14:paraId="2B9B5D7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11,951</w:t>
            </w:r>
          </w:p>
        </w:tc>
        <w:tc>
          <w:tcPr>
            <w:tcW w:w="1079" w:type="dxa"/>
            <w:tcBorders>
              <w:top w:val="nil"/>
              <w:left w:val="nil"/>
              <w:bottom w:val="nil"/>
              <w:right w:val="single" w:sz="8" w:space="0" w:color="auto"/>
            </w:tcBorders>
            <w:shd w:val="clear" w:color="auto" w:fill="auto"/>
            <w:vAlign w:val="center"/>
            <w:hideMark/>
          </w:tcPr>
          <w:p w14:paraId="025D74A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w:t>
            </w:r>
          </w:p>
        </w:tc>
        <w:tc>
          <w:tcPr>
            <w:tcW w:w="1108" w:type="dxa"/>
            <w:tcBorders>
              <w:top w:val="nil"/>
              <w:left w:val="nil"/>
              <w:bottom w:val="nil"/>
              <w:right w:val="single" w:sz="8" w:space="0" w:color="auto"/>
            </w:tcBorders>
            <w:shd w:val="clear" w:color="auto" w:fill="auto"/>
            <w:vAlign w:val="center"/>
            <w:hideMark/>
          </w:tcPr>
          <w:p w14:paraId="564FE22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15,951</w:t>
            </w:r>
          </w:p>
        </w:tc>
      </w:tr>
      <w:tr w:rsidR="003656FA" w:rsidRPr="003656FA" w14:paraId="2F350155"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1EEE51A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Budapest Stock Exchange</w:t>
            </w:r>
          </w:p>
        </w:tc>
        <w:tc>
          <w:tcPr>
            <w:tcW w:w="1216" w:type="dxa"/>
            <w:tcBorders>
              <w:top w:val="nil"/>
              <w:left w:val="single" w:sz="8" w:space="0" w:color="auto"/>
              <w:bottom w:val="nil"/>
              <w:right w:val="single" w:sz="8" w:space="0" w:color="auto"/>
            </w:tcBorders>
            <w:shd w:val="clear" w:color="auto" w:fill="auto"/>
            <w:vAlign w:val="center"/>
            <w:hideMark/>
          </w:tcPr>
          <w:p w14:paraId="37BE58B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30,952</w:t>
            </w:r>
          </w:p>
        </w:tc>
        <w:tc>
          <w:tcPr>
            <w:tcW w:w="1108" w:type="dxa"/>
            <w:tcBorders>
              <w:top w:val="nil"/>
              <w:left w:val="nil"/>
              <w:bottom w:val="nil"/>
              <w:right w:val="single" w:sz="8" w:space="0" w:color="auto"/>
            </w:tcBorders>
            <w:shd w:val="clear" w:color="auto" w:fill="auto"/>
            <w:vAlign w:val="center"/>
            <w:hideMark/>
          </w:tcPr>
          <w:p w14:paraId="1C5E4C6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w:t>
            </w:r>
          </w:p>
        </w:tc>
        <w:tc>
          <w:tcPr>
            <w:tcW w:w="1123" w:type="dxa"/>
            <w:tcBorders>
              <w:top w:val="nil"/>
              <w:left w:val="nil"/>
              <w:bottom w:val="nil"/>
              <w:right w:val="single" w:sz="8" w:space="0" w:color="auto"/>
            </w:tcBorders>
            <w:shd w:val="clear" w:color="auto" w:fill="auto"/>
            <w:vAlign w:val="center"/>
            <w:hideMark/>
          </w:tcPr>
          <w:p w14:paraId="68A6092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17,239</w:t>
            </w:r>
          </w:p>
        </w:tc>
        <w:tc>
          <w:tcPr>
            <w:tcW w:w="1191" w:type="dxa"/>
            <w:tcBorders>
              <w:top w:val="nil"/>
              <w:left w:val="nil"/>
              <w:bottom w:val="nil"/>
              <w:right w:val="single" w:sz="8" w:space="0" w:color="auto"/>
            </w:tcBorders>
            <w:shd w:val="clear" w:color="auto" w:fill="auto"/>
            <w:vAlign w:val="center"/>
            <w:hideMark/>
          </w:tcPr>
          <w:p w14:paraId="44B9C8B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9" w:type="dxa"/>
            <w:tcBorders>
              <w:top w:val="nil"/>
              <w:left w:val="nil"/>
              <w:bottom w:val="nil"/>
              <w:right w:val="single" w:sz="8" w:space="0" w:color="auto"/>
            </w:tcBorders>
            <w:shd w:val="clear" w:color="auto" w:fill="auto"/>
            <w:vAlign w:val="center"/>
            <w:hideMark/>
          </w:tcPr>
          <w:p w14:paraId="2655695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35B6570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670A2875"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1F80DB4B"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Deutsche Boerse AG</w:t>
            </w:r>
          </w:p>
        </w:tc>
        <w:tc>
          <w:tcPr>
            <w:tcW w:w="1216" w:type="dxa"/>
            <w:tcBorders>
              <w:top w:val="nil"/>
              <w:left w:val="single" w:sz="8" w:space="0" w:color="auto"/>
              <w:bottom w:val="nil"/>
              <w:right w:val="single" w:sz="8" w:space="0" w:color="auto"/>
            </w:tcBorders>
            <w:shd w:val="clear" w:color="auto" w:fill="auto"/>
            <w:vAlign w:val="center"/>
            <w:hideMark/>
          </w:tcPr>
          <w:p w14:paraId="2D6995A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3,26,72,785</w:t>
            </w:r>
          </w:p>
        </w:tc>
        <w:tc>
          <w:tcPr>
            <w:tcW w:w="1108" w:type="dxa"/>
            <w:tcBorders>
              <w:top w:val="nil"/>
              <w:left w:val="nil"/>
              <w:bottom w:val="nil"/>
              <w:right w:val="single" w:sz="8" w:space="0" w:color="auto"/>
            </w:tcBorders>
            <w:shd w:val="clear" w:color="auto" w:fill="auto"/>
            <w:vAlign w:val="center"/>
            <w:hideMark/>
          </w:tcPr>
          <w:p w14:paraId="469FE7F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17,73,079</w:t>
            </w:r>
          </w:p>
        </w:tc>
        <w:tc>
          <w:tcPr>
            <w:tcW w:w="1123" w:type="dxa"/>
            <w:tcBorders>
              <w:top w:val="nil"/>
              <w:left w:val="nil"/>
              <w:bottom w:val="nil"/>
              <w:right w:val="single" w:sz="8" w:space="0" w:color="auto"/>
            </w:tcBorders>
            <w:shd w:val="clear" w:color="auto" w:fill="auto"/>
            <w:vAlign w:val="center"/>
            <w:hideMark/>
          </w:tcPr>
          <w:p w14:paraId="7F939C1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1,07,74,931</w:t>
            </w:r>
          </w:p>
        </w:tc>
        <w:tc>
          <w:tcPr>
            <w:tcW w:w="1191" w:type="dxa"/>
            <w:tcBorders>
              <w:top w:val="nil"/>
              <w:left w:val="nil"/>
              <w:bottom w:val="nil"/>
              <w:right w:val="single" w:sz="8" w:space="0" w:color="auto"/>
            </w:tcBorders>
            <w:shd w:val="clear" w:color="auto" w:fill="auto"/>
            <w:vAlign w:val="center"/>
            <w:hideMark/>
          </w:tcPr>
          <w:p w14:paraId="5CD80D9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2,67,47,832</w:t>
            </w:r>
          </w:p>
        </w:tc>
        <w:tc>
          <w:tcPr>
            <w:tcW w:w="1079" w:type="dxa"/>
            <w:tcBorders>
              <w:top w:val="nil"/>
              <w:left w:val="nil"/>
              <w:bottom w:val="nil"/>
              <w:right w:val="single" w:sz="8" w:space="0" w:color="auto"/>
            </w:tcBorders>
            <w:shd w:val="clear" w:color="auto" w:fill="auto"/>
            <w:vAlign w:val="center"/>
            <w:hideMark/>
          </w:tcPr>
          <w:p w14:paraId="678F82E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9,73,467</w:t>
            </w:r>
          </w:p>
        </w:tc>
        <w:tc>
          <w:tcPr>
            <w:tcW w:w="1108" w:type="dxa"/>
            <w:tcBorders>
              <w:top w:val="nil"/>
              <w:left w:val="nil"/>
              <w:bottom w:val="nil"/>
              <w:right w:val="single" w:sz="8" w:space="0" w:color="auto"/>
            </w:tcBorders>
            <w:shd w:val="clear" w:color="auto" w:fill="auto"/>
            <w:vAlign w:val="center"/>
            <w:hideMark/>
          </w:tcPr>
          <w:p w14:paraId="079E82B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5,30,90,206</w:t>
            </w:r>
          </w:p>
        </w:tc>
      </w:tr>
      <w:tr w:rsidR="003656FA" w:rsidRPr="003656FA" w14:paraId="5819FA52"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0BBEF94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Euronext</w:t>
            </w:r>
          </w:p>
        </w:tc>
        <w:tc>
          <w:tcPr>
            <w:tcW w:w="1216" w:type="dxa"/>
            <w:tcBorders>
              <w:top w:val="nil"/>
              <w:left w:val="single" w:sz="8" w:space="0" w:color="auto"/>
              <w:bottom w:val="nil"/>
              <w:right w:val="single" w:sz="8" w:space="0" w:color="auto"/>
            </w:tcBorders>
            <w:shd w:val="clear" w:color="auto" w:fill="auto"/>
            <w:vAlign w:val="center"/>
            <w:hideMark/>
          </w:tcPr>
          <w:p w14:paraId="386D09E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4A21D43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single" w:sz="8" w:space="0" w:color="auto"/>
            </w:tcBorders>
            <w:shd w:val="clear" w:color="auto" w:fill="auto"/>
            <w:vAlign w:val="center"/>
            <w:hideMark/>
          </w:tcPr>
          <w:p w14:paraId="0ED6E7A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nil"/>
              <w:bottom w:val="nil"/>
              <w:right w:val="single" w:sz="8" w:space="0" w:color="auto"/>
            </w:tcBorders>
            <w:shd w:val="clear" w:color="auto" w:fill="auto"/>
            <w:vAlign w:val="center"/>
            <w:hideMark/>
          </w:tcPr>
          <w:p w14:paraId="658272F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79" w:type="dxa"/>
            <w:tcBorders>
              <w:top w:val="nil"/>
              <w:left w:val="nil"/>
              <w:bottom w:val="nil"/>
              <w:right w:val="single" w:sz="8" w:space="0" w:color="auto"/>
            </w:tcBorders>
            <w:shd w:val="clear" w:color="auto" w:fill="auto"/>
            <w:vAlign w:val="center"/>
            <w:hideMark/>
          </w:tcPr>
          <w:p w14:paraId="58818AD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7CB8C99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1B43A5F9"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77A5079C"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Moscow Exchange</w:t>
            </w:r>
          </w:p>
        </w:tc>
        <w:tc>
          <w:tcPr>
            <w:tcW w:w="1216" w:type="dxa"/>
            <w:tcBorders>
              <w:top w:val="nil"/>
              <w:left w:val="single" w:sz="8" w:space="0" w:color="auto"/>
              <w:bottom w:val="nil"/>
              <w:right w:val="single" w:sz="8" w:space="0" w:color="auto"/>
            </w:tcBorders>
            <w:shd w:val="clear" w:color="auto" w:fill="auto"/>
            <w:vAlign w:val="center"/>
            <w:hideMark/>
          </w:tcPr>
          <w:p w14:paraId="1121D42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1,19,62,724</w:t>
            </w:r>
          </w:p>
        </w:tc>
        <w:tc>
          <w:tcPr>
            <w:tcW w:w="1108" w:type="dxa"/>
            <w:tcBorders>
              <w:top w:val="nil"/>
              <w:left w:val="nil"/>
              <w:bottom w:val="nil"/>
              <w:right w:val="single" w:sz="8" w:space="0" w:color="auto"/>
            </w:tcBorders>
            <w:shd w:val="clear" w:color="auto" w:fill="auto"/>
            <w:vAlign w:val="center"/>
            <w:hideMark/>
          </w:tcPr>
          <w:p w14:paraId="59D38B3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27,764</w:t>
            </w:r>
          </w:p>
        </w:tc>
        <w:tc>
          <w:tcPr>
            <w:tcW w:w="1123" w:type="dxa"/>
            <w:tcBorders>
              <w:top w:val="nil"/>
              <w:left w:val="nil"/>
              <w:bottom w:val="nil"/>
              <w:right w:val="single" w:sz="8" w:space="0" w:color="auto"/>
            </w:tcBorders>
            <w:shd w:val="clear" w:color="auto" w:fill="auto"/>
            <w:vAlign w:val="center"/>
            <w:hideMark/>
          </w:tcPr>
          <w:p w14:paraId="238FC02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5,50,358</w:t>
            </w:r>
          </w:p>
        </w:tc>
        <w:tc>
          <w:tcPr>
            <w:tcW w:w="1191" w:type="dxa"/>
            <w:tcBorders>
              <w:top w:val="nil"/>
              <w:left w:val="nil"/>
              <w:bottom w:val="nil"/>
              <w:right w:val="single" w:sz="8" w:space="0" w:color="auto"/>
            </w:tcBorders>
            <w:shd w:val="clear" w:color="auto" w:fill="auto"/>
            <w:vAlign w:val="center"/>
            <w:hideMark/>
          </w:tcPr>
          <w:p w14:paraId="5CCB5A7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12,58,104</w:t>
            </w:r>
          </w:p>
        </w:tc>
        <w:tc>
          <w:tcPr>
            <w:tcW w:w="1079" w:type="dxa"/>
            <w:tcBorders>
              <w:top w:val="nil"/>
              <w:left w:val="nil"/>
              <w:bottom w:val="nil"/>
              <w:right w:val="single" w:sz="8" w:space="0" w:color="auto"/>
            </w:tcBorders>
            <w:shd w:val="clear" w:color="auto" w:fill="auto"/>
            <w:vAlign w:val="center"/>
            <w:hideMark/>
          </w:tcPr>
          <w:p w14:paraId="005AF10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2,950</w:t>
            </w:r>
          </w:p>
        </w:tc>
        <w:tc>
          <w:tcPr>
            <w:tcW w:w="1108" w:type="dxa"/>
            <w:tcBorders>
              <w:top w:val="nil"/>
              <w:left w:val="nil"/>
              <w:bottom w:val="nil"/>
              <w:right w:val="single" w:sz="8" w:space="0" w:color="auto"/>
            </w:tcBorders>
            <w:shd w:val="clear" w:color="auto" w:fill="auto"/>
            <w:vAlign w:val="center"/>
            <w:hideMark/>
          </w:tcPr>
          <w:p w14:paraId="3BDCA8C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3,82,146</w:t>
            </w:r>
          </w:p>
        </w:tc>
      </w:tr>
      <w:tr w:rsidR="003656FA" w:rsidRPr="003656FA" w14:paraId="2EE03125"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0D4314DB"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Nasdaq Nordic and Baltics</w:t>
            </w:r>
          </w:p>
        </w:tc>
        <w:tc>
          <w:tcPr>
            <w:tcW w:w="1216" w:type="dxa"/>
            <w:tcBorders>
              <w:top w:val="nil"/>
              <w:left w:val="single" w:sz="8" w:space="0" w:color="auto"/>
              <w:bottom w:val="nil"/>
              <w:right w:val="single" w:sz="8" w:space="0" w:color="auto"/>
            </w:tcBorders>
            <w:shd w:val="clear" w:color="auto" w:fill="auto"/>
            <w:vAlign w:val="center"/>
            <w:hideMark/>
          </w:tcPr>
          <w:p w14:paraId="6183CF6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30,76,968</w:t>
            </w:r>
          </w:p>
        </w:tc>
        <w:tc>
          <w:tcPr>
            <w:tcW w:w="1108" w:type="dxa"/>
            <w:tcBorders>
              <w:top w:val="nil"/>
              <w:left w:val="nil"/>
              <w:bottom w:val="nil"/>
              <w:right w:val="single" w:sz="8" w:space="0" w:color="auto"/>
            </w:tcBorders>
            <w:shd w:val="clear" w:color="auto" w:fill="auto"/>
            <w:vAlign w:val="center"/>
            <w:hideMark/>
          </w:tcPr>
          <w:p w14:paraId="18B884F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60,345</w:t>
            </w:r>
          </w:p>
        </w:tc>
        <w:tc>
          <w:tcPr>
            <w:tcW w:w="1123" w:type="dxa"/>
            <w:tcBorders>
              <w:top w:val="nil"/>
              <w:left w:val="nil"/>
              <w:bottom w:val="nil"/>
              <w:right w:val="single" w:sz="8" w:space="0" w:color="auto"/>
            </w:tcBorders>
            <w:shd w:val="clear" w:color="auto" w:fill="auto"/>
            <w:vAlign w:val="center"/>
            <w:hideMark/>
          </w:tcPr>
          <w:p w14:paraId="79D132A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4,64,227</w:t>
            </w:r>
          </w:p>
        </w:tc>
        <w:tc>
          <w:tcPr>
            <w:tcW w:w="1191" w:type="dxa"/>
            <w:tcBorders>
              <w:top w:val="nil"/>
              <w:left w:val="nil"/>
              <w:bottom w:val="nil"/>
              <w:right w:val="single" w:sz="8" w:space="0" w:color="auto"/>
            </w:tcBorders>
            <w:shd w:val="clear" w:color="auto" w:fill="auto"/>
            <w:vAlign w:val="center"/>
            <w:hideMark/>
          </w:tcPr>
          <w:p w14:paraId="6990D20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4,26,364</w:t>
            </w:r>
          </w:p>
        </w:tc>
        <w:tc>
          <w:tcPr>
            <w:tcW w:w="1079" w:type="dxa"/>
            <w:tcBorders>
              <w:top w:val="nil"/>
              <w:left w:val="nil"/>
              <w:bottom w:val="nil"/>
              <w:right w:val="single" w:sz="8" w:space="0" w:color="auto"/>
            </w:tcBorders>
            <w:shd w:val="clear" w:color="auto" w:fill="auto"/>
            <w:vAlign w:val="center"/>
            <w:hideMark/>
          </w:tcPr>
          <w:p w14:paraId="73D5907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8,432</w:t>
            </w:r>
          </w:p>
        </w:tc>
        <w:tc>
          <w:tcPr>
            <w:tcW w:w="1108" w:type="dxa"/>
            <w:tcBorders>
              <w:top w:val="nil"/>
              <w:left w:val="nil"/>
              <w:bottom w:val="nil"/>
              <w:right w:val="single" w:sz="8" w:space="0" w:color="auto"/>
            </w:tcBorders>
            <w:shd w:val="clear" w:color="auto" w:fill="auto"/>
            <w:vAlign w:val="center"/>
            <w:hideMark/>
          </w:tcPr>
          <w:p w14:paraId="6314C54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5,83,637</w:t>
            </w:r>
          </w:p>
        </w:tc>
      </w:tr>
      <w:tr w:rsidR="003656FA" w:rsidRPr="003656FA" w14:paraId="319235ED" w14:textId="77777777" w:rsidTr="00A92684">
        <w:trPr>
          <w:trHeight w:val="252"/>
        </w:trPr>
        <w:tc>
          <w:tcPr>
            <w:tcW w:w="2665" w:type="dxa"/>
            <w:tcBorders>
              <w:top w:val="nil"/>
              <w:left w:val="single" w:sz="4" w:space="0" w:color="auto"/>
              <w:bottom w:val="nil"/>
              <w:right w:val="nil"/>
            </w:tcBorders>
            <w:shd w:val="clear" w:color="000000" w:fill="B4C6E7"/>
            <w:vAlign w:val="center"/>
            <w:hideMark/>
          </w:tcPr>
          <w:p w14:paraId="69CA2CCF"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Tel-Aviv Stock Exchange</w:t>
            </w:r>
          </w:p>
        </w:tc>
        <w:tc>
          <w:tcPr>
            <w:tcW w:w="1216" w:type="dxa"/>
            <w:tcBorders>
              <w:top w:val="nil"/>
              <w:left w:val="single" w:sz="8" w:space="0" w:color="auto"/>
              <w:bottom w:val="nil"/>
              <w:right w:val="single" w:sz="8" w:space="0" w:color="auto"/>
            </w:tcBorders>
            <w:shd w:val="clear" w:color="auto" w:fill="auto"/>
            <w:vAlign w:val="center"/>
            <w:hideMark/>
          </w:tcPr>
          <w:p w14:paraId="0C25EF4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08" w:type="dxa"/>
            <w:tcBorders>
              <w:top w:val="nil"/>
              <w:left w:val="nil"/>
              <w:bottom w:val="nil"/>
              <w:right w:val="single" w:sz="8" w:space="0" w:color="auto"/>
            </w:tcBorders>
            <w:shd w:val="clear" w:color="auto" w:fill="auto"/>
            <w:vAlign w:val="center"/>
            <w:hideMark/>
          </w:tcPr>
          <w:p w14:paraId="2658FD6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23" w:type="dxa"/>
            <w:tcBorders>
              <w:top w:val="nil"/>
              <w:left w:val="nil"/>
              <w:bottom w:val="nil"/>
              <w:right w:val="single" w:sz="8" w:space="0" w:color="auto"/>
            </w:tcBorders>
            <w:shd w:val="clear" w:color="auto" w:fill="auto"/>
            <w:vAlign w:val="center"/>
            <w:hideMark/>
          </w:tcPr>
          <w:p w14:paraId="3EFD983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191" w:type="dxa"/>
            <w:tcBorders>
              <w:top w:val="nil"/>
              <w:left w:val="nil"/>
              <w:bottom w:val="nil"/>
              <w:right w:val="single" w:sz="8" w:space="0" w:color="auto"/>
            </w:tcBorders>
            <w:shd w:val="clear" w:color="auto" w:fill="auto"/>
            <w:vAlign w:val="center"/>
            <w:hideMark/>
          </w:tcPr>
          <w:p w14:paraId="21C4E98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23,86,845</w:t>
            </w:r>
          </w:p>
        </w:tc>
        <w:tc>
          <w:tcPr>
            <w:tcW w:w="1079" w:type="dxa"/>
            <w:tcBorders>
              <w:top w:val="nil"/>
              <w:left w:val="nil"/>
              <w:bottom w:val="nil"/>
              <w:right w:val="single" w:sz="8" w:space="0" w:color="auto"/>
            </w:tcBorders>
            <w:shd w:val="clear" w:color="auto" w:fill="auto"/>
            <w:vAlign w:val="center"/>
            <w:hideMark/>
          </w:tcPr>
          <w:p w14:paraId="1A404D7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97,086</w:t>
            </w:r>
          </w:p>
        </w:tc>
        <w:tc>
          <w:tcPr>
            <w:tcW w:w="1108" w:type="dxa"/>
            <w:tcBorders>
              <w:top w:val="nil"/>
              <w:left w:val="nil"/>
              <w:bottom w:val="nil"/>
              <w:right w:val="single" w:sz="8" w:space="0" w:color="auto"/>
            </w:tcBorders>
            <w:shd w:val="clear" w:color="auto" w:fill="auto"/>
            <w:vAlign w:val="center"/>
            <w:hideMark/>
          </w:tcPr>
          <w:p w14:paraId="2FE9A60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1,17,764</w:t>
            </w:r>
          </w:p>
        </w:tc>
      </w:tr>
      <w:tr w:rsidR="003656FA" w:rsidRPr="003656FA" w14:paraId="338DDC81" w14:textId="77777777" w:rsidTr="00A92684">
        <w:trPr>
          <w:trHeight w:val="265"/>
        </w:trPr>
        <w:tc>
          <w:tcPr>
            <w:tcW w:w="2665" w:type="dxa"/>
            <w:tcBorders>
              <w:top w:val="nil"/>
              <w:left w:val="single" w:sz="4" w:space="0" w:color="auto"/>
              <w:bottom w:val="nil"/>
              <w:right w:val="nil"/>
            </w:tcBorders>
            <w:shd w:val="clear" w:color="000000" w:fill="B4C6E7"/>
            <w:vAlign w:val="center"/>
            <w:hideMark/>
          </w:tcPr>
          <w:p w14:paraId="512B9C77"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Warsaw Stock Exchange</w:t>
            </w:r>
          </w:p>
        </w:tc>
        <w:tc>
          <w:tcPr>
            <w:tcW w:w="1216" w:type="dxa"/>
            <w:tcBorders>
              <w:top w:val="nil"/>
              <w:left w:val="single" w:sz="8" w:space="0" w:color="auto"/>
              <w:bottom w:val="nil"/>
              <w:right w:val="single" w:sz="8" w:space="0" w:color="auto"/>
            </w:tcBorders>
            <w:shd w:val="clear" w:color="auto" w:fill="auto"/>
            <w:vAlign w:val="center"/>
            <w:hideMark/>
          </w:tcPr>
          <w:p w14:paraId="111E532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3,23,728</w:t>
            </w:r>
          </w:p>
        </w:tc>
        <w:tc>
          <w:tcPr>
            <w:tcW w:w="1108" w:type="dxa"/>
            <w:tcBorders>
              <w:top w:val="nil"/>
              <w:left w:val="nil"/>
              <w:bottom w:val="nil"/>
              <w:right w:val="single" w:sz="8" w:space="0" w:color="auto"/>
            </w:tcBorders>
            <w:shd w:val="clear" w:color="auto" w:fill="auto"/>
            <w:vAlign w:val="center"/>
            <w:hideMark/>
          </w:tcPr>
          <w:p w14:paraId="5367E0E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3,084</w:t>
            </w:r>
          </w:p>
        </w:tc>
        <w:tc>
          <w:tcPr>
            <w:tcW w:w="1123" w:type="dxa"/>
            <w:tcBorders>
              <w:top w:val="nil"/>
              <w:left w:val="nil"/>
              <w:bottom w:val="nil"/>
              <w:right w:val="single" w:sz="8" w:space="0" w:color="auto"/>
            </w:tcBorders>
            <w:shd w:val="clear" w:color="auto" w:fill="auto"/>
            <w:vAlign w:val="center"/>
            <w:hideMark/>
          </w:tcPr>
          <w:p w14:paraId="532C7F9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36,135</w:t>
            </w:r>
          </w:p>
        </w:tc>
        <w:tc>
          <w:tcPr>
            <w:tcW w:w="1191" w:type="dxa"/>
            <w:tcBorders>
              <w:top w:val="nil"/>
              <w:left w:val="nil"/>
              <w:bottom w:val="nil"/>
              <w:right w:val="single" w:sz="8" w:space="0" w:color="auto"/>
            </w:tcBorders>
            <w:shd w:val="clear" w:color="auto" w:fill="auto"/>
            <w:vAlign w:val="center"/>
            <w:hideMark/>
          </w:tcPr>
          <w:p w14:paraId="6D27DD7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16,882</w:t>
            </w:r>
          </w:p>
        </w:tc>
        <w:tc>
          <w:tcPr>
            <w:tcW w:w="1079" w:type="dxa"/>
            <w:tcBorders>
              <w:top w:val="nil"/>
              <w:left w:val="nil"/>
              <w:bottom w:val="nil"/>
              <w:right w:val="single" w:sz="8" w:space="0" w:color="auto"/>
            </w:tcBorders>
            <w:shd w:val="clear" w:color="auto" w:fill="auto"/>
            <w:vAlign w:val="center"/>
            <w:hideMark/>
          </w:tcPr>
          <w:p w14:paraId="2D67B94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80</w:t>
            </w:r>
          </w:p>
        </w:tc>
        <w:tc>
          <w:tcPr>
            <w:tcW w:w="1108" w:type="dxa"/>
            <w:tcBorders>
              <w:top w:val="nil"/>
              <w:left w:val="nil"/>
              <w:bottom w:val="nil"/>
              <w:right w:val="single" w:sz="8" w:space="0" w:color="auto"/>
            </w:tcBorders>
            <w:shd w:val="clear" w:color="auto" w:fill="auto"/>
            <w:vAlign w:val="center"/>
            <w:hideMark/>
          </w:tcPr>
          <w:p w14:paraId="7F3BC8A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17,490</w:t>
            </w:r>
          </w:p>
        </w:tc>
      </w:tr>
      <w:tr w:rsidR="003656FA" w:rsidRPr="003656FA" w14:paraId="2737918D" w14:textId="77777777" w:rsidTr="00A92684">
        <w:trPr>
          <w:trHeight w:val="265"/>
        </w:trPr>
        <w:tc>
          <w:tcPr>
            <w:tcW w:w="2665" w:type="dxa"/>
            <w:tcBorders>
              <w:top w:val="single" w:sz="8" w:space="0" w:color="auto"/>
              <w:left w:val="single" w:sz="8" w:space="0" w:color="auto"/>
              <w:bottom w:val="single" w:sz="8" w:space="0" w:color="auto"/>
              <w:right w:val="nil"/>
            </w:tcBorders>
            <w:shd w:val="clear" w:color="000000" w:fill="D9E1F2"/>
            <w:vAlign w:val="center"/>
            <w:hideMark/>
          </w:tcPr>
          <w:p w14:paraId="645103EC"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Grand Total</w:t>
            </w:r>
          </w:p>
        </w:tc>
        <w:tc>
          <w:tcPr>
            <w:tcW w:w="1216" w:type="dxa"/>
            <w:tcBorders>
              <w:top w:val="single" w:sz="8" w:space="0" w:color="auto"/>
              <w:left w:val="nil"/>
              <w:bottom w:val="single" w:sz="8" w:space="0" w:color="auto"/>
              <w:right w:val="nil"/>
            </w:tcBorders>
            <w:shd w:val="clear" w:color="000000" w:fill="D9E1F2"/>
            <w:vAlign w:val="center"/>
            <w:hideMark/>
          </w:tcPr>
          <w:p w14:paraId="13106461"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53,46,42,967 </w:t>
            </w:r>
          </w:p>
        </w:tc>
        <w:tc>
          <w:tcPr>
            <w:tcW w:w="1108" w:type="dxa"/>
            <w:tcBorders>
              <w:top w:val="single" w:sz="8" w:space="0" w:color="auto"/>
              <w:left w:val="nil"/>
              <w:bottom w:val="single" w:sz="8" w:space="0" w:color="auto"/>
              <w:right w:val="nil"/>
            </w:tcBorders>
            <w:shd w:val="clear" w:color="000000" w:fill="D9E1F2"/>
            <w:vAlign w:val="center"/>
            <w:hideMark/>
          </w:tcPr>
          <w:p w14:paraId="76E7A970"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1,79,54,433 </w:t>
            </w:r>
          </w:p>
        </w:tc>
        <w:tc>
          <w:tcPr>
            <w:tcW w:w="1123" w:type="dxa"/>
            <w:tcBorders>
              <w:top w:val="single" w:sz="8" w:space="0" w:color="auto"/>
              <w:left w:val="nil"/>
              <w:bottom w:val="single" w:sz="8" w:space="0" w:color="auto"/>
              <w:right w:val="nil"/>
            </w:tcBorders>
            <w:shd w:val="clear" w:color="000000" w:fill="D9E1F2"/>
            <w:vAlign w:val="center"/>
            <w:hideMark/>
          </w:tcPr>
          <w:p w14:paraId="305C237A"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2,50,68,472 </w:t>
            </w:r>
          </w:p>
        </w:tc>
        <w:tc>
          <w:tcPr>
            <w:tcW w:w="1191" w:type="dxa"/>
            <w:tcBorders>
              <w:top w:val="single" w:sz="8" w:space="0" w:color="auto"/>
              <w:left w:val="nil"/>
              <w:bottom w:val="single" w:sz="8" w:space="0" w:color="auto"/>
              <w:right w:val="nil"/>
            </w:tcBorders>
            <w:shd w:val="clear" w:color="000000" w:fill="D9E1F2"/>
            <w:vAlign w:val="center"/>
            <w:hideMark/>
          </w:tcPr>
          <w:p w14:paraId="59C9C77A"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81,19,88,616 </w:t>
            </w:r>
          </w:p>
        </w:tc>
        <w:tc>
          <w:tcPr>
            <w:tcW w:w="1079" w:type="dxa"/>
            <w:tcBorders>
              <w:top w:val="single" w:sz="8" w:space="0" w:color="auto"/>
              <w:left w:val="nil"/>
              <w:bottom w:val="single" w:sz="8" w:space="0" w:color="auto"/>
              <w:right w:val="nil"/>
            </w:tcBorders>
            <w:shd w:val="clear" w:color="000000" w:fill="D9E1F2"/>
            <w:vAlign w:val="center"/>
            <w:hideMark/>
          </w:tcPr>
          <w:p w14:paraId="2CF66A17"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1,21,19,087 </w:t>
            </w:r>
          </w:p>
        </w:tc>
        <w:tc>
          <w:tcPr>
            <w:tcW w:w="1108" w:type="dxa"/>
            <w:tcBorders>
              <w:top w:val="single" w:sz="8" w:space="0" w:color="auto"/>
              <w:left w:val="nil"/>
              <w:bottom w:val="single" w:sz="8" w:space="0" w:color="auto"/>
              <w:right w:val="single" w:sz="8" w:space="0" w:color="auto"/>
            </w:tcBorders>
            <w:shd w:val="clear" w:color="000000" w:fill="D9E1F2"/>
            <w:vAlign w:val="center"/>
            <w:hideMark/>
          </w:tcPr>
          <w:p w14:paraId="0450B4DF"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9,08,37,014 </w:t>
            </w:r>
          </w:p>
        </w:tc>
      </w:tr>
    </w:tbl>
    <w:p w14:paraId="19D78D17" w14:textId="77777777" w:rsidR="003656FA" w:rsidRPr="003656FA" w:rsidRDefault="003656FA" w:rsidP="003656FA">
      <w:pPr>
        <w:spacing w:line="23" w:lineRule="atLeast"/>
        <w:rPr>
          <w:rFonts w:ascii="Garamond" w:hAnsi="Garamond"/>
          <w:bCs/>
          <w:sz w:val="18"/>
          <w:szCs w:val="18"/>
        </w:rPr>
      </w:pPr>
    </w:p>
    <w:p w14:paraId="7D4C6E0A" w14:textId="77777777" w:rsidR="003656FA" w:rsidRPr="003656FA" w:rsidRDefault="003656FA" w:rsidP="003656FA">
      <w:pPr>
        <w:spacing w:line="23" w:lineRule="atLeast"/>
        <w:jc w:val="both"/>
        <w:outlineLvl w:val="0"/>
        <w:rPr>
          <w:rFonts w:ascii="Garamond" w:eastAsia="Times New Roman" w:hAnsi="Garamond" w:cs="Calibri"/>
          <w:color w:val="000000"/>
          <w:sz w:val="20"/>
          <w:szCs w:val="20"/>
          <w:lang w:val="en-IN" w:eastAsia="en-IN"/>
        </w:rPr>
      </w:pPr>
      <w:r w:rsidRPr="003656FA">
        <w:rPr>
          <w:rFonts w:ascii="Garamond" w:hAnsi="Garamond"/>
          <w:bCs/>
          <w:sz w:val="18"/>
          <w:szCs w:val="18"/>
        </w:rPr>
        <w:t>NA: Not Available</w:t>
      </w:r>
      <w:r w:rsidRPr="003656FA">
        <w:rPr>
          <w:rFonts w:ascii="Garamond" w:eastAsia="Times New Roman" w:hAnsi="Garamond" w:cs="Calibri"/>
          <w:color w:val="000000"/>
          <w:sz w:val="20"/>
          <w:szCs w:val="20"/>
          <w:lang w:val="en-IN" w:eastAsia="en-IN"/>
        </w:rPr>
        <w:t>.</w:t>
      </w:r>
    </w:p>
    <w:p w14:paraId="782668CB" w14:textId="77777777" w:rsidR="003656FA" w:rsidRPr="003656FA" w:rsidRDefault="003656FA" w:rsidP="003656FA">
      <w:pPr>
        <w:spacing w:line="23" w:lineRule="atLeast"/>
        <w:jc w:val="both"/>
        <w:outlineLvl w:val="0"/>
        <w:rPr>
          <w:rFonts w:ascii="Garamond" w:eastAsia="Times New Roman" w:hAnsi="Garamond"/>
          <w:bCs/>
          <w:sz w:val="18"/>
          <w:szCs w:val="18"/>
          <w:lang w:val="en-US"/>
        </w:rPr>
      </w:pPr>
      <w:r w:rsidRPr="003656FA">
        <w:rPr>
          <w:rFonts w:ascii="Garamond" w:hAnsi="Garamond"/>
          <w:bCs/>
          <w:sz w:val="18"/>
          <w:szCs w:val="18"/>
        </w:rPr>
        <w:t>Source: World Federation of Exchanges</w:t>
      </w:r>
      <w:r w:rsidRPr="003656FA">
        <w:rPr>
          <w:rFonts w:ascii="Garamond" w:eastAsia="Times New Roman" w:hAnsi="Garamond"/>
          <w:bCs/>
          <w:sz w:val="18"/>
          <w:szCs w:val="18"/>
          <w:lang w:val="en-US"/>
        </w:rPr>
        <w:tab/>
      </w:r>
    </w:p>
    <w:p w14:paraId="748F3AFD" w14:textId="77777777" w:rsidR="003656FA" w:rsidRPr="003656FA" w:rsidRDefault="003656FA" w:rsidP="003656FA">
      <w:pPr>
        <w:spacing w:line="23" w:lineRule="atLeast"/>
        <w:jc w:val="both"/>
        <w:outlineLvl w:val="0"/>
        <w:rPr>
          <w:rFonts w:ascii="Garamond" w:eastAsia="Times New Roman" w:hAnsi="Garamond"/>
          <w:bCs/>
          <w:sz w:val="18"/>
          <w:szCs w:val="18"/>
          <w:lang w:val="en-US"/>
        </w:rPr>
      </w:pPr>
    </w:p>
    <w:p w14:paraId="35D6F6DE" w14:textId="77777777" w:rsidR="003656FA" w:rsidRPr="003656FA" w:rsidRDefault="003656FA" w:rsidP="003656FA">
      <w:pPr>
        <w:rPr>
          <w:rFonts w:ascii="Garamond" w:hAnsi="Garamond"/>
          <w:bCs/>
          <w:strike/>
          <w:sz w:val="22"/>
          <w:szCs w:val="22"/>
        </w:rPr>
      </w:pPr>
      <w:r w:rsidRPr="003656FA">
        <w:rPr>
          <w:rFonts w:ascii="Garamond" w:hAnsi="Garamond"/>
          <w:bCs/>
          <w:strike/>
          <w:sz w:val="22"/>
          <w:szCs w:val="22"/>
        </w:rPr>
        <w:br w:type="page"/>
      </w:r>
    </w:p>
    <w:p w14:paraId="12C97F56" w14:textId="77777777" w:rsidR="003656FA" w:rsidRPr="003656FA" w:rsidRDefault="003656FA" w:rsidP="003656FA">
      <w:pPr>
        <w:spacing w:line="23" w:lineRule="atLeast"/>
        <w:jc w:val="both"/>
        <w:rPr>
          <w:rFonts w:ascii="Garamond" w:hAnsi="Garamond"/>
          <w:b/>
          <w:sz w:val="28"/>
          <w:lang w:val="en-US"/>
        </w:rPr>
      </w:pPr>
      <w:r w:rsidRPr="003656FA">
        <w:rPr>
          <w:rFonts w:ascii="Garamond" w:hAnsi="Garamond"/>
          <w:b/>
          <w:bCs/>
          <w:szCs w:val="22"/>
        </w:rPr>
        <w:lastRenderedPageBreak/>
        <w:t>Table A6: Currency Futures and Options Traded in Major Exchanges</w:t>
      </w:r>
    </w:p>
    <w:p w14:paraId="5726D42B" w14:textId="77777777" w:rsidR="003656FA" w:rsidRPr="003656FA" w:rsidRDefault="003656FA" w:rsidP="003656FA">
      <w:pPr>
        <w:ind w:right="957"/>
        <w:jc w:val="right"/>
        <w:rPr>
          <w:rFonts w:ascii="Garamond" w:eastAsia="Times New Roman" w:hAnsi="Garamond"/>
          <w:bCs/>
          <w:sz w:val="22"/>
          <w:szCs w:val="22"/>
          <w:lang w:val="en-US"/>
        </w:rPr>
      </w:pPr>
      <w:r w:rsidRPr="003656FA">
        <w:rPr>
          <w:rFonts w:ascii="Garamond" w:hAnsi="Garamond"/>
          <w:bCs/>
          <w:sz w:val="22"/>
          <w:szCs w:val="22"/>
        </w:rPr>
        <w:t>Notional Turnover in (USD million)</w:t>
      </w:r>
    </w:p>
    <w:tbl>
      <w:tblPr>
        <w:tblW w:w="9055" w:type="dxa"/>
        <w:tblLook w:val="04A0" w:firstRow="1" w:lastRow="0" w:firstColumn="1" w:lastColumn="0" w:noHBand="0" w:noVBand="1"/>
      </w:tblPr>
      <w:tblGrid>
        <w:gridCol w:w="2561"/>
        <w:gridCol w:w="1216"/>
        <w:gridCol w:w="1002"/>
        <w:gridCol w:w="1094"/>
        <w:gridCol w:w="1202"/>
        <w:gridCol w:w="1002"/>
        <w:gridCol w:w="978"/>
      </w:tblGrid>
      <w:tr w:rsidR="003656FA" w:rsidRPr="003656FA" w14:paraId="09E933C6" w14:textId="77777777" w:rsidTr="00A92684">
        <w:trPr>
          <w:trHeight w:val="243"/>
        </w:trPr>
        <w:tc>
          <w:tcPr>
            <w:tcW w:w="3135"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07A64BDE"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Exchange</w:t>
            </w:r>
          </w:p>
        </w:tc>
        <w:tc>
          <w:tcPr>
            <w:tcW w:w="5920" w:type="dxa"/>
            <w:gridSpan w:val="6"/>
            <w:tcBorders>
              <w:top w:val="single" w:sz="4" w:space="0" w:color="auto"/>
              <w:left w:val="nil"/>
              <w:bottom w:val="single" w:sz="4" w:space="0" w:color="auto"/>
              <w:right w:val="single" w:sz="4" w:space="0" w:color="auto"/>
            </w:tcBorders>
            <w:shd w:val="clear" w:color="000000" w:fill="B4C6E7"/>
            <w:vAlign w:val="center"/>
            <w:hideMark/>
          </w:tcPr>
          <w:p w14:paraId="11B939C0"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Jul-20</w:t>
            </w:r>
          </w:p>
        </w:tc>
      </w:tr>
      <w:tr w:rsidR="003656FA" w:rsidRPr="003656FA" w14:paraId="480AA35B" w14:textId="77777777" w:rsidTr="00A92684">
        <w:trPr>
          <w:trHeight w:val="243"/>
        </w:trPr>
        <w:tc>
          <w:tcPr>
            <w:tcW w:w="3135" w:type="dxa"/>
            <w:vMerge/>
            <w:tcBorders>
              <w:top w:val="single" w:sz="4" w:space="0" w:color="auto"/>
              <w:left w:val="single" w:sz="4" w:space="0" w:color="auto"/>
              <w:bottom w:val="single" w:sz="4" w:space="0" w:color="auto"/>
              <w:right w:val="single" w:sz="4" w:space="0" w:color="auto"/>
            </w:tcBorders>
            <w:vAlign w:val="center"/>
            <w:hideMark/>
          </w:tcPr>
          <w:p w14:paraId="5273EF2C"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2966" w:type="dxa"/>
            <w:gridSpan w:val="3"/>
            <w:tcBorders>
              <w:top w:val="single" w:sz="4" w:space="0" w:color="auto"/>
              <w:left w:val="nil"/>
              <w:bottom w:val="single" w:sz="4" w:space="0" w:color="auto"/>
              <w:right w:val="single" w:sz="4" w:space="0" w:color="auto"/>
            </w:tcBorders>
            <w:shd w:val="clear" w:color="000000" w:fill="B4C6E7"/>
            <w:vAlign w:val="center"/>
            <w:hideMark/>
          </w:tcPr>
          <w:p w14:paraId="44AB4652"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Currency Futures</w:t>
            </w:r>
          </w:p>
        </w:tc>
        <w:tc>
          <w:tcPr>
            <w:tcW w:w="2953" w:type="dxa"/>
            <w:gridSpan w:val="3"/>
            <w:tcBorders>
              <w:top w:val="single" w:sz="4" w:space="0" w:color="auto"/>
              <w:left w:val="nil"/>
              <w:bottom w:val="single" w:sz="4" w:space="0" w:color="auto"/>
              <w:right w:val="single" w:sz="4" w:space="0" w:color="auto"/>
            </w:tcBorders>
            <w:shd w:val="clear" w:color="000000" w:fill="B4C6E7"/>
            <w:vAlign w:val="center"/>
            <w:hideMark/>
          </w:tcPr>
          <w:p w14:paraId="79B5A1BC"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Currency Options</w:t>
            </w:r>
          </w:p>
        </w:tc>
      </w:tr>
      <w:tr w:rsidR="003656FA" w:rsidRPr="003656FA" w14:paraId="26916F6D" w14:textId="77777777" w:rsidTr="00A92684">
        <w:trPr>
          <w:trHeight w:val="632"/>
        </w:trPr>
        <w:tc>
          <w:tcPr>
            <w:tcW w:w="3135" w:type="dxa"/>
            <w:vMerge/>
            <w:tcBorders>
              <w:top w:val="single" w:sz="4" w:space="0" w:color="auto"/>
              <w:left w:val="single" w:sz="4" w:space="0" w:color="auto"/>
              <w:bottom w:val="single" w:sz="4" w:space="0" w:color="auto"/>
              <w:right w:val="single" w:sz="4" w:space="0" w:color="auto"/>
            </w:tcBorders>
            <w:vAlign w:val="center"/>
            <w:hideMark/>
          </w:tcPr>
          <w:p w14:paraId="5B29AFDA"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010" w:type="dxa"/>
            <w:tcBorders>
              <w:top w:val="nil"/>
              <w:left w:val="nil"/>
              <w:bottom w:val="single" w:sz="4" w:space="0" w:color="auto"/>
              <w:right w:val="single" w:sz="4" w:space="0" w:color="auto"/>
            </w:tcBorders>
            <w:shd w:val="clear" w:color="000000" w:fill="B4C6E7"/>
            <w:vAlign w:val="center"/>
            <w:hideMark/>
          </w:tcPr>
          <w:p w14:paraId="694C1735"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Number of</w:t>
            </w:r>
            <w:r w:rsidRPr="003656FA">
              <w:rPr>
                <w:rFonts w:ascii="Garamond" w:eastAsia="Times New Roman" w:hAnsi="Garamond" w:cs="Calibri"/>
                <w:b/>
                <w:bCs/>
                <w:color w:val="000000"/>
                <w:sz w:val="20"/>
                <w:szCs w:val="20"/>
                <w:lang w:val="en-IN" w:eastAsia="en-IN" w:bidi="hi-IN"/>
              </w:rPr>
              <w:br/>
              <w:t>Contracts Traded</w:t>
            </w:r>
          </w:p>
        </w:tc>
        <w:tc>
          <w:tcPr>
            <w:tcW w:w="977" w:type="dxa"/>
            <w:tcBorders>
              <w:top w:val="nil"/>
              <w:left w:val="nil"/>
              <w:bottom w:val="single" w:sz="4" w:space="0" w:color="auto"/>
              <w:right w:val="single" w:sz="4" w:space="0" w:color="auto"/>
            </w:tcBorders>
            <w:shd w:val="clear" w:color="000000" w:fill="B4C6E7"/>
            <w:vAlign w:val="center"/>
            <w:hideMark/>
          </w:tcPr>
          <w:p w14:paraId="2723445E"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Notional</w:t>
            </w:r>
            <w:r w:rsidRPr="003656FA">
              <w:rPr>
                <w:rFonts w:ascii="Garamond" w:eastAsia="Times New Roman" w:hAnsi="Garamond" w:cs="Calibri"/>
                <w:b/>
                <w:bCs/>
                <w:color w:val="000000"/>
                <w:sz w:val="20"/>
                <w:szCs w:val="20"/>
                <w:lang w:val="en-IN" w:eastAsia="en-IN" w:bidi="hi-IN"/>
              </w:rPr>
              <w:br/>
              <w:t>Turnover</w:t>
            </w:r>
          </w:p>
        </w:tc>
        <w:tc>
          <w:tcPr>
            <w:tcW w:w="978" w:type="dxa"/>
            <w:tcBorders>
              <w:top w:val="nil"/>
              <w:left w:val="nil"/>
              <w:bottom w:val="single" w:sz="4" w:space="0" w:color="auto"/>
              <w:right w:val="single" w:sz="4" w:space="0" w:color="auto"/>
            </w:tcBorders>
            <w:shd w:val="clear" w:color="000000" w:fill="B4C6E7"/>
            <w:vAlign w:val="center"/>
            <w:hideMark/>
          </w:tcPr>
          <w:p w14:paraId="0F028425"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Open</w:t>
            </w:r>
            <w:r w:rsidRPr="003656FA">
              <w:rPr>
                <w:rFonts w:ascii="Garamond" w:eastAsia="Times New Roman" w:hAnsi="Garamond" w:cs="Calibri"/>
                <w:b/>
                <w:bCs/>
                <w:color w:val="000000"/>
                <w:sz w:val="20"/>
                <w:szCs w:val="20"/>
                <w:lang w:val="en-IN" w:eastAsia="en-IN" w:bidi="hi-IN"/>
              </w:rPr>
              <w:br/>
              <w:t>Interest</w:t>
            </w:r>
          </w:p>
        </w:tc>
        <w:tc>
          <w:tcPr>
            <w:tcW w:w="998" w:type="dxa"/>
            <w:tcBorders>
              <w:top w:val="nil"/>
              <w:left w:val="nil"/>
              <w:bottom w:val="single" w:sz="4" w:space="0" w:color="auto"/>
              <w:right w:val="single" w:sz="4" w:space="0" w:color="auto"/>
            </w:tcBorders>
            <w:shd w:val="clear" w:color="000000" w:fill="B4C6E7"/>
            <w:vAlign w:val="center"/>
            <w:hideMark/>
          </w:tcPr>
          <w:p w14:paraId="6E94498B"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Number of</w:t>
            </w:r>
            <w:r w:rsidRPr="003656FA">
              <w:rPr>
                <w:rFonts w:ascii="Garamond" w:eastAsia="Times New Roman" w:hAnsi="Garamond" w:cs="Calibri"/>
                <w:b/>
                <w:bCs/>
                <w:color w:val="000000"/>
                <w:sz w:val="20"/>
                <w:szCs w:val="20"/>
                <w:lang w:val="en-IN" w:eastAsia="en-IN" w:bidi="hi-IN"/>
              </w:rPr>
              <w:br/>
              <w:t>Contracts Traded</w:t>
            </w:r>
          </w:p>
        </w:tc>
        <w:tc>
          <w:tcPr>
            <w:tcW w:w="977" w:type="dxa"/>
            <w:tcBorders>
              <w:top w:val="nil"/>
              <w:left w:val="nil"/>
              <w:bottom w:val="single" w:sz="4" w:space="0" w:color="auto"/>
              <w:right w:val="single" w:sz="4" w:space="0" w:color="auto"/>
            </w:tcBorders>
            <w:shd w:val="clear" w:color="000000" w:fill="B4C6E7"/>
            <w:vAlign w:val="center"/>
            <w:hideMark/>
          </w:tcPr>
          <w:p w14:paraId="49D64BFC"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Notional</w:t>
            </w:r>
            <w:r w:rsidRPr="003656FA">
              <w:rPr>
                <w:rFonts w:ascii="Garamond" w:eastAsia="Times New Roman" w:hAnsi="Garamond" w:cs="Calibri"/>
                <w:b/>
                <w:bCs/>
                <w:color w:val="000000"/>
                <w:sz w:val="20"/>
                <w:szCs w:val="20"/>
                <w:lang w:val="en-IN" w:eastAsia="en-IN" w:bidi="hi-IN"/>
              </w:rPr>
              <w:br/>
              <w:t>Turnover</w:t>
            </w:r>
          </w:p>
        </w:tc>
        <w:tc>
          <w:tcPr>
            <w:tcW w:w="977" w:type="dxa"/>
            <w:tcBorders>
              <w:top w:val="nil"/>
              <w:left w:val="nil"/>
              <w:bottom w:val="single" w:sz="4" w:space="0" w:color="auto"/>
              <w:right w:val="single" w:sz="4" w:space="0" w:color="auto"/>
            </w:tcBorders>
            <w:shd w:val="clear" w:color="000000" w:fill="B4C6E7"/>
            <w:vAlign w:val="center"/>
            <w:hideMark/>
          </w:tcPr>
          <w:p w14:paraId="3D2DF15E"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Open</w:t>
            </w:r>
            <w:r w:rsidRPr="003656FA">
              <w:rPr>
                <w:rFonts w:ascii="Garamond" w:eastAsia="Times New Roman" w:hAnsi="Garamond" w:cs="Calibri"/>
                <w:b/>
                <w:bCs/>
                <w:color w:val="000000"/>
                <w:sz w:val="20"/>
                <w:szCs w:val="20"/>
                <w:lang w:val="en-IN" w:eastAsia="en-IN" w:bidi="hi-IN"/>
              </w:rPr>
              <w:br/>
              <w:t>Interest</w:t>
            </w:r>
          </w:p>
        </w:tc>
      </w:tr>
      <w:tr w:rsidR="003656FA" w:rsidRPr="003656FA" w14:paraId="4E465E21"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346C7EFE"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B3 - Brasil Bolsa Balcão</w:t>
            </w:r>
          </w:p>
        </w:tc>
        <w:tc>
          <w:tcPr>
            <w:tcW w:w="1010" w:type="dxa"/>
            <w:tcBorders>
              <w:top w:val="single" w:sz="8" w:space="0" w:color="auto"/>
              <w:left w:val="single" w:sz="8" w:space="0" w:color="auto"/>
              <w:bottom w:val="nil"/>
              <w:right w:val="single" w:sz="8" w:space="0" w:color="auto"/>
            </w:tcBorders>
            <w:shd w:val="clear" w:color="auto" w:fill="auto"/>
            <w:vAlign w:val="center"/>
            <w:hideMark/>
          </w:tcPr>
          <w:p w14:paraId="41509A4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8,25,49,163</w:t>
            </w:r>
          </w:p>
        </w:tc>
        <w:tc>
          <w:tcPr>
            <w:tcW w:w="977" w:type="dxa"/>
            <w:tcBorders>
              <w:top w:val="single" w:sz="8" w:space="0" w:color="auto"/>
              <w:left w:val="nil"/>
              <w:bottom w:val="nil"/>
              <w:right w:val="single" w:sz="8" w:space="0" w:color="auto"/>
            </w:tcBorders>
            <w:shd w:val="clear" w:color="auto" w:fill="auto"/>
            <w:vAlign w:val="center"/>
            <w:hideMark/>
          </w:tcPr>
          <w:p w14:paraId="4C3C9FD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10,87,080</w:t>
            </w:r>
          </w:p>
        </w:tc>
        <w:tc>
          <w:tcPr>
            <w:tcW w:w="978" w:type="dxa"/>
            <w:tcBorders>
              <w:top w:val="single" w:sz="8" w:space="0" w:color="auto"/>
              <w:left w:val="nil"/>
              <w:bottom w:val="nil"/>
              <w:right w:val="single" w:sz="8" w:space="0" w:color="auto"/>
            </w:tcBorders>
            <w:shd w:val="clear" w:color="auto" w:fill="auto"/>
            <w:vAlign w:val="center"/>
            <w:hideMark/>
          </w:tcPr>
          <w:p w14:paraId="4CCCDE7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45,30,799</w:t>
            </w:r>
          </w:p>
        </w:tc>
        <w:tc>
          <w:tcPr>
            <w:tcW w:w="998" w:type="dxa"/>
            <w:tcBorders>
              <w:top w:val="single" w:sz="8" w:space="0" w:color="auto"/>
              <w:left w:val="nil"/>
              <w:bottom w:val="nil"/>
              <w:right w:val="single" w:sz="8" w:space="0" w:color="auto"/>
            </w:tcBorders>
            <w:shd w:val="clear" w:color="auto" w:fill="auto"/>
            <w:vAlign w:val="center"/>
            <w:hideMark/>
          </w:tcPr>
          <w:p w14:paraId="6A7F292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5,50,675</w:t>
            </w:r>
          </w:p>
        </w:tc>
        <w:tc>
          <w:tcPr>
            <w:tcW w:w="977" w:type="dxa"/>
            <w:tcBorders>
              <w:top w:val="single" w:sz="8" w:space="0" w:color="auto"/>
              <w:left w:val="nil"/>
              <w:bottom w:val="nil"/>
              <w:right w:val="single" w:sz="8" w:space="0" w:color="auto"/>
            </w:tcBorders>
            <w:shd w:val="clear" w:color="auto" w:fill="auto"/>
            <w:vAlign w:val="center"/>
            <w:hideMark/>
          </w:tcPr>
          <w:p w14:paraId="2B5AF0F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391</w:t>
            </w:r>
          </w:p>
        </w:tc>
        <w:tc>
          <w:tcPr>
            <w:tcW w:w="977" w:type="dxa"/>
            <w:tcBorders>
              <w:top w:val="single" w:sz="8" w:space="0" w:color="auto"/>
              <w:left w:val="nil"/>
              <w:bottom w:val="nil"/>
              <w:right w:val="single" w:sz="8" w:space="0" w:color="auto"/>
            </w:tcBorders>
            <w:shd w:val="clear" w:color="auto" w:fill="auto"/>
            <w:vAlign w:val="center"/>
            <w:hideMark/>
          </w:tcPr>
          <w:p w14:paraId="5ADC3E1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6,86,908</w:t>
            </w:r>
          </w:p>
        </w:tc>
      </w:tr>
      <w:tr w:rsidR="003656FA" w:rsidRPr="003656FA" w14:paraId="0F7D1AED"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7C96022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Bolsa de Valores de Colombia</w:t>
            </w:r>
          </w:p>
        </w:tc>
        <w:tc>
          <w:tcPr>
            <w:tcW w:w="1010" w:type="dxa"/>
            <w:tcBorders>
              <w:top w:val="nil"/>
              <w:left w:val="single" w:sz="8" w:space="0" w:color="auto"/>
              <w:bottom w:val="nil"/>
              <w:right w:val="single" w:sz="8" w:space="0" w:color="auto"/>
            </w:tcBorders>
            <w:shd w:val="clear" w:color="auto" w:fill="auto"/>
            <w:vAlign w:val="center"/>
            <w:hideMark/>
          </w:tcPr>
          <w:p w14:paraId="21DDC77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21,559</w:t>
            </w:r>
          </w:p>
        </w:tc>
        <w:tc>
          <w:tcPr>
            <w:tcW w:w="977" w:type="dxa"/>
            <w:tcBorders>
              <w:top w:val="nil"/>
              <w:left w:val="nil"/>
              <w:bottom w:val="nil"/>
              <w:right w:val="single" w:sz="8" w:space="0" w:color="auto"/>
            </w:tcBorders>
            <w:shd w:val="clear" w:color="auto" w:fill="auto"/>
            <w:vAlign w:val="center"/>
            <w:hideMark/>
          </w:tcPr>
          <w:p w14:paraId="543B1C7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999</w:t>
            </w:r>
          </w:p>
        </w:tc>
        <w:tc>
          <w:tcPr>
            <w:tcW w:w="978" w:type="dxa"/>
            <w:tcBorders>
              <w:top w:val="nil"/>
              <w:left w:val="nil"/>
              <w:bottom w:val="nil"/>
              <w:right w:val="single" w:sz="8" w:space="0" w:color="auto"/>
            </w:tcBorders>
            <w:shd w:val="clear" w:color="auto" w:fill="auto"/>
            <w:vAlign w:val="center"/>
            <w:hideMark/>
          </w:tcPr>
          <w:p w14:paraId="7AC0E0F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10,673</w:t>
            </w:r>
          </w:p>
        </w:tc>
        <w:tc>
          <w:tcPr>
            <w:tcW w:w="998" w:type="dxa"/>
            <w:tcBorders>
              <w:top w:val="nil"/>
              <w:left w:val="nil"/>
              <w:bottom w:val="nil"/>
              <w:right w:val="single" w:sz="8" w:space="0" w:color="auto"/>
            </w:tcBorders>
            <w:shd w:val="clear" w:color="auto" w:fill="auto"/>
            <w:vAlign w:val="center"/>
            <w:hideMark/>
          </w:tcPr>
          <w:p w14:paraId="54826F3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w:t>
            </w:r>
          </w:p>
        </w:tc>
        <w:tc>
          <w:tcPr>
            <w:tcW w:w="977" w:type="dxa"/>
            <w:tcBorders>
              <w:top w:val="nil"/>
              <w:left w:val="nil"/>
              <w:bottom w:val="nil"/>
              <w:right w:val="single" w:sz="8" w:space="0" w:color="auto"/>
            </w:tcBorders>
            <w:shd w:val="clear" w:color="auto" w:fill="auto"/>
            <w:vAlign w:val="center"/>
            <w:hideMark/>
          </w:tcPr>
          <w:p w14:paraId="2AF17FF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7" w:type="dxa"/>
            <w:tcBorders>
              <w:top w:val="nil"/>
              <w:left w:val="nil"/>
              <w:bottom w:val="nil"/>
              <w:right w:val="single" w:sz="8" w:space="0" w:color="auto"/>
            </w:tcBorders>
            <w:shd w:val="clear" w:color="auto" w:fill="auto"/>
            <w:vAlign w:val="center"/>
            <w:hideMark/>
          </w:tcPr>
          <w:p w14:paraId="0DC6677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w:t>
            </w:r>
          </w:p>
        </w:tc>
      </w:tr>
      <w:tr w:rsidR="003656FA" w:rsidRPr="003656FA" w14:paraId="37DA507C"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4D7EBAE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Bolsa Mexicana de Valores</w:t>
            </w:r>
          </w:p>
        </w:tc>
        <w:tc>
          <w:tcPr>
            <w:tcW w:w="1010" w:type="dxa"/>
            <w:tcBorders>
              <w:top w:val="nil"/>
              <w:left w:val="single" w:sz="8" w:space="0" w:color="auto"/>
              <w:bottom w:val="nil"/>
              <w:right w:val="single" w:sz="8" w:space="0" w:color="auto"/>
            </w:tcBorders>
            <w:shd w:val="clear" w:color="auto" w:fill="auto"/>
            <w:vAlign w:val="center"/>
            <w:hideMark/>
          </w:tcPr>
          <w:p w14:paraId="11D4403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1,39,049</w:t>
            </w:r>
          </w:p>
        </w:tc>
        <w:tc>
          <w:tcPr>
            <w:tcW w:w="977" w:type="dxa"/>
            <w:tcBorders>
              <w:top w:val="nil"/>
              <w:left w:val="nil"/>
              <w:bottom w:val="nil"/>
              <w:right w:val="single" w:sz="8" w:space="0" w:color="auto"/>
            </w:tcBorders>
            <w:shd w:val="clear" w:color="auto" w:fill="auto"/>
            <w:vAlign w:val="center"/>
            <w:hideMark/>
          </w:tcPr>
          <w:p w14:paraId="16AFC50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1,415</w:t>
            </w:r>
          </w:p>
        </w:tc>
        <w:tc>
          <w:tcPr>
            <w:tcW w:w="978" w:type="dxa"/>
            <w:tcBorders>
              <w:top w:val="nil"/>
              <w:left w:val="nil"/>
              <w:bottom w:val="nil"/>
              <w:right w:val="single" w:sz="8" w:space="0" w:color="auto"/>
            </w:tcBorders>
            <w:shd w:val="clear" w:color="auto" w:fill="auto"/>
            <w:vAlign w:val="center"/>
            <w:hideMark/>
          </w:tcPr>
          <w:p w14:paraId="7026C24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4,65,572</w:t>
            </w:r>
          </w:p>
        </w:tc>
        <w:tc>
          <w:tcPr>
            <w:tcW w:w="998" w:type="dxa"/>
            <w:tcBorders>
              <w:top w:val="nil"/>
              <w:left w:val="nil"/>
              <w:bottom w:val="nil"/>
              <w:right w:val="single" w:sz="8" w:space="0" w:color="auto"/>
            </w:tcBorders>
            <w:shd w:val="clear" w:color="auto" w:fill="auto"/>
            <w:vAlign w:val="center"/>
            <w:hideMark/>
          </w:tcPr>
          <w:p w14:paraId="19F93AF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2,000</w:t>
            </w:r>
          </w:p>
        </w:tc>
        <w:tc>
          <w:tcPr>
            <w:tcW w:w="977" w:type="dxa"/>
            <w:tcBorders>
              <w:top w:val="nil"/>
              <w:left w:val="nil"/>
              <w:bottom w:val="nil"/>
              <w:right w:val="single" w:sz="8" w:space="0" w:color="auto"/>
            </w:tcBorders>
            <w:shd w:val="clear" w:color="auto" w:fill="auto"/>
            <w:vAlign w:val="center"/>
            <w:hideMark/>
          </w:tcPr>
          <w:p w14:paraId="095745A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w:t>
            </w:r>
          </w:p>
        </w:tc>
        <w:tc>
          <w:tcPr>
            <w:tcW w:w="977" w:type="dxa"/>
            <w:tcBorders>
              <w:top w:val="nil"/>
              <w:left w:val="nil"/>
              <w:bottom w:val="nil"/>
              <w:right w:val="single" w:sz="8" w:space="0" w:color="auto"/>
            </w:tcBorders>
            <w:shd w:val="clear" w:color="auto" w:fill="auto"/>
            <w:vAlign w:val="center"/>
            <w:hideMark/>
          </w:tcPr>
          <w:p w14:paraId="74172B0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7,800</w:t>
            </w:r>
          </w:p>
        </w:tc>
      </w:tr>
      <w:tr w:rsidR="003656FA" w:rsidRPr="003656FA" w14:paraId="05672305"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4D4E6DA7"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Bolsa y Mercados Argentinos</w:t>
            </w:r>
          </w:p>
        </w:tc>
        <w:tc>
          <w:tcPr>
            <w:tcW w:w="1010" w:type="dxa"/>
            <w:tcBorders>
              <w:top w:val="nil"/>
              <w:left w:val="single" w:sz="8" w:space="0" w:color="auto"/>
              <w:bottom w:val="nil"/>
              <w:right w:val="single" w:sz="8" w:space="0" w:color="auto"/>
            </w:tcBorders>
            <w:shd w:val="clear" w:color="auto" w:fill="auto"/>
            <w:vAlign w:val="center"/>
            <w:hideMark/>
          </w:tcPr>
          <w:p w14:paraId="54D179E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11,82,664</w:t>
            </w:r>
          </w:p>
        </w:tc>
        <w:tc>
          <w:tcPr>
            <w:tcW w:w="977" w:type="dxa"/>
            <w:tcBorders>
              <w:top w:val="nil"/>
              <w:left w:val="nil"/>
              <w:bottom w:val="nil"/>
              <w:right w:val="single" w:sz="8" w:space="0" w:color="auto"/>
            </w:tcBorders>
            <w:shd w:val="clear" w:color="auto" w:fill="auto"/>
            <w:vAlign w:val="center"/>
            <w:hideMark/>
          </w:tcPr>
          <w:p w14:paraId="033DA14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1,217</w:t>
            </w:r>
          </w:p>
        </w:tc>
        <w:tc>
          <w:tcPr>
            <w:tcW w:w="978" w:type="dxa"/>
            <w:tcBorders>
              <w:top w:val="nil"/>
              <w:left w:val="nil"/>
              <w:bottom w:val="nil"/>
              <w:right w:val="single" w:sz="8" w:space="0" w:color="auto"/>
            </w:tcBorders>
            <w:shd w:val="clear" w:color="auto" w:fill="auto"/>
            <w:vAlign w:val="center"/>
            <w:hideMark/>
          </w:tcPr>
          <w:p w14:paraId="6E5FFF6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54,660</w:t>
            </w:r>
          </w:p>
        </w:tc>
        <w:tc>
          <w:tcPr>
            <w:tcW w:w="998" w:type="dxa"/>
            <w:tcBorders>
              <w:top w:val="nil"/>
              <w:left w:val="nil"/>
              <w:bottom w:val="nil"/>
              <w:right w:val="single" w:sz="8" w:space="0" w:color="auto"/>
            </w:tcBorders>
            <w:shd w:val="clear" w:color="auto" w:fill="auto"/>
            <w:vAlign w:val="center"/>
            <w:hideMark/>
          </w:tcPr>
          <w:p w14:paraId="73D5BC2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7" w:type="dxa"/>
            <w:tcBorders>
              <w:top w:val="nil"/>
              <w:left w:val="nil"/>
              <w:bottom w:val="nil"/>
              <w:right w:val="single" w:sz="8" w:space="0" w:color="auto"/>
            </w:tcBorders>
            <w:shd w:val="clear" w:color="auto" w:fill="auto"/>
            <w:vAlign w:val="center"/>
            <w:hideMark/>
          </w:tcPr>
          <w:p w14:paraId="69A01BA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7" w:type="dxa"/>
            <w:tcBorders>
              <w:top w:val="nil"/>
              <w:left w:val="nil"/>
              <w:bottom w:val="nil"/>
              <w:right w:val="single" w:sz="8" w:space="0" w:color="auto"/>
            </w:tcBorders>
            <w:shd w:val="clear" w:color="auto" w:fill="auto"/>
            <w:vAlign w:val="center"/>
            <w:hideMark/>
          </w:tcPr>
          <w:p w14:paraId="3E52B14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1A78B1F0"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60B73BD3"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Matba Rofex</w:t>
            </w:r>
          </w:p>
        </w:tc>
        <w:tc>
          <w:tcPr>
            <w:tcW w:w="1010" w:type="dxa"/>
            <w:tcBorders>
              <w:top w:val="nil"/>
              <w:left w:val="single" w:sz="8" w:space="0" w:color="auto"/>
              <w:bottom w:val="nil"/>
              <w:right w:val="single" w:sz="8" w:space="0" w:color="auto"/>
            </w:tcBorders>
            <w:shd w:val="clear" w:color="auto" w:fill="auto"/>
            <w:vAlign w:val="center"/>
            <w:hideMark/>
          </w:tcPr>
          <w:p w14:paraId="707EF2A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89,69,892</w:t>
            </w:r>
          </w:p>
        </w:tc>
        <w:tc>
          <w:tcPr>
            <w:tcW w:w="977" w:type="dxa"/>
            <w:tcBorders>
              <w:top w:val="nil"/>
              <w:left w:val="nil"/>
              <w:bottom w:val="nil"/>
              <w:right w:val="single" w:sz="8" w:space="0" w:color="auto"/>
            </w:tcBorders>
            <w:shd w:val="clear" w:color="auto" w:fill="auto"/>
            <w:vAlign w:val="center"/>
            <w:hideMark/>
          </w:tcPr>
          <w:p w14:paraId="512FEB2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9,639</w:t>
            </w:r>
          </w:p>
        </w:tc>
        <w:tc>
          <w:tcPr>
            <w:tcW w:w="978" w:type="dxa"/>
            <w:tcBorders>
              <w:top w:val="nil"/>
              <w:left w:val="nil"/>
              <w:bottom w:val="nil"/>
              <w:right w:val="single" w:sz="8" w:space="0" w:color="auto"/>
            </w:tcBorders>
            <w:shd w:val="clear" w:color="auto" w:fill="auto"/>
            <w:vAlign w:val="center"/>
            <w:hideMark/>
          </w:tcPr>
          <w:p w14:paraId="365DF69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36,94,739</w:t>
            </w:r>
          </w:p>
        </w:tc>
        <w:tc>
          <w:tcPr>
            <w:tcW w:w="998" w:type="dxa"/>
            <w:tcBorders>
              <w:top w:val="nil"/>
              <w:left w:val="nil"/>
              <w:bottom w:val="nil"/>
              <w:right w:val="single" w:sz="8" w:space="0" w:color="auto"/>
            </w:tcBorders>
            <w:shd w:val="clear" w:color="auto" w:fill="auto"/>
            <w:vAlign w:val="center"/>
            <w:hideMark/>
          </w:tcPr>
          <w:p w14:paraId="4DC9BF2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1,212</w:t>
            </w:r>
          </w:p>
        </w:tc>
        <w:tc>
          <w:tcPr>
            <w:tcW w:w="977" w:type="dxa"/>
            <w:tcBorders>
              <w:top w:val="nil"/>
              <w:left w:val="nil"/>
              <w:bottom w:val="nil"/>
              <w:right w:val="single" w:sz="8" w:space="0" w:color="auto"/>
            </w:tcBorders>
            <w:shd w:val="clear" w:color="auto" w:fill="auto"/>
            <w:vAlign w:val="center"/>
            <w:hideMark/>
          </w:tcPr>
          <w:p w14:paraId="4FB6C26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7" w:type="dxa"/>
            <w:tcBorders>
              <w:top w:val="nil"/>
              <w:left w:val="nil"/>
              <w:bottom w:val="nil"/>
              <w:right w:val="single" w:sz="8" w:space="0" w:color="auto"/>
            </w:tcBorders>
            <w:shd w:val="clear" w:color="auto" w:fill="auto"/>
            <w:vAlign w:val="center"/>
            <w:hideMark/>
          </w:tcPr>
          <w:p w14:paraId="314E0DE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7FD2A9E3"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234EF53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CME Group</w:t>
            </w:r>
          </w:p>
        </w:tc>
        <w:tc>
          <w:tcPr>
            <w:tcW w:w="1010" w:type="dxa"/>
            <w:tcBorders>
              <w:top w:val="nil"/>
              <w:left w:val="single" w:sz="8" w:space="0" w:color="auto"/>
              <w:bottom w:val="nil"/>
              <w:right w:val="single" w:sz="8" w:space="0" w:color="auto"/>
            </w:tcBorders>
            <w:shd w:val="clear" w:color="auto" w:fill="auto"/>
            <w:vAlign w:val="center"/>
            <w:hideMark/>
          </w:tcPr>
          <w:p w14:paraId="27212AB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1,58,08,118</w:t>
            </w:r>
          </w:p>
        </w:tc>
        <w:tc>
          <w:tcPr>
            <w:tcW w:w="977" w:type="dxa"/>
            <w:tcBorders>
              <w:top w:val="nil"/>
              <w:left w:val="nil"/>
              <w:bottom w:val="nil"/>
              <w:right w:val="single" w:sz="8" w:space="0" w:color="auto"/>
            </w:tcBorders>
            <w:shd w:val="clear" w:color="auto" w:fill="auto"/>
            <w:vAlign w:val="center"/>
            <w:hideMark/>
          </w:tcPr>
          <w:p w14:paraId="3E6FDCF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14,89,334</w:t>
            </w:r>
          </w:p>
        </w:tc>
        <w:tc>
          <w:tcPr>
            <w:tcW w:w="978" w:type="dxa"/>
            <w:tcBorders>
              <w:top w:val="nil"/>
              <w:left w:val="nil"/>
              <w:bottom w:val="nil"/>
              <w:right w:val="single" w:sz="8" w:space="0" w:color="auto"/>
            </w:tcBorders>
            <w:shd w:val="clear" w:color="auto" w:fill="auto"/>
            <w:vAlign w:val="center"/>
            <w:hideMark/>
          </w:tcPr>
          <w:p w14:paraId="647C8B3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17,02,126</w:t>
            </w:r>
          </w:p>
        </w:tc>
        <w:tc>
          <w:tcPr>
            <w:tcW w:w="998" w:type="dxa"/>
            <w:tcBorders>
              <w:top w:val="nil"/>
              <w:left w:val="nil"/>
              <w:bottom w:val="nil"/>
              <w:right w:val="single" w:sz="8" w:space="0" w:color="auto"/>
            </w:tcBorders>
            <w:shd w:val="clear" w:color="auto" w:fill="auto"/>
            <w:vAlign w:val="center"/>
            <w:hideMark/>
          </w:tcPr>
          <w:p w14:paraId="18F6235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8,11,361</w:t>
            </w:r>
          </w:p>
        </w:tc>
        <w:tc>
          <w:tcPr>
            <w:tcW w:w="977" w:type="dxa"/>
            <w:tcBorders>
              <w:top w:val="nil"/>
              <w:left w:val="nil"/>
              <w:bottom w:val="nil"/>
              <w:right w:val="single" w:sz="8" w:space="0" w:color="auto"/>
            </w:tcBorders>
            <w:shd w:val="clear" w:color="auto" w:fill="auto"/>
            <w:vAlign w:val="center"/>
            <w:hideMark/>
          </w:tcPr>
          <w:p w14:paraId="35B5757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95,451</w:t>
            </w:r>
          </w:p>
        </w:tc>
        <w:tc>
          <w:tcPr>
            <w:tcW w:w="977" w:type="dxa"/>
            <w:tcBorders>
              <w:top w:val="nil"/>
              <w:left w:val="nil"/>
              <w:bottom w:val="nil"/>
              <w:right w:val="single" w:sz="8" w:space="0" w:color="auto"/>
            </w:tcBorders>
            <w:shd w:val="clear" w:color="auto" w:fill="auto"/>
            <w:vAlign w:val="center"/>
            <w:hideMark/>
          </w:tcPr>
          <w:p w14:paraId="0D6892C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6,47,929</w:t>
            </w:r>
          </w:p>
        </w:tc>
      </w:tr>
      <w:tr w:rsidR="003656FA" w:rsidRPr="003656FA" w14:paraId="33FC9AA1"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4FCC570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BSE India Limited</w:t>
            </w:r>
          </w:p>
        </w:tc>
        <w:tc>
          <w:tcPr>
            <w:tcW w:w="1010" w:type="dxa"/>
            <w:tcBorders>
              <w:top w:val="nil"/>
              <w:left w:val="single" w:sz="8" w:space="0" w:color="auto"/>
              <w:bottom w:val="nil"/>
              <w:right w:val="single" w:sz="8" w:space="0" w:color="auto"/>
            </w:tcBorders>
            <w:shd w:val="clear" w:color="auto" w:fill="auto"/>
            <w:vAlign w:val="center"/>
            <w:hideMark/>
          </w:tcPr>
          <w:p w14:paraId="6D32D72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2,53,38,836</w:t>
            </w:r>
          </w:p>
        </w:tc>
        <w:tc>
          <w:tcPr>
            <w:tcW w:w="977" w:type="dxa"/>
            <w:tcBorders>
              <w:top w:val="nil"/>
              <w:left w:val="nil"/>
              <w:bottom w:val="nil"/>
              <w:right w:val="single" w:sz="8" w:space="0" w:color="auto"/>
            </w:tcBorders>
            <w:shd w:val="clear" w:color="auto" w:fill="auto"/>
            <w:vAlign w:val="center"/>
            <w:hideMark/>
          </w:tcPr>
          <w:p w14:paraId="5274841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25,412</w:t>
            </w:r>
          </w:p>
        </w:tc>
        <w:tc>
          <w:tcPr>
            <w:tcW w:w="978" w:type="dxa"/>
            <w:tcBorders>
              <w:top w:val="nil"/>
              <w:left w:val="nil"/>
              <w:bottom w:val="nil"/>
              <w:right w:val="single" w:sz="8" w:space="0" w:color="auto"/>
            </w:tcBorders>
            <w:shd w:val="clear" w:color="auto" w:fill="auto"/>
            <w:vAlign w:val="center"/>
            <w:hideMark/>
          </w:tcPr>
          <w:p w14:paraId="5AFCB56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5,29,097</w:t>
            </w:r>
          </w:p>
        </w:tc>
        <w:tc>
          <w:tcPr>
            <w:tcW w:w="998" w:type="dxa"/>
            <w:tcBorders>
              <w:top w:val="nil"/>
              <w:left w:val="nil"/>
              <w:bottom w:val="nil"/>
              <w:right w:val="single" w:sz="8" w:space="0" w:color="auto"/>
            </w:tcBorders>
            <w:shd w:val="clear" w:color="auto" w:fill="auto"/>
            <w:vAlign w:val="center"/>
            <w:hideMark/>
          </w:tcPr>
          <w:p w14:paraId="2BC7459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3,30,85,332</w:t>
            </w:r>
          </w:p>
        </w:tc>
        <w:tc>
          <w:tcPr>
            <w:tcW w:w="977" w:type="dxa"/>
            <w:tcBorders>
              <w:top w:val="nil"/>
              <w:left w:val="nil"/>
              <w:bottom w:val="nil"/>
              <w:right w:val="single" w:sz="8" w:space="0" w:color="auto"/>
            </w:tcBorders>
            <w:shd w:val="clear" w:color="auto" w:fill="auto"/>
            <w:vAlign w:val="center"/>
            <w:hideMark/>
          </w:tcPr>
          <w:p w14:paraId="16C4CB2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32,940</w:t>
            </w:r>
          </w:p>
        </w:tc>
        <w:tc>
          <w:tcPr>
            <w:tcW w:w="977" w:type="dxa"/>
            <w:tcBorders>
              <w:top w:val="nil"/>
              <w:left w:val="nil"/>
              <w:bottom w:val="nil"/>
              <w:right w:val="single" w:sz="8" w:space="0" w:color="auto"/>
            </w:tcBorders>
            <w:shd w:val="clear" w:color="auto" w:fill="auto"/>
            <w:vAlign w:val="center"/>
            <w:hideMark/>
          </w:tcPr>
          <w:p w14:paraId="16B189B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1,10,122</w:t>
            </w:r>
          </w:p>
        </w:tc>
      </w:tr>
      <w:tr w:rsidR="003656FA" w:rsidRPr="003656FA" w14:paraId="25E405C9"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7CC4DCF7"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Hong Kong Exchanges and Clearing</w:t>
            </w:r>
          </w:p>
        </w:tc>
        <w:tc>
          <w:tcPr>
            <w:tcW w:w="1010" w:type="dxa"/>
            <w:tcBorders>
              <w:top w:val="nil"/>
              <w:left w:val="single" w:sz="8" w:space="0" w:color="auto"/>
              <w:bottom w:val="nil"/>
              <w:right w:val="single" w:sz="8" w:space="0" w:color="auto"/>
            </w:tcBorders>
            <w:shd w:val="clear" w:color="auto" w:fill="auto"/>
            <w:vAlign w:val="center"/>
            <w:hideMark/>
          </w:tcPr>
          <w:p w14:paraId="275DDEB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1,46,707</w:t>
            </w:r>
          </w:p>
        </w:tc>
        <w:tc>
          <w:tcPr>
            <w:tcW w:w="977" w:type="dxa"/>
            <w:tcBorders>
              <w:top w:val="nil"/>
              <w:left w:val="nil"/>
              <w:bottom w:val="nil"/>
              <w:right w:val="single" w:sz="8" w:space="0" w:color="auto"/>
            </w:tcBorders>
            <w:shd w:val="clear" w:color="auto" w:fill="auto"/>
            <w:vAlign w:val="center"/>
            <w:hideMark/>
          </w:tcPr>
          <w:p w14:paraId="5735535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13,386</w:t>
            </w:r>
          </w:p>
        </w:tc>
        <w:tc>
          <w:tcPr>
            <w:tcW w:w="978" w:type="dxa"/>
            <w:tcBorders>
              <w:top w:val="nil"/>
              <w:left w:val="nil"/>
              <w:bottom w:val="nil"/>
              <w:right w:val="single" w:sz="8" w:space="0" w:color="auto"/>
            </w:tcBorders>
            <w:shd w:val="clear" w:color="auto" w:fill="auto"/>
            <w:vAlign w:val="center"/>
            <w:hideMark/>
          </w:tcPr>
          <w:p w14:paraId="33CA1F8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23,657</w:t>
            </w:r>
          </w:p>
        </w:tc>
        <w:tc>
          <w:tcPr>
            <w:tcW w:w="998" w:type="dxa"/>
            <w:tcBorders>
              <w:top w:val="nil"/>
              <w:left w:val="nil"/>
              <w:bottom w:val="nil"/>
              <w:right w:val="single" w:sz="8" w:space="0" w:color="auto"/>
            </w:tcBorders>
            <w:shd w:val="clear" w:color="auto" w:fill="auto"/>
            <w:vAlign w:val="center"/>
            <w:hideMark/>
          </w:tcPr>
          <w:p w14:paraId="6C28FE8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632</w:t>
            </w:r>
          </w:p>
        </w:tc>
        <w:tc>
          <w:tcPr>
            <w:tcW w:w="977" w:type="dxa"/>
            <w:tcBorders>
              <w:top w:val="nil"/>
              <w:left w:val="nil"/>
              <w:bottom w:val="nil"/>
              <w:right w:val="single" w:sz="8" w:space="0" w:color="auto"/>
            </w:tcBorders>
            <w:shd w:val="clear" w:color="auto" w:fill="auto"/>
            <w:vAlign w:val="center"/>
            <w:hideMark/>
          </w:tcPr>
          <w:p w14:paraId="7BB92B2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64</w:t>
            </w:r>
          </w:p>
        </w:tc>
        <w:tc>
          <w:tcPr>
            <w:tcW w:w="977" w:type="dxa"/>
            <w:tcBorders>
              <w:top w:val="nil"/>
              <w:left w:val="nil"/>
              <w:bottom w:val="nil"/>
              <w:right w:val="single" w:sz="8" w:space="0" w:color="auto"/>
            </w:tcBorders>
            <w:shd w:val="clear" w:color="auto" w:fill="auto"/>
            <w:vAlign w:val="center"/>
            <w:hideMark/>
          </w:tcPr>
          <w:p w14:paraId="09B9544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3,467</w:t>
            </w:r>
          </w:p>
        </w:tc>
      </w:tr>
      <w:tr w:rsidR="003656FA" w:rsidRPr="003656FA" w14:paraId="42FAF126"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37BEB48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Korea Exchange</w:t>
            </w:r>
          </w:p>
        </w:tc>
        <w:tc>
          <w:tcPr>
            <w:tcW w:w="1010" w:type="dxa"/>
            <w:tcBorders>
              <w:top w:val="nil"/>
              <w:left w:val="single" w:sz="8" w:space="0" w:color="auto"/>
              <w:bottom w:val="nil"/>
              <w:right w:val="single" w:sz="8" w:space="0" w:color="auto"/>
            </w:tcBorders>
            <w:shd w:val="clear" w:color="auto" w:fill="auto"/>
            <w:vAlign w:val="center"/>
            <w:hideMark/>
          </w:tcPr>
          <w:p w14:paraId="2A1F937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91,56,677</w:t>
            </w:r>
          </w:p>
        </w:tc>
        <w:tc>
          <w:tcPr>
            <w:tcW w:w="977" w:type="dxa"/>
            <w:tcBorders>
              <w:top w:val="nil"/>
              <w:left w:val="nil"/>
              <w:bottom w:val="nil"/>
              <w:right w:val="single" w:sz="8" w:space="0" w:color="auto"/>
            </w:tcBorders>
            <w:shd w:val="clear" w:color="auto" w:fill="auto"/>
            <w:vAlign w:val="center"/>
            <w:hideMark/>
          </w:tcPr>
          <w:p w14:paraId="186893C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92,052</w:t>
            </w:r>
          </w:p>
        </w:tc>
        <w:tc>
          <w:tcPr>
            <w:tcW w:w="978" w:type="dxa"/>
            <w:tcBorders>
              <w:top w:val="nil"/>
              <w:left w:val="nil"/>
              <w:bottom w:val="nil"/>
              <w:right w:val="single" w:sz="8" w:space="0" w:color="auto"/>
            </w:tcBorders>
            <w:shd w:val="clear" w:color="auto" w:fill="auto"/>
            <w:vAlign w:val="center"/>
            <w:hideMark/>
          </w:tcPr>
          <w:p w14:paraId="7EF9C31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7,69,069</w:t>
            </w:r>
          </w:p>
        </w:tc>
        <w:tc>
          <w:tcPr>
            <w:tcW w:w="998" w:type="dxa"/>
            <w:tcBorders>
              <w:top w:val="nil"/>
              <w:left w:val="nil"/>
              <w:bottom w:val="nil"/>
              <w:right w:val="single" w:sz="8" w:space="0" w:color="auto"/>
            </w:tcBorders>
            <w:shd w:val="clear" w:color="auto" w:fill="auto"/>
            <w:vAlign w:val="center"/>
            <w:hideMark/>
          </w:tcPr>
          <w:p w14:paraId="4EBEDB2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7" w:type="dxa"/>
            <w:tcBorders>
              <w:top w:val="nil"/>
              <w:left w:val="nil"/>
              <w:bottom w:val="nil"/>
              <w:right w:val="single" w:sz="8" w:space="0" w:color="auto"/>
            </w:tcBorders>
            <w:shd w:val="clear" w:color="auto" w:fill="auto"/>
            <w:vAlign w:val="center"/>
            <w:hideMark/>
          </w:tcPr>
          <w:p w14:paraId="0AE9E97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7" w:type="dxa"/>
            <w:tcBorders>
              <w:top w:val="nil"/>
              <w:left w:val="nil"/>
              <w:bottom w:val="nil"/>
              <w:right w:val="single" w:sz="8" w:space="0" w:color="auto"/>
            </w:tcBorders>
            <w:shd w:val="clear" w:color="auto" w:fill="auto"/>
            <w:vAlign w:val="center"/>
            <w:hideMark/>
          </w:tcPr>
          <w:p w14:paraId="4AAF527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5F56C37B"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300223CF"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National Stock Exchange of India</w:t>
            </w:r>
          </w:p>
        </w:tc>
        <w:tc>
          <w:tcPr>
            <w:tcW w:w="1010" w:type="dxa"/>
            <w:tcBorders>
              <w:top w:val="nil"/>
              <w:left w:val="single" w:sz="8" w:space="0" w:color="auto"/>
              <w:bottom w:val="nil"/>
              <w:right w:val="single" w:sz="8" w:space="0" w:color="auto"/>
            </w:tcBorders>
            <w:shd w:val="clear" w:color="auto" w:fill="auto"/>
            <w:vAlign w:val="center"/>
            <w:hideMark/>
          </w:tcPr>
          <w:p w14:paraId="5D24905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5,51,60,793</w:t>
            </w:r>
          </w:p>
        </w:tc>
        <w:tc>
          <w:tcPr>
            <w:tcW w:w="977" w:type="dxa"/>
            <w:tcBorders>
              <w:top w:val="nil"/>
              <w:left w:val="nil"/>
              <w:bottom w:val="nil"/>
              <w:right w:val="single" w:sz="8" w:space="0" w:color="auto"/>
            </w:tcBorders>
            <w:shd w:val="clear" w:color="auto" w:fill="auto"/>
            <w:vAlign w:val="center"/>
            <w:hideMark/>
          </w:tcPr>
          <w:p w14:paraId="5EC2592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57,310</w:t>
            </w:r>
          </w:p>
        </w:tc>
        <w:tc>
          <w:tcPr>
            <w:tcW w:w="978" w:type="dxa"/>
            <w:tcBorders>
              <w:top w:val="nil"/>
              <w:left w:val="nil"/>
              <w:bottom w:val="nil"/>
              <w:right w:val="single" w:sz="8" w:space="0" w:color="auto"/>
            </w:tcBorders>
            <w:shd w:val="clear" w:color="auto" w:fill="auto"/>
            <w:vAlign w:val="center"/>
            <w:hideMark/>
          </w:tcPr>
          <w:p w14:paraId="60E24D0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24,67,614</w:t>
            </w:r>
          </w:p>
        </w:tc>
        <w:tc>
          <w:tcPr>
            <w:tcW w:w="998" w:type="dxa"/>
            <w:tcBorders>
              <w:top w:val="nil"/>
              <w:left w:val="nil"/>
              <w:bottom w:val="nil"/>
              <w:right w:val="single" w:sz="8" w:space="0" w:color="auto"/>
            </w:tcBorders>
            <w:shd w:val="clear" w:color="auto" w:fill="auto"/>
            <w:vAlign w:val="center"/>
            <w:hideMark/>
          </w:tcPr>
          <w:p w14:paraId="64B22A6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6,83,56,988</w:t>
            </w:r>
          </w:p>
        </w:tc>
        <w:tc>
          <w:tcPr>
            <w:tcW w:w="977" w:type="dxa"/>
            <w:tcBorders>
              <w:top w:val="nil"/>
              <w:left w:val="nil"/>
              <w:bottom w:val="nil"/>
              <w:right w:val="single" w:sz="8" w:space="0" w:color="auto"/>
            </w:tcBorders>
            <w:shd w:val="clear" w:color="auto" w:fill="auto"/>
            <w:vAlign w:val="center"/>
            <w:hideMark/>
          </w:tcPr>
          <w:p w14:paraId="2210E2D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68,614</w:t>
            </w:r>
          </w:p>
        </w:tc>
        <w:tc>
          <w:tcPr>
            <w:tcW w:w="977" w:type="dxa"/>
            <w:tcBorders>
              <w:top w:val="nil"/>
              <w:left w:val="nil"/>
              <w:bottom w:val="nil"/>
              <w:right w:val="single" w:sz="8" w:space="0" w:color="auto"/>
            </w:tcBorders>
            <w:shd w:val="clear" w:color="auto" w:fill="auto"/>
            <w:vAlign w:val="center"/>
            <w:hideMark/>
          </w:tcPr>
          <w:p w14:paraId="7CDA575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27,50,855</w:t>
            </w:r>
          </w:p>
        </w:tc>
      </w:tr>
      <w:tr w:rsidR="003656FA" w:rsidRPr="003656FA" w14:paraId="6A5F2605"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1E963C2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Singapore Exchange</w:t>
            </w:r>
          </w:p>
        </w:tc>
        <w:tc>
          <w:tcPr>
            <w:tcW w:w="1010" w:type="dxa"/>
            <w:tcBorders>
              <w:top w:val="nil"/>
              <w:left w:val="single" w:sz="8" w:space="0" w:color="auto"/>
              <w:bottom w:val="nil"/>
              <w:right w:val="single" w:sz="8" w:space="0" w:color="auto"/>
            </w:tcBorders>
            <w:shd w:val="clear" w:color="auto" w:fill="auto"/>
            <w:vAlign w:val="center"/>
            <w:hideMark/>
          </w:tcPr>
          <w:p w14:paraId="048E37F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16,69,400</w:t>
            </w:r>
          </w:p>
        </w:tc>
        <w:tc>
          <w:tcPr>
            <w:tcW w:w="977" w:type="dxa"/>
            <w:tcBorders>
              <w:top w:val="nil"/>
              <w:left w:val="nil"/>
              <w:bottom w:val="nil"/>
              <w:right w:val="single" w:sz="8" w:space="0" w:color="auto"/>
            </w:tcBorders>
            <w:shd w:val="clear" w:color="auto" w:fill="auto"/>
            <w:vAlign w:val="center"/>
            <w:hideMark/>
          </w:tcPr>
          <w:p w14:paraId="5F053D5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8" w:type="dxa"/>
            <w:tcBorders>
              <w:top w:val="nil"/>
              <w:left w:val="nil"/>
              <w:bottom w:val="nil"/>
              <w:right w:val="single" w:sz="8" w:space="0" w:color="auto"/>
            </w:tcBorders>
            <w:shd w:val="clear" w:color="auto" w:fill="auto"/>
            <w:vAlign w:val="center"/>
            <w:hideMark/>
          </w:tcPr>
          <w:p w14:paraId="670E36A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1,12,013</w:t>
            </w:r>
          </w:p>
        </w:tc>
        <w:tc>
          <w:tcPr>
            <w:tcW w:w="998" w:type="dxa"/>
            <w:tcBorders>
              <w:top w:val="nil"/>
              <w:left w:val="nil"/>
              <w:bottom w:val="nil"/>
              <w:right w:val="single" w:sz="8" w:space="0" w:color="auto"/>
            </w:tcBorders>
            <w:shd w:val="clear" w:color="auto" w:fill="auto"/>
            <w:vAlign w:val="center"/>
            <w:hideMark/>
          </w:tcPr>
          <w:p w14:paraId="2754540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280</w:t>
            </w:r>
          </w:p>
        </w:tc>
        <w:tc>
          <w:tcPr>
            <w:tcW w:w="977" w:type="dxa"/>
            <w:tcBorders>
              <w:top w:val="nil"/>
              <w:left w:val="nil"/>
              <w:bottom w:val="nil"/>
              <w:right w:val="single" w:sz="8" w:space="0" w:color="auto"/>
            </w:tcBorders>
            <w:shd w:val="clear" w:color="auto" w:fill="auto"/>
            <w:vAlign w:val="center"/>
            <w:hideMark/>
          </w:tcPr>
          <w:p w14:paraId="6929625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7" w:type="dxa"/>
            <w:tcBorders>
              <w:top w:val="nil"/>
              <w:left w:val="nil"/>
              <w:bottom w:val="nil"/>
              <w:right w:val="single" w:sz="8" w:space="0" w:color="auto"/>
            </w:tcBorders>
            <w:shd w:val="clear" w:color="auto" w:fill="auto"/>
            <w:vAlign w:val="center"/>
            <w:hideMark/>
          </w:tcPr>
          <w:p w14:paraId="73ADB75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355</w:t>
            </w:r>
          </w:p>
        </w:tc>
      </w:tr>
      <w:tr w:rsidR="003656FA" w:rsidRPr="003656FA" w14:paraId="5C36C646"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5F428E9E"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Taiwan Futures Exchange</w:t>
            </w:r>
          </w:p>
        </w:tc>
        <w:tc>
          <w:tcPr>
            <w:tcW w:w="1010" w:type="dxa"/>
            <w:tcBorders>
              <w:top w:val="nil"/>
              <w:left w:val="single" w:sz="8" w:space="0" w:color="auto"/>
              <w:bottom w:val="nil"/>
              <w:right w:val="single" w:sz="8" w:space="0" w:color="auto"/>
            </w:tcBorders>
            <w:shd w:val="clear" w:color="auto" w:fill="auto"/>
            <w:vAlign w:val="center"/>
            <w:hideMark/>
          </w:tcPr>
          <w:p w14:paraId="1766267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33,866</w:t>
            </w:r>
          </w:p>
        </w:tc>
        <w:tc>
          <w:tcPr>
            <w:tcW w:w="977" w:type="dxa"/>
            <w:tcBorders>
              <w:top w:val="nil"/>
              <w:left w:val="nil"/>
              <w:bottom w:val="nil"/>
              <w:right w:val="single" w:sz="8" w:space="0" w:color="auto"/>
            </w:tcBorders>
            <w:shd w:val="clear" w:color="auto" w:fill="auto"/>
            <w:vAlign w:val="center"/>
            <w:hideMark/>
          </w:tcPr>
          <w:p w14:paraId="44DE0EE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957</w:t>
            </w:r>
          </w:p>
        </w:tc>
        <w:tc>
          <w:tcPr>
            <w:tcW w:w="978" w:type="dxa"/>
            <w:tcBorders>
              <w:top w:val="nil"/>
              <w:left w:val="nil"/>
              <w:bottom w:val="nil"/>
              <w:right w:val="single" w:sz="8" w:space="0" w:color="auto"/>
            </w:tcBorders>
            <w:shd w:val="clear" w:color="auto" w:fill="auto"/>
            <w:vAlign w:val="center"/>
            <w:hideMark/>
          </w:tcPr>
          <w:p w14:paraId="15EF6B5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2,947</w:t>
            </w:r>
          </w:p>
        </w:tc>
        <w:tc>
          <w:tcPr>
            <w:tcW w:w="998" w:type="dxa"/>
            <w:tcBorders>
              <w:top w:val="nil"/>
              <w:left w:val="nil"/>
              <w:bottom w:val="nil"/>
              <w:right w:val="single" w:sz="8" w:space="0" w:color="auto"/>
            </w:tcBorders>
            <w:shd w:val="clear" w:color="auto" w:fill="auto"/>
            <w:vAlign w:val="center"/>
            <w:hideMark/>
          </w:tcPr>
          <w:p w14:paraId="1CF4FEB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3,144</w:t>
            </w:r>
          </w:p>
        </w:tc>
        <w:tc>
          <w:tcPr>
            <w:tcW w:w="977" w:type="dxa"/>
            <w:tcBorders>
              <w:top w:val="nil"/>
              <w:left w:val="nil"/>
              <w:bottom w:val="nil"/>
              <w:right w:val="single" w:sz="8" w:space="0" w:color="auto"/>
            </w:tcBorders>
            <w:shd w:val="clear" w:color="auto" w:fill="auto"/>
            <w:vAlign w:val="center"/>
            <w:hideMark/>
          </w:tcPr>
          <w:p w14:paraId="7DDD32E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86</w:t>
            </w:r>
          </w:p>
        </w:tc>
        <w:tc>
          <w:tcPr>
            <w:tcW w:w="977" w:type="dxa"/>
            <w:tcBorders>
              <w:top w:val="nil"/>
              <w:left w:val="nil"/>
              <w:bottom w:val="nil"/>
              <w:right w:val="single" w:sz="8" w:space="0" w:color="auto"/>
            </w:tcBorders>
            <w:shd w:val="clear" w:color="auto" w:fill="auto"/>
            <w:vAlign w:val="center"/>
            <w:hideMark/>
          </w:tcPr>
          <w:p w14:paraId="29F5F7F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594</w:t>
            </w:r>
          </w:p>
        </w:tc>
      </w:tr>
      <w:tr w:rsidR="003656FA" w:rsidRPr="003656FA" w14:paraId="507B27A8"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3C615BD3"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Thailand Futures Exchange</w:t>
            </w:r>
          </w:p>
        </w:tc>
        <w:tc>
          <w:tcPr>
            <w:tcW w:w="1010" w:type="dxa"/>
            <w:tcBorders>
              <w:top w:val="nil"/>
              <w:left w:val="single" w:sz="8" w:space="0" w:color="auto"/>
              <w:bottom w:val="nil"/>
              <w:right w:val="single" w:sz="8" w:space="0" w:color="auto"/>
            </w:tcBorders>
            <w:shd w:val="clear" w:color="auto" w:fill="auto"/>
            <w:vAlign w:val="center"/>
            <w:hideMark/>
          </w:tcPr>
          <w:p w14:paraId="7E0C72C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3,91,592</w:t>
            </w:r>
          </w:p>
        </w:tc>
        <w:tc>
          <w:tcPr>
            <w:tcW w:w="977" w:type="dxa"/>
            <w:tcBorders>
              <w:top w:val="nil"/>
              <w:left w:val="nil"/>
              <w:bottom w:val="nil"/>
              <w:right w:val="single" w:sz="8" w:space="0" w:color="auto"/>
            </w:tcBorders>
            <w:shd w:val="clear" w:color="auto" w:fill="auto"/>
            <w:vAlign w:val="center"/>
            <w:hideMark/>
          </w:tcPr>
          <w:p w14:paraId="3E9D622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8" w:type="dxa"/>
            <w:tcBorders>
              <w:top w:val="nil"/>
              <w:left w:val="nil"/>
              <w:bottom w:val="nil"/>
              <w:right w:val="single" w:sz="8" w:space="0" w:color="auto"/>
            </w:tcBorders>
            <w:shd w:val="clear" w:color="auto" w:fill="auto"/>
            <w:vAlign w:val="center"/>
            <w:hideMark/>
          </w:tcPr>
          <w:p w14:paraId="36CACB2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39,132</w:t>
            </w:r>
          </w:p>
        </w:tc>
        <w:tc>
          <w:tcPr>
            <w:tcW w:w="998" w:type="dxa"/>
            <w:tcBorders>
              <w:top w:val="nil"/>
              <w:left w:val="nil"/>
              <w:bottom w:val="nil"/>
              <w:right w:val="single" w:sz="8" w:space="0" w:color="auto"/>
            </w:tcBorders>
            <w:shd w:val="clear" w:color="auto" w:fill="auto"/>
            <w:vAlign w:val="center"/>
            <w:hideMark/>
          </w:tcPr>
          <w:p w14:paraId="1CDF98D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7" w:type="dxa"/>
            <w:tcBorders>
              <w:top w:val="nil"/>
              <w:left w:val="nil"/>
              <w:bottom w:val="nil"/>
              <w:right w:val="single" w:sz="8" w:space="0" w:color="auto"/>
            </w:tcBorders>
            <w:shd w:val="clear" w:color="auto" w:fill="auto"/>
            <w:vAlign w:val="center"/>
            <w:hideMark/>
          </w:tcPr>
          <w:p w14:paraId="48F7408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7" w:type="dxa"/>
            <w:tcBorders>
              <w:top w:val="nil"/>
              <w:left w:val="nil"/>
              <w:bottom w:val="nil"/>
              <w:right w:val="single" w:sz="8" w:space="0" w:color="auto"/>
            </w:tcBorders>
            <w:shd w:val="clear" w:color="auto" w:fill="auto"/>
            <w:vAlign w:val="center"/>
            <w:hideMark/>
          </w:tcPr>
          <w:p w14:paraId="50726AE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1FAE6645"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1FAD43C8"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Borsa Istanbul</w:t>
            </w:r>
          </w:p>
        </w:tc>
        <w:tc>
          <w:tcPr>
            <w:tcW w:w="1010" w:type="dxa"/>
            <w:tcBorders>
              <w:top w:val="nil"/>
              <w:left w:val="single" w:sz="8" w:space="0" w:color="auto"/>
              <w:bottom w:val="nil"/>
              <w:right w:val="single" w:sz="8" w:space="0" w:color="auto"/>
            </w:tcBorders>
            <w:shd w:val="clear" w:color="auto" w:fill="auto"/>
            <w:vAlign w:val="center"/>
            <w:hideMark/>
          </w:tcPr>
          <w:p w14:paraId="550E0AC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37,87,499</w:t>
            </w:r>
          </w:p>
        </w:tc>
        <w:tc>
          <w:tcPr>
            <w:tcW w:w="977" w:type="dxa"/>
            <w:tcBorders>
              <w:top w:val="nil"/>
              <w:left w:val="nil"/>
              <w:bottom w:val="nil"/>
              <w:right w:val="single" w:sz="8" w:space="0" w:color="auto"/>
            </w:tcBorders>
            <w:shd w:val="clear" w:color="auto" w:fill="auto"/>
            <w:vAlign w:val="center"/>
            <w:hideMark/>
          </w:tcPr>
          <w:p w14:paraId="16C033D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3,910</w:t>
            </w:r>
          </w:p>
        </w:tc>
        <w:tc>
          <w:tcPr>
            <w:tcW w:w="978" w:type="dxa"/>
            <w:tcBorders>
              <w:top w:val="nil"/>
              <w:left w:val="nil"/>
              <w:bottom w:val="nil"/>
              <w:right w:val="single" w:sz="8" w:space="0" w:color="auto"/>
            </w:tcBorders>
            <w:shd w:val="clear" w:color="auto" w:fill="auto"/>
            <w:vAlign w:val="center"/>
            <w:hideMark/>
          </w:tcPr>
          <w:p w14:paraId="66914D6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15,86,416</w:t>
            </w:r>
          </w:p>
        </w:tc>
        <w:tc>
          <w:tcPr>
            <w:tcW w:w="998" w:type="dxa"/>
            <w:tcBorders>
              <w:top w:val="nil"/>
              <w:left w:val="nil"/>
              <w:bottom w:val="nil"/>
              <w:right w:val="single" w:sz="8" w:space="0" w:color="auto"/>
            </w:tcBorders>
            <w:shd w:val="clear" w:color="auto" w:fill="auto"/>
            <w:vAlign w:val="center"/>
            <w:hideMark/>
          </w:tcPr>
          <w:p w14:paraId="6F53CFF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17,623</w:t>
            </w:r>
          </w:p>
        </w:tc>
        <w:tc>
          <w:tcPr>
            <w:tcW w:w="977" w:type="dxa"/>
            <w:tcBorders>
              <w:top w:val="nil"/>
              <w:left w:val="nil"/>
              <w:bottom w:val="nil"/>
              <w:right w:val="single" w:sz="8" w:space="0" w:color="auto"/>
            </w:tcBorders>
            <w:shd w:val="clear" w:color="auto" w:fill="auto"/>
            <w:vAlign w:val="center"/>
            <w:hideMark/>
          </w:tcPr>
          <w:p w14:paraId="7D5D5B1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w:t>
            </w:r>
          </w:p>
        </w:tc>
        <w:tc>
          <w:tcPr>
            <w:tcW w:w="977" w:type="dxa"/>
            <w:tcBorders>
              <w:top w:val="nil"/>
              <w:left w:val="nil"/>
              <w:bottom w:val="nil"/>
              <w:right w:val="single" w:sz="8" w:space="0" w:color="auto"/>
            </w:tcBorders>
            <w:shd w:val="clear" w:color="auto" w:fill="auto"/>
            <w:vAlign w:val="center"/>
            <w:hideMark/>
          </w:tcPr>
          <w:p w14:paraId="017C7C0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11,791</w:t>
            </w:r>
          </w:p>
        </w:tc>
      </w:tr>
      <w:tr w:rsidR="003656FA" w:rsidRPr="003656FA" w14:paraId="6971A50A"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00961D1E"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Budapest Stock Exchange</w:t>
            </w:r>
          </w:p>
        </w:tc>
        <w:tc>
          <w:tcPr>
            <w:tcW w:w="1010" w:type="dxa"/>
            <w:tcBorders>
              <w:top w:val="nil"/>
              <w:left w:val="single" w:sz="8" w:space="0" w:color="auto"/>
              <w:bottom w:val="nil"/>
              <w:right w:val="single" w:sz="8" w:space="0" w:color="auto"/>
            </w:tcBorders>
            <w:shd w:val="clear" w:color="auto" w:fill="auto"/>
            <w:vAlign w:val="center"/>
            <w:hideMark/>
          </w:tcPr>
          <w:p w14:paraId="19E7C1C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3,74,067</w:t>
            </w:r>
          </w:p>
        </w:tc>
        <w:tc>
          <w:tcPr>
            <w:tcW w:w="977" w:type="dxa"/>
            <w:tcBorders>
              <w:top w:val="nil"/>
              <w:left w:val="nil"/>
              <w:bottom w:val="nil"/>
              <w:right w:val="single" w:sz="8" w:space="0" w:color="auto"/>
            </w:tcBorders>
            <w:shd w:val="clear" w:color="auto" w:fill="auto"/>
            <w:vAlign w:val="center"/>
            <w:hideMark/>
          </w:tcPr>
          <w:p w14:paraId="6B01E87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433</w:t>
            </w:r>
          </w:p>
        </w:tc>
        <w:tc>
          <w:tcPr>
            <w:tcW w:w="978" w:type="dxa"/>
            <w:tcBorders>
              <w:top w:val="nil"/>
              <w:left w:val="nil"/>
              <w:bottom w:val="nil"/>
              <w:right w:val="single" w:sz="8" w:space="0" w:color="auto"/>
            </w:tcBorders>
            <w:shd w:val="clear" w:color="auto" w:fill="auto"/>
            <w:vAlign w:val="center"/>
            <w:hideMark/>
          </w:tcPr>
          <w:p w14:paraId="4340F46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4,92,722</w:t>
            </w:r>
          </w:p>
        </w:tc>
        <w:tc>
          <w:tcPr>
            <w:tcW w:w="998" w:type="dxa"/>
            <w:tcBorders>
              <w:top w:val="nil"/>
              <w:left w:val="nil"/>
              <w:bottom w:val="nil"/>
              <w:right w:val="single" w:sz="8" w:space="0" w:color="auto"/>
            </w:tcBorders>
            <w:shd w:val="clear" w:color="auto" w:fill="auto"/>
            <w:vAlign w:val="center"/>
            <w:hideMark/>
          </w:tcPr>
          <w:p w14:paraId="2DECE9F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100</w:t>
            </w:r>
          </w:p>
        </w:tc>
        <w:tc>
          <w:tcPr>
            <w:tcW w:w="977" w:type="dxa"/>
            <w:tcBorders>
              <w:top w:val="nil"/>
              <w:left w:val="nil"/>
              <w:bottom w:val="nil"/>
              <w:right w:val="single" w:sz="8" w:space="0" w:color="auto"/>
            </w:tcBorders>
            <w:shd w:val="clear" w:color="auto" w:fill="auto"/>
            <w:vAlign w:val="center"/>
            <w:hideMark/>
          </w:tcPr>
          <w:p w14:paraId="74D8545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7" w:type="dxa"/>
            <w:tcBorders>
              <w:top w:val="nil"/>
              <w:left w:val="nil"/>
              <w:bottom w:val="nil"/>
              <w:right w:val="single" w:sz="8" w:space="0" w:color="auto"/>
            </w:tcBorders>
            <w:shd w:val="clear" w:color="auto" w:fill="auto"/>
            <w:vAlign w:val="center"/>
            <w:hideMark/>
          </w:tcPr>
          <w:p w14:paraId="2A285C8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100</w:t>
            </w:r>
          </w:p>
        </w:tc>
      </w:tr>
      <w:tr w:rsidR="003656FA" w:rsidRPr="003656FA" w14:paraId="4FACCFE1"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47D56B37"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Moscow Exchange</w:t>
            </w:r>
          </w:p>
        </w:tc>
        <w:tc>
          <w:tcPr>
            <w:tcW w:w="1010" w:type="dxa"/>
            <w:tcBorders>
              <w:top w:val="nil"/>
              <w:left w:val="single" w:sz="8" w:space="0" w:color="auto"/>
              <w:bottom w:val="nil"/>
              <w:right w:val="single" w:sz="8" w:space="0" w:color="auto"/>
            </w:tcBorders>
            <w:shd w:val="clear" w:color="auto" w:fill="auto"/>
            <w:vAlign w:val="center"/>
            <w:hideMark/>
          </w:tcPr>
          <w:p w14:paraId="617EFD1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6,12,01,541</w:t>
            </w:r>
          </w:p>
        </w:tc>
        <w:tc>
          <w:tcPr>
            <w:tcW w:w="977" w:type="dxa"/>
            <w:tcBorders>
              <w:top w:val="nil"/>
              <w:left w:val="nil"/>
              <w:bottom w:val="nil"/>
              <w:right w:val="single" w:sz="8" w:space="0" w:color="auto"/>
            </w:tcBorders>
            <w:shd w:val="clear" w:color="auto" w:fill="auto"/>
            <w:vAlign w:val="center"/>
            <w:hideMark/>
          </w:tcPr>
          <w:p w14:paraId="5FC11D1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60,325</w:t>
            </w:r>
          </w:p>
        </w:tc>
        <w:tc>
          <w:tcPr>
            <w:tcW w:w="978" w:type="dxa"/>
            <w:tcBorders>
              <w:top w:val="nil"/>
              <w:left w:val="nil"/>
              <w:bottom w:val="nil"/>
              <w:right w:val="single" w:sz="8" w:space="0" w:color="auto"/>
            </w:tcBorders>
            <w:shd w:val="clear" w:color="auto" w:fill="auto"/>
            <w:vAlign w:val="center"/>
            <w:hideMark/>
          </w:tcPr>
          <w:p w14:paraId="0E86209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34,98,688</w:t>
            </w:r>
          </w:p>
        </w:tc>
        <w:tc>
          <w:tcPr>
            <w:tcW w:w="998" w:type="dxa"/>
            <w:tcBorders>
              <w:top w:val="nil"/>
              <w:left w:val="nil"/>
              <w:bottom w:val="nil"/>
              <w:right w:val="single" w:sz="8" w:space="0" w:color="auto"/>
            </w:tcBorders>
            <w:shd w:val="clear" w:color="auto" w:fill="auto"/>
            <w:vAlign w:val="center"/>
            <w:hideMark/>
          </w:tcPr>
          <w:p w14:paraId="4A9C6EB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14,11,082</w:t>
            </w:r>
          </w:p>
        </w:tc>
        <w:tc>
          <w:tcPr>
            <w:tcW w:w="977" w:type="dxa"/>
            <w:tcBorders>
              <w:top w:val="nil"/>
              <w:left w:val="nil"/>
              <w:bottom w:val="nil"/>
              <w:right w:val="single" w:sz="8" w:space="0" w:color="auto"/>
            </w:tcBorders>
            <w:shd w:val="clear" w:color="auto" w:fill="auto"/>
            <w:vAlign w:val="center"/>
            <w:hideMark/>
          </w:tcPr>
          <w:p w14:paraId="6E50F92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1,391</w:t>
            </w:r>
          </w:p>
        </w:tc>
        <w:tc>
          <w:tcPr>
            <w:tcW w:w="977" w:type="dxa"/>
            <w:tcBorders>
              <w:top w:val="nil"/>
              <w:left w:val="nil"/>
              <w:bottom w:val="nil"/>
              <w:right w:val="single" w:sz="8" w:space="0" w:color="auto"/>
            </w:tcBorders>
            <w:shd w:val="clear" w:color="auto" w:fill="auto"/>
            <w:vAlign w:val="center"/>
            <w:hideMark/>
          </w:tcPr>
          <w:p w14:paraId="3372A19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9,88,118</w:t>
            </w:r>
          </w:p>
        </w:tc>
      </w:tr>
      <w:tr w:rsidR="003656FA" w:rsidRPr="003656FA" w14:paraId="373E8BA3" w14:textId="77777777" w:rsidTr="00A92684">
        <w:trPr>
          <w:trHeight w:val="243"/>
        </w:trPr>
        <w:tc>
          <w:tcPr>
            <w:tcW w:w="3135" w:type="dxa"/>
            <w:tcBorders>
              <w:top w:val="nil"/>
              <w:left w:val="single" w:sz="4" w:space="0" w:color="auto"/>
              <w:bottom w:val="nil"/>
              <w:right w:val="nil"/>
            </w:tcBorders>
            <w:shd w:val="clear" w:color="000000" w:fill="B4C6E7"/>
            <w:vAlign w:val="center"/>
            <w:hideMark/>
          </w:tcPr>
          <w:p w14:paraId="33AFB7EA"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Tel-Aviv Stock Exchange</w:t>
            </w:r>
          </w:p>
        </w:tc>
        <w:tc>
          <w:tcPr>
            <w:tcW w:w="1010" w:type="dxa"/>
            <w:tcBorders>
              <w:top w:val="nil"/>
              <w:left w:val="single" w:sz="8" w:space="0" w:color="auto"/>
              <w:bottom w:val="nil"/>
              <w:right w:val="single" w:sz="8" w:space="0" w:color="auto"/>
            </w:tcBorders>
            <w:shd w:val="clear" w:color="auto" w:fill="auto"/>
            <w:vAlign w:val="center"/>
            <w:hideMark/>
          </w:tcPr>
          <w:p w14:paraId="772F694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7" w:type="dxa"/>
            <w:tcBorders>
              <w:top w:val="nil"/>
              <w:left w:val="nil"/>
              <w:bottom w:val="nil"/>
              <w:right w:val="single" w:sz="8" w:space="0" w:color="auto"/>
            </w:tcBorders>
            <w:shd w:val="clear" w:color="auto" w:fill="auto"/>
            <w:vAlign w:val="center"/>
            <w:hideMark/>
          </w:tcPr>
          <w:p w14:paraId="70E7418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8" w:type="dxa"/>
            <w:tcBorders>
              <w:top w:val="nil"/>
              <w:left w:val="nil"/>
              <w:bottom w:val="nil"/>
              <w:right w:val="single" w:sz="8" w:space="0" w:color="auto"/>
            </w:tcBorders>
            <w:shd w:val="clear" w:color="auto" w:fill="auto"/>
            <w:vAlign w:val="center"/>
            <w:hideMark/>
          </w:tcPr>
          <w:p w14:paraId="72CAC03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98" w:type="dxa"/>
            <w:tcBorders>
              <w:top w:val="nil"/>
              <w:left w:val="nil"/>
              <w:bottom w:val="nil"/>
              <w:right w:val="single" w:sz="8" w:space="0" w:color="auto"/>
            </w:tcBorders>
            <w:shd w:val="clear" w:color="auto" w:fill="auto"/>
            <w:vAlign w:val="center"/>
            <w:hideMark/>
          </w:tcPr>
          <w:p w14:paraId="673D2A3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10,66,421</w:t>
            </w:r>
          </w:p>
        </w:tc>
        <w:tc>
          <w:tcPr>
            <w:tcW w:w="977" w:type="dxa"/>
            <w:tcBorders>
              <w:top w:val="nil"/>
              <w:left w:val="nil"/>
              <w:bottom w:val="nil"/>
              <w:right w:val="single" w:sz="8" w:space="0" w:color="auto"/>
            </w:tcBorders>
            <w:shd w:val="clear" w:color="auto" w:fill="auto"/>
            <w:vAlign w:val="center"/>
            <w:hideMark/>
          </w:tcPr>
          <w:p w14:paraId="308A56C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10,804</w:t>
            </w:r>
          </w:p>
        </w:tc>
        <w:tc>
          <w:tcPr>
            <w:tcW w:w="977" w:type="dxa"/>
            <w:tcBorders>
              <w:top w:val="nil"/>
              <w:left w:val="nil"/>
              <w:bottom w:val="nil"/>
              <w:right w:val="single" w:sz="8" w:space="0" w:color="auto"/>
            </w:tcBorders>
            <w:shd w:val="clear" w:color="auto" w:fill="auto"/>
            <w:vAlign w:val="center"/>
            <w:hideMark/>
          </w:tcPr>
          <w:p w14:paraId="462FEA5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4,71,605</w:t>
            </w:r>
          </w:p>
        </w:tc>
      </w:tr>
      <w:tr w:rsidR="003656FA" w:rsidRPr="003656FA" w14:paraId="55777F9C" w14:textId="77777777" w:rsidTr="00A92684">
        <w:trPr>
          <w:trHeight w:val="255"/>
        </w:trPr>
        <w:tc>
          <w:tcPr>
            <w:tcW w:w="3135" w:type="dxa"/>
            <w:tcBorders>
              <w:top w:val="nil"/>
              <w:left w:val="single" w:sz="4" w:space="0" w:color="auto"/>
              <w:bottom w:val="nil"/>
              <w:right w:val="nil"/>
            </w:tcBorders>
            <w:shd w:val="clear" w:color="000000" w:fill="B4C6E7"/>
            <w:vAlign w:val="center"/>
            <w:hideMark/>
          </w:tcPr>
          <w:p w14:paraId="757FB93D"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Dubai Gold and Commodities Exchange</w:t>
            </w:r>
          </w:p>
        </w:tc>
        <w:tc>
          <w:tcPr>
            <w:tcW w:w="1010" w:type="dxa"/>
            <w:tcBorders>
              <w:top w:val="nil"/>
              <w:left w:val="single" w:sz="8" w:space="0" w:color="auto"/>
              <w:bottom w:val="single" w:sz="8" w:space="0" w:color="auto"/>
              <w:right w:val="single" w:sz="8" w:space="0" w:color="auto"/>
            </w:tcBorders>
            <w:shd w:val="clear" w:color="auto" w:fill="auto"/>
            <w:vAlign w:val="center"/>
            <w:hideMark/>
          </w:tcPr>
          <w:p w14:paraId="3FF24ED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9,02,840</w:t>
            </w:r>
          </w:p>
        </w:tc>
        <w:tc>
          <w:tcPr>
            <w:tcW w:w="977" w:type="dxa"/>
            <w:tcBorders>
              <w:top w:val="nil"/>
              <w:left w:val="nil"/>
              <w:bottom w:val="single" w:sz="8" w:space="0" w:color="auto"/>
              <w:right w:val="single" w:sz="8" w:space="0" w:color="auto"/>
            </w:tcBorders>
            <w:shd w:val="clear" w:color="auto" w:fill="auto"/>
            <w:vAlign w:val="center"/>
            <w:hideMark/>
          </w:tcPr>
          <w:p w14:paraId="4DC8A8A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6,162</w:t>
            </w:r>
          </w:p>
        </w:tc>
        <w:tc>
          <w:tcPr>
            <w:tcW w:w="978" w:type="dxa"/>
            <w:tcBorders>
              <w:top w:val="nil"/>
              <w:left w:val="nil"/>
              <w:bottom w:val="single" w:sz="8" w:space="0" w:color="auto"/>
              <w:right w:val="single" w:sz="8" w:space="0" w:color="auto"/>
            </w:tcBorders>
            <w:shd w:val="clear" w:color="auto" w:fill="auto"/>
            <w:vAlign w:val="center"/>
            <w:hideMark/>
          </w:tcPr>
          <w:p w14:paraId="25FA571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1,38,358</w:t>
            </w:r>
          </w:p>
        </w:tc>
        <w:tc>
          <w:tcPr>
            <w:tcW w:w="998" w:type="dxa"/>
            <w:tcBorders>
              <w:top w:val="nil"/>
              <w:left w:val="nil"/>
              <w:bottom w:val="single" w:sz="8" w:space="0" w:color="auto"/>
              <w:right w:val="single" w:sz="8" w:space="0" w:color="auto"/>
            </w:tcBorders>
            <w:shd w:val="clear" w:color="auto" w:fill="auto"/>
            <w:vAlign w:val="center"/>
            <w:hideMark/>
          </w:tcPr>
          <w:p w14:paraId="0FEB2FE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w:t>
            </w:r>
          </w:p>
        </w:tc>
        <w:tc>
          <w:tcPr>
            <w:tcW w:w="977" w:type="dxa"/>
            <w:tcBorders>
              <w:top w:val="nil"/>
              <w:left w:val="nil"/>
              <w:bottom w:val="single" w:sz="8" w:space="0" w:color="auto"/>
              <w:right w:val="single" w:sz="8" w:space="0" w:color="auto"/>
            </w:tcBorders>
            <w:shd w:val="clear" w:color="auto" w:fill="auto"/>
            <w:vAlign w:val="center"/>
            <w:hideMark/>
          </w:tcPr>
          <w:p w14:paraId="4C9A372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977" w:type="dxa"/>
            <w:tcBorders>
              <w:top w:val="nil"/>
              <w:left w:val="nil"/>
              <w:bottom w:val="single" w:sz="8" w:space="0" w:color="auto"/>
              <w:right w:val="single" w:sz="8" w:space="0" w:color="auto"/>
            </w:tcBorders>
            <w:shd w:val="clear" w:color="auto" w:fill="auto"/>
            <w:vAlign w:val="center"/>
            <w:hideMark/>
          </w:tcPr>
          <w:p w14:paraId="53433C9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76AB34E8" w14:textId="77777777" w:rsidTr="00A92684">
        <w:trPr>
          <w:trHeight w:val="255"/>
        </w:trPr>
        <w:tc>
          <w:tcPr>
            <w:tcW w:w="3135" w:type="dxa"/>
            <w:tcBorders>
              <w:top w:val="single" w:sz="8" w:space="0" w:color="auto"/>
              <w:left w:val="single" w:sz="8" w:space="0" w:color="auto"/>
              <w:bottom w:val="single" w:sz="8" w:space="0" w:color="auto"/>
              <w:right w:val="nil"/>
            </w:tcBorders>
            <w:shd w:val="clear" w:color="000000" w:fill="D9E1F2"/>
            <w:vAlign w:val="center"/>
            <w:hideMark/>
          </w:tcPr>
          <w:p w14:paraId="646763F4"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Grand Total</w:t>
            </w:r>
          </w:p>
        </w:tc>
        <w:tc>
          <w:tcPr>
            <w:tcW w:w="1010" w:type="dxa"/>
            <w:tcBorders>
              <w:top w:val="nil"/>
              <w:left w:val="nil"/>
              <w:bottom w:val="single" w:sz="8" w:space="0" w:color="auto"/>
              <w:right w:val="nil"/>
            </w:tcBorders>
            <w:shd w:val="clear" w:color="000000" w:fill="D9E1F2"/>
            <w:vAlign w:val="center"/>
            <w:hideMark/>
          </w:tcPr>
          <w:p w14:paraId="6D727123"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26,68,34,263 </w:t>
            </w:r>
          </w:p>
        </w:tc>
        <w:tc>
          <w:tcPr>
            <w:tcW w:w="977" w:type="dxa"/>
            <w:tcBorders>
              <w:top w:val="nil"/>
              <w:left w:val="nil"/>
              <w:bottom w:val="single" w:sz="8" w:space="0" w:color="auto"/>
              <w:right w:val="nil"/>
            </w:tcBorders>
            <w:shd w:val="clear" w:color="000000" w:fill="D9E1F2"/>
            <w:vAlign w:val="center"/>
            <w:hideMark/>
          </w:tcPr>
          <w:p w14:paraId="5A6B4253"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28,49,631 </w:t>
            </w:r>
          </w:p>
        </w:tc>
        <w:tc>
          <w:tcPr>
            <w:tcW w:w="978" w:type="dxa"/>
            <w:tcBorders>
              <w:top w:val="nil"/>
              <w:left w:val="nil"/>
              <w:bottom w:val="single" w:sz="8" w:space="0" w:color="auto"/>
              <w:right w:val="nil"/>
            </w:tcBorders>
            <w:shd w:val="clear" w:color="000000" w:fill="D9E1F2"/>
            <w:vAlign w:val="center"/>
            <w:hideMark/>
          </w:tcPr>
          <w:p w14:paraId="5FDC58AC"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2,01,18,282 </w:t>
            </w:r>
          </w:p>
        </w:tc>
        <w:tc>
          <w:tcPr>
            <w:tcW w:w="998" w:type="dxa"/>
            <w:tcBorders>
              <w:top w:val="nil"/>
              <w:left w:val="nil"/>
              <w:bottom w:val="single" w:sz="8" w:space="0" w:color="auto"/>
              <w:right w:val="nil"/>
            </w:tcBorders>
            <w:shd w:val="clear" w:color="000000" w:fill="D9E1F2"/>
            <w:vAlign w:val="center"/>
            <w:hideMark/>
          </w:tcPr>
          <w:p w14:paraId="23429541"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10,53,06,902 </w:t>
            </w:r>
          </w:p>
        </w:tc>
        <w:tc>
          <w:tcPr>
            <w:tcW w:w="977" w:type="dxa"/>
            <w:tcBorders>
              <w:top w:val="nil"/>
              <w:left w:val="nil"/>
              <w:bottom w:val="single" w:sz="8" w:space="0" w:color="auto"/>
              <w:right w:val="nil"/>
            </w:tcBorders>
            <w:shd w:val="clear" w:color="000000" w:fill="D9E1F2"/>
            <w:vAlign w:val="center"/>
            <w:hideMark/>
          </w:tcPr>
          <w:p w14:paraId="4C649F20"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2,09,778 </w:t>
            </w:r>
          </w:p>
        </w:tc>
        <w:tc>
          <w:tcPr>
            <w:tcW w:w="977" w:type="dxa"/>
            <w:tcBorders>
              <w:top w:val="nil"/>
              <w:left w:val="nil"/>
              <w:bottom w:val="single" w:sz="8" w:space="0" w:color="auto"/>
              <w:right w:val="single" w:sz="8" w:space="0" w:color="auto"/>
            </w:tcBorders>
            <w:shd w:val="clear" w:color="000000" w:fill="D9E1F2"/>
            <w:vAlign w:val="center"/>
            <w:hideMark/>
          </w:tcPr>
          <w:p w14:paraId="4B397786"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56,79,670 </w:t>
            </w:r>
          </w:p>
        </w:tc>
      </w:tr>
    </w:tbl>
    <w:p w14:paraId="21199155" w14:textId="77777777" w:rsidR="003656FA" w:rsidRPr="003656FA" w:rsidRDefault="003656FA" w:rsidP="003656FA">
      <w:pPr>
        <w:tabs>
          <w:tab w:val="left" w:pos="3306"/>
          <w:tab w:val="left" w:pos="4629"/>
          <w:tab w:val="left" w:pos="5685"/>
          <w:tab w:val="left" w:pos="6759"/>
          <w:tab w:val="left" w:pos="7923"/>
          <w:tab w:val="left" w:pos="8994"/>
        </w:tabs>
        <w:spacing w:line="23" w:lineRule="atLeast"/>
        <w:rPr>
          <w:rFonts w:ascii="Garamond" w:eastAsia="Times New Roman" w:hAnsi="Garamond"/>
          <w:bCs/>
          <w:sz w:val="18"/>
          <w:szCs w:val="18"/>
          <w:lang w:val="en-US"/>
        </w:rPr>
      </w:pPr>
      <w:r w:rsidRPr="003656FA">
        <w:rPr>
          <w:rFonts w:ascii="Garamond" w:eastAsia="Times New Roman" w:hAnsi="Garamond"/>
          <w:bCs/>
          <w:sz w:val="18"/>
          <w:szCs w:val="18"/>
          <w:lang w:val="en-US"/>
        </w:rPr>
        <w:tab/>
      </w:r>
      <w:r w:rsidRPr="003656FA">
        <w:rPr>
          <w:rFonts w:ascii="Garamond" w:eastAsia="Times New Roman" w:hAnsi="Garamond"/>
          <w:bCs/>
          <w:sz w:val="18"/>
          <w:szCs w:val="18"/>
          <w:lang w:val="en-US"/>
        </w:rPr>
        <w:tab/>
      </w:r>
      <w:r w:rsidRPr="003656FA">
        <w:rPr>
          <w:rFonts w:ascii="Garamond" w:eastAsia="Times New Roman" w:hAnsi="Garamond"/>
          <w:bCs/>
          <w:sz w:val="18"/>
          <w:szCs w:val="18"/>
          <w:lang w:val="en-US"/>
        </w:rPr>
        <w:tab/>
      </w:r>
      <w:r w:rsidRPr="003656FA">
        <w:rPr>
          <w:rFonts w:ascii="Garamond" w:eastAsia="Times New Roman" w:hAnsi="Garamond"/>
          <w:bCs/>
          <w:sz w:val="18"/>
          <w:szCs w:val="18"/>
          <w:lang w:val="en-US"/>
        </w:rPr>
        <w:tab/>
      </w:r>
      <w:r w:rsidRPr="003656FA">
        <w:rPr>
          <w:rFonts w:ascii="Garamond" w:eastAsia="Times New Roman" w:hAnsi="Garamond"/>
          <w:bCs/>
          <w:sz w:val="18"/>
          <w:szCs w:val="18"/>
          <w:lang w:val="en-US"/>
        </w:rPr>
        <w:tab/>
      </w:r>
    </w:p>
    <w:p w14:paraId="6CE936D4" w14:textId="77777777" w:rsidR="003656FA" w:rsidRPr="003656FA" w:rsidRDefault="003656FA" w:rsidP="003656FA">
      <w:pPr>
        <w:spacing w:line="23" w:lineRule="atLeast"/>
        <w:jc w:val="both"/>
        <w:rPr>
          <w:rFonts w:ascii="Garamond" w:hAnsi="Garamond"/>
          <w:bCs/>
          <w:sz w:val="18"/>
          <w:szCs w:val="18"/>
        </w:rPr>
      </w:pPr>
      <w:r w:rsidRPr="003656FA">
        <w:rPr>
          <w:rFonts w:ascii="Garamond" w:hAnsi="Garamond"/>
          <w:bCs/>
          <w:sz w:val="18"/>
          <w:szCs w:val="18"/>
        </w:rPr>
        <w:t>NA: Not Available</w:t>
      </w:r>
    </w:p>
    <w:p w14:paraId="49E951C2" w14:textId="77777777" w:rsidR="003656FA" w:rsidRPr="003656FA" w:rsidRDefault="003656FA" w:rsidP="003656FA">
      <w:pPr>
        <w:spacing w:line="23" w:lineRule="atLeast"/>
        <w:jc w:val="both"/>
        <w:outlineLvl w:val="0"/>
        <w:rPr>
          <w:rFonts w:ascii="Garamond" w:hAnsi="Garamond"/>
          <w:bCs/>
          <w:sz w:val="18"/>
          <w:szCs w:val="18"/>
        </w:rPr>
      </w:pPr>
      <w:r w:rsidRPr="003656FA">
        <w:rPr>
          <w:rFonts w:ascii="Garamond" w:hAnsi="Garamond"/>
          <w:bCs/>
          <w:sz w:val="18"/>
          <w:szCs w:val="18"/>
        </w:rPr>
        <w:t>Source: World Federation of Exchanges</w:t>
      </w:r>
    </w:p>
    <w:p w14:paraId="16F26B4D" w14:textId="77777777" w:rsidR="003656FA" w:rsidRPr="003656FA" w:rsidRDefault="003656FA" w:rsidP="003656FA">
      <w:pPr>
        <w:spacing w:line="23" w:lineRule="atLeast"/>
        <w:rPr>
          <w:rFonts w:ascii="Garamond" w:hAnsi="Garamond"/>
          <w:bCs/>
          <w:sz w:val="22"/>
          <w:szCs w:val="22"/>
          <w:highlight w:val="lightGray"/>
        </w:rPr>
      </w:pPr>
      <w:r w:rsidRPr="003656FA">
        <w:rPr>
          <w:rFonts w:ascii="Garamond" w:eastAsia="Times New Roman" w:hAnsi="Garamond"/>
          <w:bCs/>
          <w:sz w:val="22"/>
          <w:szCs w:val="22"/>
          <w:lang w:val="en-US"/>
        </w:rPr>
        <w:tab/>
      </w:r>
    </w:p>
    <w:p w14:paraId="6D0B2B0F" w14:textId="77777777" w:rsidR="003656FA" w:rsidRPr="003656FA" w:rsidRDefault="003656FA" w:rsidP="003656FA">
      <w:pPr>
        <w:spacing w:line="23" w:lineRule="atLeast"/>
        <w:rPr>
          <w:rFonts w:ascii="Garamond" w:hAnsi="Garamond"/>
          <w:bCs/>
          <w:sz w:val="22"/>
          <w:szCs w:val="22"/>
        </w:rPr>
      </w:pPr>
    </w:p>
    <w:p w14:paraId="607FC03B" w14:textId="77777777" w:rsidR="003656FA" w:rsidRPr="003656FA" w:rsidRDefault="003656FA" w:rsidP="003656FA">
      <w:pPr>
        <w:rPr>
          <w:rFonts w:ascii="Garamond" w:eastAsia="Times New Roman" w:hAnsi="Garamond"/>
          <w:bCs/>
          <w:strike/>
          <w:sz w:val="22"/>
          <w:szCs w:val="22"/>
          <w:lang w:val="en-US"/>
        </w:rPr>
      </w:pPr>
      <w:r w:rsidRPr="003656FA">
        <w:rPr>
          <w:rFonts w:ascii="Garamond" w:eastAsia="Times New Roman" w:hAnsi="Garamond"/>
          <w:bCs/>
          <w:sz w:val="22"/>
          <w:szCs w:val="22"/>
          <w:lang w:val="en-US"/>
        </w:rPr>
        <w:br w:type="page"/>
      </w:r>
    </w:p>
    <w:p w14:paraId="1FFE72EC" w14:textId="77777777" w:rsidR="003656FA" w:rsidRPr="003656FA" w:rsidRDefault="003656FA" w:rsidP="003656FA">
      <w:pPr>
        <w:spacing w:line="23" w:lineRule="atLeast"/>
        <w:rPr>
          <w:rFonts w:ascii="Garamond" w:eastAsia="Times New Roman" w:hAnsi="Garamond"/>
          <w:b/>
          <w:bCs/>
          <w:szCs w:val="22"/>
          <w:lang w:val="en-US"/>
        </w:rPr>
      </w:pPr>
      <w:r w:rsidRPr="003656FA">
        <w:rPr>
          <w:rFonts w:ascii="Garamond" w:eastAsia="Times New Roman" w:hAnsi="Garamond"/>
          <w:b/>
          <w:bCs/>
          <w:szCs w:val="22"/>
          <w:lang w:val="en-US"/>
        </w:rPr>
        <w:lastRenderedPageBreak/>
        <w:t>Table A7: Interest Rate Futures and Options Traded in Major Exchanges</w:t>
      </w:r>
    </w:p>
    <w:p w14:paraId="7F8B9941" w14:textId="77777777" w:rsidR="003656FA" w:rsidRPr="003656FA" w:rsidRDefault="003656FA" w:rsidP="003656FA">
      <w:pPr>
        <w:spacing w:line="23" w:lineRule="atLeast"/>
        <w:jc w:val="right"/>
        <w:rPr>
          <w:rFonts w:ascii="Garamond" w:eastAsia="Times New Roman" w:hAnsi="Garamond"/>
          <w:bCs/>
          <w:sz w:val="22"/>
          <w:szCs w:val="22"/>
          <w:lang w:val="en-US"/>
        </w:rPr>
      </w:pPr>
      <w:r w:rsidRPr="003656FA">
        <w:rPr>
          <w:rFonts w:ascii="Garamond" w:hAnsi="Garamond"/>
          <w:bCs/>
          <w:sz w:val="22"/>
          <w:szCs w:val="22"/>
        </w:rPr>
        <w:t>Notional Turnover in (USD million)</w:t>
      </w:r>
    </w:p>
    <w:tbl>
      <w:tblPr>
        <w:tblW w:w="9250" w:type="dxa"/>
        <w:tblLook w:val="04A0" w:firstRow="1" w:lastRow="0" w:firstColumn="1" w:lastColumn="0" w:noHBand="0" w:noVBand="1"/>
      </w:tblPr>
      <w:tblGrid>
        <w:gridCol w:w="2528"/>
        <w:gridCol w:w="1187"/>
        <w:gridCol w:w="1108"/>
        <w:gridCol w:w="1108"/>
        <w:gridCol w:w="1123"/>
        <w:gridCol w:w="1098"/>
        <w:gridCol w:w="1098"/>
      </w:tblGrid>
      <w:tr w:rsidR="003656FA" w:rsidRPr="003656FA" w14:paraId="0C3754D7" w14:textId="77777777" w:rsidTr="00A92684">
        <w:trPr>
          <w:trHeight w:val="238"/>
        </w:trPr>
        <w:tc>
          <w:tcPr>
            <w:tcW w:w="3236"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2983446E"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Exchange</w:t>
            </w:r>
          </w:p>
        </w:tc>
        <w:tc>
          <w:tcPr>
            <w:tcW w:w="6014" w:type="dxa"/>
            <w:gridSpan w:val="6"/>
            <w:tcBorders>
              <w:top w:val="single" w:sz="4" w:space="0" w:color="auto"/>
              <w:left w:val="nil"/>
              <w:bottom w:val="single" w:sz="4" w:space="0" w:color="auto"/>
              <w:right w:val="single" w:sz="4" w:space="0" w:color="auto"/>
            </w:tcBorders>
            <w:shd w:val="clear" w:color="000000" w:fill="B4C6E7"/>
            <w:vAlign w:val="center"/>
            <w:hideMark/>
          </w:tcPr>
          <w:p w14:paraId="2BE50681"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Jul-20</w:t>
            </w:r>
          </w:p>
        </w:tc>
      </w:tr>
      <w:tr w:rsidR="003656FA" w:rsidRPr="003656FA" w14:paraId="785B13E7" w14:textId="77777777" w:rsidTr="00A92684">
        <w:trPr>
          <w:trHeight w:val="238"/>
        </w:trPr>
        <w:tc>
          <w:tcPr>
            <w:tcW w:w="3236" w:type="dxa"/>
            <w:vMerge/>
            <w:tcBorders>
              <w:top w:val="single" w:sz="4" w:space="0" w:color="auto"/>
              <w:left w:val="single" w:sz="4" w:space="0" w:color="auto"/>
              <w:bottom w:val="single" w:sz="4" w:space="0" w:color="auto"/>
              <w:right w:val="single" w:sz="4" w:space="0" w:color="auto"/>
            </w:tcBorders>
            <w:vAlign w:val="center"/>
            <w:hideMark/>
          </w:tcPr>
          <w:p w14:paraId="41BE64A4"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3010" w:type="dxa"/>
            <w:gridSpan w:val="3"/>
            <w:tcBorders>
              <w:top w:val="single" w:sz="4" w:space="0" w:color="auto"/>
              <w:left w:val="nil"/>
              <w:bottom w:val="single" w:sz="4" w:space="0" w:color="auto"/>
              <w:right w:val="single" w:sz="4" w:space="0" w:color="auto"/>
            </w:tcBorders>
            <w:shd w:val="clear" w:color="000000" w:fill="B4C6E7"/>
            <w:vAlign w:val="center"/>
            <w:hideMark/>
          </w:tcPr>
          <w:p w14:paraId="4027CBAF"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Interest Rate Futures</w:t>
            </w:r>
          </w:p>
        </w:tc>
        <w:tc>
          <w:tcPr>
            <w:tcW w:w="3004" w:type="dxa"/>
            <w:gridSpan w:val="3"/>
            <w:tcBorders>
              <w:top w:val="single" w:sz="4" w:space="0" w:color="auto"/>
              <w:left w:val="nil"/>
              <w:bottom w:val="single" w:sz="4" w:space="0" w:color="auto"/>
              <w:right w:val="single" w:sz="4" w:space="0" w:color="auto"/>
            </w:tcBorders>
            <w:shd w:val="clear" w:color="000000" w:fill="B4C6E7"/>
            <w:vAlign w:val="center"/>
            <w:hideMark/>
          </w:tcPr>
          <w:p w14:paraId="51BDC5D3"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Interest Rate Options</w:t>
            </w:r>
          </w:p>
        </w:tc>
      </w:tr>
      <w:tr w:rsidR="003656FA" w:rsidRPr="003656FA" w14:paraId="33A192B8" w14:textId="77777777" w:rsidTr="00A92684">
        <w:trPr>
          <w:trHeight w:val="619"/>
        </w:trPr>
        <w:tc>
          <w:tcPr>
            <w:tcW w:w="3236" w:type="dxa"/>
            <w:vMerge/>
            <w:tcBorders>
              <w:top w:val="single" w:sz="4" w:space="0" w:color="auto"/>
              <w:left w:val="single" w:sz="4" w:space="0" w:color="auto"/>
              <w:bottom w:val="single" w:sz="4" w:space="0" w:color="auto"/>
              <w:right w:val="single" w:sz="4" w:space="0" w:color="auto"/>
            </w:tcBorders>
            <w:vAlign w:val="center"/>
            <w:hideMark/>
          </w:tcPr>
          <w:p w14:paraId="59178678"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007" w:type="dxa"/>
            <w:tcBorders>
              <w:top w:val="nil"/>
              <w:left w:val="nil"/>
              <w:bottom w:val="single" w:sz="4" w:space="0" w:color="auto"/>
              <w:right w:val="single" w:sz="4" w:space="0" w:color="auto"/>
            </w:tcBorders>
            <w:shd w:val="clear" w:color="000000" w:fill="B4C6E7"/>
            <w:vAlign w:val="center"/>
            <w:hideMark/>
          </w:tcPr>
          <w:p w14:paraId="768E85AD"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Number of</w:t>
            </w:r>
            <w:r w:rsidRPr="003656FA">
              <w:rPr>
                <w:rFonts w:ascii="Garamond" w:eastAsia="Times New Roman" w:hAnsi="Garamond" w:cs="Calibri"/>
                <w:b/>
                <w:bCs/>
                <w:color w:val="000000"/>
                <w:sz w:val="20"/>
                <w:szCs w:val="20"/>
                <w:lang w:val="en-IN" w:eastAsia="en-IN" w:bidi="hi-IN"/>
              </w:rPr>
              <w:br/>
              <w:t>Contracts Traded</w:t>
            </w:r>
          </w:p>
        </w:tc>
        <w:tc>
          <w:tcPr>
            <w:tcW w:w="1001" w:type="dxa"/>
            <w:tcBorders>
              <w:top w:val="nil"/>
              <w:left w:val="nil"/>
              <w:bottom w:val="single" w:sz="4" w:space="0" w:color="auto"/>
              <w:right w:val="single" w:sz="4" w:space="0" w:color="auto"/>
            </w:tcBorders>
            <w:shd w:val="clear" w:color="000000" w:fill="B4C6E7"/>
            <w:vAlign w:val="center"/>
            <w:hideMark/>
          </w:tcPr>
          <w:p w14:paraId="54AB471E"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Notional</w:t>
            </w:r>
            <w:r w:rsidRPr="003656FA">
              <w:rPr>
                <w:rFonts w:ascii="Garamond" w:eastAsia="Times New Roman" w:hAnsi="Garamond" w:cs="Calibri"/>
                <w:b/>
                <w:bCs/>
                <w:color w:val="000000"/>
                <w:sz w:val="20"/>
                <w:szCs w:val="20"/>
                <w:lang w:val="en-IN" w:eastAsia="en-IN" w:bidi="hi-IN"/>
              </w:rPr>
              <w:br/>
              <w:t>Turnover</w:t>
            </w:r>
          </w:p>
        </w:tc>
        <w:tc>
          <w:tcPr>
            <w:tcW w:w="1001" w:type="dxa"/>
            <w:tcBorders>
              <w:top w:val="nil"/>
              <w:left w:val="nil"/>
              <w:bottom w:val="single" w:sz="4" w:space="0" w:color="auto"/>
              <w:right w:val="single" w:sz="4" w:space="0" w:color="auto"/>
            </w:tcBorders>
            <w:shd w:val="clear" w:color="000000" w:fill="B4C6E7"/>
            <w:vAlign w:val="center"/>
            <w:hideMark/>
          </w:tcPr>
          <w:p w14:paraId="49D41ABF"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Open</w:t>
            </w:r>
            <w:r w:rsidRPr="003656FA">
              <w:rPr>
                <w:rFonts w:ascii="Garamond" w:eastAsia="Times New Roman" w:hAnsi="Garamond" w:cs="Calibri"/>
                <w:b/>
                <w:bCs/>
                <w:color w:val="000000"/>
                <w:sz w:val="20"/>
                <w:szCs w:val="20"/>
                <w:lang w:val="en-IN" w:eastAsia="en-IN" w:bidi="hi-IN"/>
              </w:rPr>
              <w:br/>
              <w:t>Interest</w:t>
            </w:r>
          </w:p>
        </w:tc>
        <w:tc>
          <w:tcPr>
            <w:tcW w:w="1001" w:type="dxa"/>
            <w:tcBorders>
              <w:top w:val="nil"/>
              <w:left w:val="nil"/>
              <w:bottom w:val="single" w:sz="4" w:space="0" w:color="auto"/>
              <w:right w:val="single" w:sz="4" w:space="0" w:color="auto"/>
            </w:tcBorders>
            <w:shd w:val="clear" w:color="000000" w:fill="B4C6E7"/>
            <w:vAlign w:val="center"/>
            <w:hideMark/>
          </w:tcPr>
          <w:p w14:paraId="6912EAD9"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Number of</w:t>
            </w:r>
            <w:r w:rsidRPr="003656FA">
              <w:rPr>
                <w:rFonts w:ascii="Garamond" w:eastAsia="Times New Roman" w:hAnsi="Garamond" w:cs="Calibri"/>
                <w:b/>
                <w:bCs/>
                <w:color w:val="000000"/>
                <w:sz w:val="20"/>
                <w:szCs w:val="20"/>
                <w:lang w:val="en-IN" w:eastAsia="en-IN" w:bidi="hi-IN"/>
              </w:rPr>
              <w:br/>
              <w:t>Contracts Traded</w:t>
            </w:r>
          </w:p>
        </w:tc>
        <w:tc>
          <w:tcPr>
            <w:tcW w:w="1001" w:type="dxa"/>
            <w:tcBorders>
              <w:top w:val="nil"/>
              <w:left w:val="nil"/>
              <w:bottom w:val="single" w:sz="4" w:space="0" w:color="auto"/>
              <w:right w:val="single" w:sz="4" w:space="0" w:color="auto"/>
            </w:tcBorders>
            <w:shd w:val="clear" w:color="000000" w:fill="B4C6E7"/>
            <w:vAlign w:val="center"/>
            <w:hideMark/>
          </w:tcPr>
          <w:p w14:paraId="15C88264"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Notional</w:t>
            </w:r>
            <w:r w:rsidRPr="003656FA">
              <w:rPr>
                <w:rFonts w:ascii="Garamond" w:eastAsia="Times New Roman" w:hAnsi="Garamond" w:cs="Calibri"/>
                <w:b/>
                <w:bCs/>
                <w:color w:val="000000"/>
                <w:sz w:val="20"/>
                <w:szCs w:val="20"/>
                <w:lang w:val="en-IN" w:eastAsia="en-IN" w:bidi="hi-IN"/>
              </w:rPr>
              <w:br/>
              <w:t>Turnover</w:t>
            </w:r>
          </w:p>
        </w:tc>
        <w:tc>
          <w:tcPr>
            <w:tcW w:w="1001" w:type="dxa"/>
            <w:tcBorders>
              <w:top w:val="nil"/>
              <w:left w:val="nil"/>
              <w:bottom w:val="single" w:sz="4" w:space="0" w:color="auto"/>
              <w:right w:val="single" w:sz="4" w:space="0" w:color="auto"/>
            </w:tcBorders>
            <w:shd w:val="clear" w:color="000000" w:fill="B4C6E7"/>
            <w:vAlign w:val="center"/>
            <w:hideMark/>
          </w:tcPr>
          <w:p w14:paraId="483EFDF6"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Open</w:t>
            </w:r>
            <w:r w:rsidRPr="003656FA">
              <w:rPr>
                <w:rFonts w:ascii="Garamond" w:eastAsia="Times New Roman" w:hAnsi="Garamond" w:cs="Calibri"/>
                <w:b/>
                <w:bCs/>
                <w:color w:val="000000"/>
                <w:sz w:val="20"/>
                <w:szCs w:val="20"/>
                <w:lang w:val="en-IN" w:eastAsia="en-IN" w:bidi="hi-IN"/>
              </w:rPr>
              <w:br/>
              <w:t>Interest</w:t>
            </w:r>
          </w:p>
        </w:tc>
      </w:tr>
      <w:tr w:rsidR="003656FA" w:rsidRPr="003656FA" w14:paraId="41F8AA26" w14:textId="77777777" w:rsidTr="00A92684">
        <w:trPr>
          <w:trHeight w:val="238"/>
        </w:trPr>
        <w:tc>
          <w:tcPr>
            <w:tcW w:w="3236" w:type="dxa"/>
            <w:tcBorders>
              <w:top w:val="nil"/>
              <w:left w:val="single" w:sz="4" w:space="0" w:color="auto"/>
              <w:bottom w:val="nil"/>
              <w:right w:val="nil"/>
            </w:tcBorders>
            <w:shd w:val="clear" w:color="000000" w:fill="B4C6E7"/>
            <w:vAlign w:val="center"/>
            <w:hideMark/>
          </w:tcPr>
          <w:p w14:paraId="58867A34"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B3 - Brasil Bolsa Balcão</w:t>
            </w:r>
          </w:p>
        </w:tc>
        <w:tc>
          <w:tcPr>
            <w:tcW w:w="1007" w:type="dxa"/>
            <w:tcBorders>
              <w:top w:val="single" w:sz="8" w:space="0" w:color="auto"/>
              <w:left w:val="single" w:sz="8" w:space="0" w:color="auto"/>
              <w:bottom w:val="nil"/>
              <w:right w:val="single" w:sz="8" w:space="0" w:color="auto"/>
            </w:tcBorders>
            <w:shd w:val="clear" w:color="auto" w:fill="auto"/>
            <w:vAlign w:val="center"/>
            <w:hideMark/>
          </w:tcPr>
          <w:p w14:paraId="3A0B032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3,90,63,082</w:t>
            </w:r>
          </w:p>
        </w:tc>
        <w:tc>
          <w:tcPr>
            <w:tcW w:w="1001" w:type="dxa"/>
            <w:tcBorders>
              <w:top w:val="single" w:sz="8" w:space="0" w:color="auto"/>
              <w:left w:val="nil"/>
              <w:bottom w:val="nil"/>
              <w:right w:val="single" w:sz="8" w:space="0" w:color="auto"/>
            </w:tcBorders>
            <w:shd w:val="clear" w:color="auto" w:fill="auto"/>
            <w:vAlign w:val="center"/>
            <w:hideMark/>
          </w:tcPr>
          <w:p w14:paraId="5385602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8,75,230</w:t>
            </w:r>
          </w:p>
        </w:tc>
        <w:tc>
          <w:tcPr>
            <w:tcW w:w="1001" w:type="dxa"/>
            <w:tcBorders>
              <w:top w:val="single" w:sz="8" w:space="0" w:color="auto"/>
              <w:left w:val="nil"/>
              <w:bottom w:val="nil"/>
              <w:right w:val="single" w:sz="8" w:space="0" w:color="auto"/>
            </w:tcBorders>
            <w:shd w:val="clear" w:color="auto" w:fill="auto"/>
            <w:vAlign w:val="center"/>
            <w:hideMark/>
          </w:tcPr>
          <w:p w14:paraId="3EC5FE8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2,61,87,114</w:t>
            </w:r>
          </w:p>
        </w:tc>
        <w:tc>
          <w:tcPr>
            <w:tcW w:w="1001" w:type="dxa"/>
            <w:tcBorders>
              <w:top w:val="single" w:sz="8" w:space="0" w:color="auto"/>
              <w:left w:val="nil"/>
              <w:bottom w:val="nil"/>
              <w:right w:val="single" w:sz="8" w:space="0" w:color="auto"/>
            </w:tcBorders>
            <w:shd w:val="clear" w:color="auto" w:fill="auto"/>
            <w:vAlign w:val="center"/>
            <w:hideMark/>
          </w:tcPr>
          <w:p w14:paraId="4CC326E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single" w:sz="8" w:space="0" w:color="auto"/>
              <w:left w:val="nil"/>
              <w:bottom w:val="nil"/>
              <w:right w:val="single" w:sz="8" w:space="0" w:color="auto"/>
            </w:tcBorders>
            <w:shd w:val="clear" w:color="auto" w:fill="auto"/>
            <w:vAlign w:val="center"/>
            <w:hideMark/>
          </w:tcPr>
          <w:p w14:paraId="75B8A19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single" w:sz="8" w:space="0" w:color="auto"/>
              <w:left w:val="nil"/>
              <w:bottom w:val="nil"/>
              <w:right w:val="single" w:sz="8" w:space="0" w:color="auto"/>
            </w:tcBorders>
            <w:shd w:val="clear" w:color="auto" w:fill="auto"/>
            <w:vAlign w:val="center"/>
            <w:hideMark/>
          </w:tcPr>
          <w:p w14:paraId="471D169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2CED91D8" w14:textId="77777777" w:rsidTr="00A92684">
        <w:trPr>
          <w:trHeight w:val="238"/>
        </w:trPr>
        <w:tc>
          <w:tcPr>
            <w:tcW w:w="3236" w:type="dxa"/>
            <w:tcBorders>
              <w:top w:val="nil"/>
              <w:left w:val="single" w:sz="4" w:space="0" w:color="auto"/>
              <w:bottom w:val="nil"/>
              <w:right w:val="nil"/>
            </w:tcBorders>
            <w:shd w:val="clear" w:color="000000" w:fill="B4C6E7"/>
            <w:vAlign w:val="center"/>
            <w:hideMark/>
          </w:tcPr>
          <w:p w14:paraId="7BA440FA"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Bolsa de Valores de Colombia</w:t>
            </w:r>
          </w:p>
        </w:tc>
        <w:tc>
          <w:tcPr>
            <w:tcW w:w="1007" w:type="dxa"/>
            <w:tcBorders>
              <w:top w:val="nil"/>
              <w:left w:val="single" w:sz="8" w:space="0" w:color="auto"/>
              <w:bottom w:val="nil"/>
              <w:right w:val="single" w:sz="8" w:space="0" w:color="auto"/>
            </w:tcBorders>
            <w:shd w:val="clear" w:color="auto" w:fill="auto"/>
            <w:vAlign w:val="center"/>
            <w:hideMark/>
          </w:tcPr>
          <w:p w14:paraId="675DBA7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20,388</w:t>
            </w:r>
          </w:p>
        </w:tc>
        <w:tc>
          <w:tcPr>
            <w:tcW w:w="1001" w:type="dxa"/>
            <w:tcBorders>
              <w:top w:val="nil"/>
              <w:left w:val="nil"/>
              <w:bottom w:val="nil"/>
              <w:right w:val="single" w:sz="8" w:space="0" w:color="auto"/>
            </w:tcBorders>
            <w:shd w:val="clear" w:color="auto" w:fill="auto"/>
            <w:vAlign w:val="center"/>
            <w:hideMark/>
          </w:tcPr>
          <w:p w14:paraId="11C76CF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1,512</w:t>
            </w:r>
          </w:p>
        </w:tc>
        <w:tc>
          <w:tcPr>
            <w:tcW w:w="1001" w:type="dxa"/>
            <w:tcBorders>
              <w:top w:val="nil"/>
              <w:left w:val="nil"/>
              <w:bottom w:val="nil"/>
              <w:right w:val="single" w:sz="8" w:space="0" w:color="auto"/>
            </w:tcBorders>
            <w:shd w:val="clear" w:color="auto" w:fill="auto"/>
            <w:vAlign w:val="center"/>
            <w:hideMark/>
          </w:tcPr>
          <w:p w14:paraId="2AAC956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12,866</w:t>
            </w:r>
          </w:p>
        </w:tc>
        <w:tc>
          <w:tcPr>
            <w:tcW w:w="1001" w:type="dxa"/>
            <w:tcBorders>
              <w:top w:val="nil"/>
              <w:left w:val="nil"/>
              <w:bottom w:val="nil"/>
              <w:right w:val="single" w:sz="8" w:space="0" w:color="auto"/>
            </w:tcBorders>
            <w:shd w:val="clear" w:color="auto" w:fill="auto"/>
            <w:vAlign w:val="center"/>
            <w:hideMark/>
          </w:tcPr>
          <w:p w14:paraId="39ED51F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606D27C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569BAAA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75E81DE1" w14:textId="77777777" w:rsidTr="00A92684">
        <w:trPr>
          <w:trHeight w:val="238"/>
        </w:trPr>
        <w:tc>
          <w:tcPr>
            <w:tcW w:w="3236" w:type="dxa"/>
            <w:tcBorders>
              <w:top w:val="nil"/>
              <w:left w:val="single" w:sz="4" w:space="0" w:color="auto"/>
              <w:bottom w:val="nil"/>
              <w:right w:val="nil"/>
            </w:tcBorders>
            <w:shd w:val="clear" w:color="000000" w:fill="B4C6E7"/>
            <w:vAlign w:val="center"/>
            <w:hideMark/>
          </w:tcPr>
          <w:p w14:paraId="3100DD84"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Bolsa Mexicana de Valores</w:t>
            </w:r>
          </w:p>
        </w:tc>
        <w:tc>
          <w:tcPr>
            <w:tcW w:w="1007" w:type="dxa"/>
            <w:tcBorders>
              <w:top w:val="nil"/>
              <w:left w:val="single" w:sz="8" w:space="0" w:color="auto"/>
              <w:bottom w:val="nil"/>
              <w:right w:val="single" w:sz="8" w:space="0" w:color="auto"/>
            </w:tcBorders>
            <w:shd w:val="clear" w:color="auto" w:fill="auto"/>
            <w:vAlign w:val="center"/>
            <w:hideMark/>
          </w:tcPr>
          <w:p w14:paraId="093EE6D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2,081</w:t>
            </w:r>
          </w:p>
        </w:tc>
        <w:tc>
          <w:tcPr>
            <w:tcW w:w="1001" w:type="dxa"/>
            <w:tcBorders>
              <w:top w:val="nil"/>
              <w:left w:val="nil"/>
              <w:bottom w:val="nil"/>
              <w:right w:val="single" w:sz="8" w:space="0" w:color="auto"/>
            </w:tcBorders>
            <w:shd w:val="clear" w:color="auto" w:fill="auto"/>
            <w:vAlign w:val="center"/>
            <w:hideMark/>
          </w:tcPr>
          <w:p w14:paraId="4D29E64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w:t>
            </w:r>
          </w:p>
        </w:tc>
        <w:tc>
          <w:tcPr>
            <w:tcW w:w="1001" w:type="dxa"/>
            <w:tcBorders>
              <w:top w:val="nil"/>
              <w:left w:val="nil"/>
              <w:bottom w:val="nil"/>
              <w:right w:val="single" w:sz="8" w:space="0" w:color="auto"/>
            </w:tcBorders>
            <w:shd w:val="clear" w:color="auto" w:fill="auto"/>
            <w:vAlign w:val="center"/>
            <w:hideMark/>
          </w:tcPr>
          <w:p w14:paraId="5B73D90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6,600</w:t>
            </w:r>
          </w:p>
        </w:tc>
        <w:tc>
          <w:tcPr>
            <w:tcW w:w="1001" w:type="dxa"/>
            <w:tcBorders>
              <w:top w:val="nil"/>
              <w:left w:val="nil"/>
              <w:bottom w:val="nil"/>
              <w:right w:val="single" w:sz="8" w:space="0" w:color="auto"/>
            </w:tcBorders>
            <w:shd w:val="clear" w:color="auto" w:fill="auto"/>
            <w:vAlign w:val="center"/>
            <w:hideMark/>
          </w:tcPr>
          <w:p w14:paraId="065ACED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64BD14D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44D68CE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1223241F" w14:textId="77777777" w:rsidTr="00A92684">
        <w:trPr>
          <w:trHeight w:val="238"/>
        </w:trPr>
        <w:tc>
          <w:tcPr>
            <w:tcW w:w="3236" w:type="dxa"/>
            <w:tcBorders>
              <w:top w:val="nil"/>
              <w:left w:val="single" w:sz="4" w:space="0" w:color="auto"/>
              <w:bottom w:val="nil"/>
              <w:right w:val="nil"/>
            </w:tcBorders>
            <w:shd w:val="clear" w:color="000000" w:fill="B4C6E7"/>
            <w:vAlign w:val="center"/>
            <w:hideMark/>
          </w:tcPr>
          <w:p w14:paraId="64CF482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CME Group</w:t>
            </w:r>
          </w:p>
        </w:tc>
        <w:tc>
          <w:tcPr>
            <w:tcW w:w="1007" w:type="dxa"/>
            <w:tcBorders>
              <w:top w:val="nil"/>
              <w:left w:val="single" w:sz="8" w:space="0" w:color="auto"/>
              <w:bottom w:val="nil"/>
              <w:right w:val="single" w:sz="8" w:space="0" w:color="auto"/>
            </w:tcBorders>
            <w:shd w:val="clear" w:color="auto" w:fill="auto"/>
            <w:vAlign w:val="center"/>
            <w:hideMark/>
          </w:tcPr>
          <w:p w14:paraId="7F0F22E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6,79,46,890</w:t>
            </w:r>
          </w:p>
        </w:tc>
        <w:tc>
          <w:tcPr>
            <w:tcW w:w="1001" w:type="dxa"/>
            <w:tcBorders>
              <w:top w:val="nil"/>
              <w:left w:val="nil"/>
              <w:bottom w:val="nil"/>
              <w:right w:val="single" w:sz="8" w:space="0" w:color="auto"/>
            </w:tcBorders>
            <w:shd w:val="clear" w:color="auto" w:fill="auto"/>
            <w:vAlign w:val="center"/>
            <w:hideMark/>
          </w:tcPr>
          <w:p w14:paraId="02BA0C7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3,86,42,865</w:t>
            </w:r>
          </w:p>
        </w:tc>
        <w:tc>
          <w:tcPr>
            <w:tcW w:w="1001" w:type="dxa"/>
            <w:tcBorders>
              <w:top w:val="nil"/>
              <w:left w:val="nil"/>
              <w:bottom w:val="nil"/>
              <w:right w:val="single" w:sz="8" w:space="0" w:color="auto"/>
            </w:tcBorders>
            <w:shd w:val="clear" w:color="auto" w:fill="auto"/>
            <w:vAlign w:val="center"/>
            <w:hideMark/>
          </w:tcPr>
          <w:p w14:paraId="367D45D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2,43,64,687</w:t>
            </w:r>
          </w:p>
        </w:tc>
        <w:tc>
          <w:tcPr>
            <w:tcW w:w="1001" w:type="dxa"/>
            <w:tcBorders>
              <w:top w:val="nil"/>
              <w:left w:val="nil"/>
              <w:bottom w:val="nil"/>
              <w:right w:val="single" w:sz="8" w:space="0" w:color="auto"/>
            </w:tcBorders>
            <w:shd w:val="clear" w:color="auto" w:fill="auto"/>
            <w:vAlign w:val="center"/>
            <w:hideMark/>
          </w:tcPr>
          <w:p w14:paraId="7EEC1DD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1,97,22,157</w:t>
            </w:r>
          </w:p>
        </w:tc>
        <w:tc>
          <w:tcPr>
            <w:tcW w:w="1001" w:type="dxa"/>
            <w:tcBorders>
              <w:top w:val="nil"/>
              <w:left w:val="nil"/>
              <w:bottom w:val="nil"/>
              <w:right w:val="single" w:sz="8" w:space="0" w:color="auto"/>
            </w:tcBorders>
            <w:shd w:val="clear" w:color="auto" w:fill="auto"/>
            <w:vAlign w:val="center"/>
            <w:hideMark/>
          </w:tcPr>
          <w:p w14:paraId="4340E94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1,11,21,591</w:t>
            </w:r>
          </w:p>
        </w:tc>
        <w:tc>
          <w:tcPr>
            <w:tcW w:w="1001" w:type="dxa"/>
            <w:tcBorders>
              <w:top w:val="nil"/>
              <w:left w:val="nil"/>
              <w:bottom w:val="nil"/>
              <w:right w:val="single" w:sz="8" w:space="0" w:color="auto"/>
            </w:tcBorders>
            <w:shd w:val="clear" w:color="auto" w:fill="auto"/>
            <w:vAlign w:val="center"/>
            <w:hideMark/>
          </w:tcPr>
          <w:p w14:paraId="2C429A3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4,16,13,863</w:t>
            </w:r>
          </w:p>
        </w:tc>
      </w:tr>
      <w:tr w:rsidR="003656FA" w:rsidRPr="003656FA" w14:paraId="14049E6D" w14:textId="77777777" w:rsidTr="00A92684">
        <w:trPr>
          <w:trHeight w:val="238"/>
        </w:trPr>
        <w:tc>
          <w:tcPr>
            <w:tcW w:w="3236" w:type="dxa"/>
            <w:tcBorders>
              <w:top w:val="nil"/>
              <w:left w:val="single" w:sz="4" w:space="0" w:color="auto"/>
              <w:bottom w:val="nil"/>
              <w:right w:val="nil"/>
            </w:tcBorders>
            <w:shd w:val="clear" w:color="000000" w:fill="B4C6E7"/>
            <w:vAlign w:val="center"/>
            <w:hideMark/>
          </w:tcPr>
          <w:p w14:paraId="692D819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ASX Australian Securities Exchange</w:t>
            </w:r>
          </w:p>
        </w:tc>
        <w:tc>
          <w:tcPr>
            <w:tcW w:w="1007" w:type="dxa"/>
            <w:tcBorders>
              <w:top w:val="nil"/>
              <w:left w:val="single" w:sz="8" w:space="0" w:color="auto"/>
              <w:bottom w:val="nil"/>
              <w:right w:val="single" w:sz="8" w:space="0" w:color="auto"/>
            </w:tcBorders>
            <w:shd w:val="clear" w:color="auto" w:fill="auto"/>
            <w:vAlign w:val="center"/>
            <w:hideMark/>
          </w:tcPr>
          <w:p w14:paraId="11D07C6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75,64,643</w:t>
            </w:r>
          </w:p>
        </w:tc>
        <w:tc>
          <w:tcPr>
            <w:tcW w:w="1001" w:type="dxa"/>
            <w:tcBorders>
              <w:top w:val="nil"/>
              <w:left w:val="nil"/>
              <w:bottom w:val="nil"/>
              <w:right w:val="single" w:sz="8" w:space="0" w:color="auto"/>
            </w:tcBorders>
            <w:shd w:val="clear" w:color="auto" w:fill="auto"/>
            <w:vAlign w:val="center"/>
            <w:hideMark/>
          </w:tcPr>
          <w:p w14:paraId="064073E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10,74,367</w:t>
            </w:r>
          </w:p>
        </w:tc>
        <w:tc>
          <w:tcPr>
            <w:tcW w:w="1001" w:type="dxa"/>
            <w:tcBorders>
              <w:top w:val="nil"/>
              <w:left w:val="nil"/>
              <w:bottom w:val="nil"/>
              <w:right w:val="single" w:sz="8" w:space="0" w:color="auto"/>
            </w:tcBorders>
            <w:shd w:val="clear" w:color="auto" w:fill="auto"/>
            <w:vAlign w:val="center"/>
            <w:hideMark/>
          </w:tcPr>
          <w:p w14:paraId="71AA1BA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36,06,739</w:t>
            </w:r>
          </w:p>
        </w:tc>
        <w:tc>
          <w:tcPr>
            <w:tcW w:w="1001" w:type="dxa"/>
            <w:tcBorders>
              <w:top w:val="nil"/>
              <w:left w:val="nil"/>
              <w:bottom w:val="nil"/>
              <w:right w:val="single" w:sz="8" w:space="0" w:color="auto"/>
            </w:tcBorders>
            <w:shd w:val="clear" w:color="auto" w:fill="auto"/>
            <w:vAlign w:val="center"/>
            <w:hideMark/>
          </w:tcPr>
          <w:p w14:paraId="25F4009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2,890</w:t>
            </w:r>
          </w:p>
        </w:tc>
        <w:tc>
          <w:tcPr>
            <w:tcW w:w="1001" w:type="dxa"/>
            <w:tcBorders>
              <w:top w:val="nil"/>
              <w:left w:val="nil"/>
              <w:bottom w:val="nil"/>
              <w:right w:val="single" w:sz="8" w:space="0" w:color="auto"/>
            </w:tcBorders>
            <w:shd w:val="clear" w:color="auto" w:fill="auto"/>
            <w:vAlign w:val="center"/>
            <w:hideMark/>
          </w:tcPr>
          <w:p w14:paraId="1CC7140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206</w:t>
            </w:r>
          </w:p>
        </w:tc>
        <w:tc>
          <w:tcPr>
            <w:tcW w:w="1001" w:type="dxa"/>
            <w:tcBorders>
              <w:top w:val="nil"/>
              <w:left w:val="nil"/>
              <w:bottom w:val="nil"/>
              <w:right w:val="single" w:sz="8" w:space="0" w:color="auto"/>
            </w:tcBorders>
            <w:shd w:val="clear" w:color="auto" w:fill="auto"/>
            <w:vAlign w:val="center"/>
            <w:hideMark/>
          </w:tcPr>
          <w:p w14:paraId="1C58C18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540</w:t>
            </w:r>
          </w:p>
        </w:tc>
      </w:tr>
      <w:tr w:rsidR="003656FA" w:rsidRPr="003656FA" w14:paraId="2F60F515" w14:textId="77777777" w:rsidTr="00A92684">
        <w:trPr>
          <w:trHeight w:val="238"/>
        </w:trPr>
        <w:tc>
          <w:tcPr>
            <w:tcW w:w="3236" w:type="dxa"/>
            <w:tcBorders>
              <w:top w:val="nil"/>
              <w:left w:val="single" w:sz="4" w:space="0" w:color="auto"/>
              <w:bottom w:val="nil"/>
              <w:right w:val="nil"/>
            </w:tcBorders>
            <w:shd w:val="clear" w:color="000000" w:fill="B4C6E7"/>
            <w:vAlign w:val="center"/>
            <w:hideMark/>
          </w:tcPr>
          <w:p w14:paraId="103E7B4A"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BSE India Limited</w:t>
            </w:r>
          </w:p>
        </w:tc>
        <w:tc>
          <w:tcPr>
            <w:tcW w:w="1007" w:type="dxa"/>
            <w:tcBorders>
              <w:top w:val="nil"/>
              <w:left w:val="single" w:sz="8" w:space="0" w:color="auto"/>
              <w:bottom w:val="nil"/>
              <w:right w:val="single" w:sz="8" w:space="0" w:color="auto"/>
            </w:tcBorders>
            <w:shd w:val="clear" w:color="auto" w:fill="auto"/>
            <w:vAlign w:val="center"/>
            <w:hideMark/>
          </w:tcPr>
          <w:p w14:paraId="480C887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1,81,264</w:t>
            </w:r>
          </w:p>
        </w:tc>
        <w:tc>
          <w:tcPr>
            <w:tcW w:w="1001" w:type="dxa"/>
            <w:tcBorders>
              <w:top w:val="nil"/>
              <w:left w:val="nil"/>
              <w:bottom w:val="nil"/>
              <w:right w:val="single" w:sz="8" w:space="0" w:color="auto"/>
            </w:tcBorders>
            <w:shd w:val="clear" w:color="auto" w:fill="auto"/>
            <w:vAlign w:val="center"/>
            <w:hideMark/>
          </w:tcPr>
          <w:p w14:paraId="23DD35F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510</w:t>
            </w:r>
          </w:p>
        </w:tc>
        <w:tc>
          <w:tcPr>
            <w:tcW w:w="1001" w:type="dxa"/>
            <w:tcBorders>
              <w:top w:val="nil"/>
              <w:left w:val="nil"/>
              <w:bottom w:val="nil"/>
              <w:right w:val="single" w:sz="8" w:space="0" w:color="auto"/>
            </w:tcBorders>
            <w:shd w:val="clear" w:color="auto" w:fill="auto"/>
            <w:vAlign w:val="center"/>
            <w:hideMark/>
          </w:tcPr>
          <w:p w14:paraId="786C500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19,100</w:t>
            </w:r>
          </w:p>
        </w:tc>
        <w:tc>
          <w:tcPr>
            <w:tcW w:w="1001" w:type="dxa"/>
            <w:tcBorders>
              <w:top w:val="nil"/>
              <w:left w:val="nil"/>
              <w:bottom w:val="nil"/>
              <w:right w:val="single" w:sz="8" w:space="0" w:color="auto"/>
            </w:tcBorders>
            <w:shd w:val="clear" w:color="auto" w:fill="auto"/>
            <w:vAlign w:val="center"/>
            <w:hideMark/>
          </w:tcPr>
          <w:p w14:paraId="6E46C35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2BC1577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33466A1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099E8305" w14:textId="77777777" w:rsidTr="00A92684">
        <w:trPr>
          <w:trHeight w:val="238"/>
        </w:trPr>
        <w:tc>
          <w:tcPr>
            <w:tcW w:w="3236" w:type="dxa"/>
            <w:tcBorders>
              <w:top w:val="nil"/>
              <w:left w:val="single" w:sz="4" w:space="0" w:color="auto"/>
              <w:bottom w:val="nil"/>
              <w:right w:val="nil"/>
            </w:tcBorders>
            <w:shd w:val="clear" w:color="000000" w:fill="B4C6E7"/>
            <w:vAlign w:val="center"/>
            <w:hideMark/>
          </w:tcPr>
          <w:p w14:paraId="35A702B7"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Japan Exchange Group</w:t>
            </w:r>
          </w:p>
        </w:tc>
        <w:tc>
          <w:tcPr>
            <w:tcW w:w="1007" w:type="dxa"/>
            <w:tcBorders>
              <w:top w:val="nil"/>
              <w:left w:val="single" w:sz="8" w:space="0" w:color="auto"/>
              <w:bottom w:val="nil"/>
              <w:right w:val="single" w:sz="8" w:space="0" w:color="auto"/>
            </w:tcBorders>
            <w:shd w:val="clear" w:color="auto" w:fill="auto"/>
            <w:vAlign w:val="center"/>
            <w:hideMark/>
          </w:tcPr>
          <w:p w14:paraId="6320096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4,47,517</w:t>
            </w:r>
          </w:p>
        </w:tc>
        <w:tc>
          <w:tcPr>
            <w:tcW w:w="1001" w:type="dxa"/>
            <w:tcBorders>
              <w:top w:val="nil"/>
              <w:left w:val="nil"/>
              <w:bottom w:val="nil"/>
              <w:right w:val="single" w:sz="8" w:space="0" w:color="auto"/>
            </w:tcBorders>
            <w:shd w:val="clear" w:color="auto" w:fill="auto"/>
            <w:vAlign w:val="center"/>
            <w:hideMark/>
          </w:tcPr>
          <w:p w14:paraId="5F14EBD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40A7640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81,340</w:t>
            </w:r>
          </w:p>
        </w:tc>
        <w:tc>
          <w:tcPr>
            <w:tcW w:w="1001" w:type="dxa"/>
            <w:tcBorders>
              <w:top w:val="nil"/>
              <w:left w:val="nil"/>
              <w:bottom w:val="nil"/>
              <w:right w:val="single" w:sz="8" w:space="0" w:color="auto"/>
            </w:tcBorders>
            <w:shd w:val="clear" w:color="auto" w:fill="auto"/>
            <w:vAlign w:val="center"/>
            <w:hideMark/>
          </w:tcPr>
          <w:p w14:paraId="70B535B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7,26,586</w:t>
            </w:r>
          </w:p>
        </w:tc>
        <w:tc>
          <w:tcPr>
            <w:tcW w:w="1001" w:type="dxa"/>
            <w:tcBorders>
              <w:top w:val="nil"/>
              <w:left w:val="nil"/>
              <w:bottom w:val="nil"/>
              <w:right w:val="single" w:sz="8" w:space="0" w:color="auto"/>
            </w:tcBorders>
            <w:shd w:val="clear" w:color="auto" w:fill="auto"/>
            <w:vAlign w:val="center"/>
            <w:hideMark/>
          </w:tcPr>
          <w:p w14:paraId="72DB5B4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644A189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6,19,842</w:t>
            </w:r>
          </w:p>
        </w:tc>
      </w:tr>
      <w:tr w:rsidR="003656FA" w:rsidRPr="003656FA" w14:paraId="28331DA5" w14:textId="77777777" w:rsidTr="00A92684">
        <w:trPr>
          <w:trHeight w:val="238"/>
        </w:trPr>
        <w:tc>
          <w:tcPr>
            <w:tcW w:w="3236" w:type="dxa"/>
            <w:tcBorders>
              <w:top w:val="nil"/>
              <w:left w:val="single" w:sz="4" w:space="0" w:color="auto"/>
              <w:bottom w:val="nil"/>
              <w:right w:val="nil"/>
            </w:tcBorders>
            <w:shd w:val="clear" w:color="000000" w:fill="B4C6E7"/>
            <w:vAlign w:val="center"/>
            <w:hideMark/>
          </w:tcPr>
          <w:p w14:paraId="21151DB3"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Korea Exchange</w:t>
            </w:r>
          </w:p>
        </w:tc>
        <w:tc>
          <w:tcPr>
            <w:tcW w:w="1007" w:type="dxa"/>
            <w:tcBorders>
              <w:top w:val="nil"/>
              <w:left w:val="single" w:sz="8" w:space="0" w:color="auto"/>
              <w:bottom w:val="nil"/>
              <w:right w:val="single" w:sz="8" w:space="0" w:color="auto"/>
            </w:tcBorders>
            <w:shd w:val="clear" w:color="auto" w:fill="auto"/>
            <w:vAlign w:val="center"/>
            <w:hideMark/>
          </w:tcPr>
          <w:p w14:paraId="42212F6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26,16,396</w:t>
            </w:r>
          </w:p>
        </w:tc>
        <w:tc>
          <w:tcPr>
            <w:tcW w:w="1001" w:type="dxa"/>
            <w:tcBorders>
              <w:top w:val="nil"/>
              <w:left w:val="nil"/>
              <w:bottom w:val="nil"/>
              <w:right w:val="single" w:sz="8" w:space="0" w:color="auto"/>
            </w:tcBorders>
            <w:shd w:val="clear" w:color="auto" w:fill="auto"/>
            <w:vAlign w:val="center"/>
            <w:hideMark/>
          </w:tcPr>
          <w:p w14:paraId="0E25227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2,66,891</w:t>
            </w:r>
          </w:p>
        </w:tc>
        <w:tc>
          <w:tcPr>
            <w:tcW w:w="1001" w:type="dxa"/>
            <w:tcBorders>
              <w:top w:val="nil"/>
              <w:left w:val="nil"/>
              <w:bottom w:val="nil"/>
              <w:right w:val="single" w:sz="8" w:space="0" w:color="auto"/>
            </w:tcBorders>
            <w:shd w:val="clear" w:color="auto" w:fill="auto"/>
            <w:vAlign w:val="center"/>
            <w:hideMark/>
          </w:tcPr>
          <w:p w14:paraId="41A72B9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5,85,944</w:t>
            </w:r>
          </w:p>
        </w:tc>
        <w:tc>
          <w:tcPr>
            <w:tcW w:w="1001" w:type="dxa"/>
            <w:tcBorders>
              <w:top w:val="nil"/>
              <w:left w:val="nil"/>
              <w:bottom w:val="nil"/>
              <w:right w:val="single" w:sz="8" w:space="0" w:color="auto"/>
            </w:tcBorders>
            <w:shd w:val="clear" w:color="auto" w:fill="auto"/>
            <w:vAlign w:val="center"/>
            <w:hideMark/>
          </w:tcPr>
          <w:p w14:paraId="453FC78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3AD5413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2233619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1A5BEB09" w14:textId="77777777" w:rsidTr="00A92684">
        <w:trPr>
          <w:trHeight w:val="238"/>
        </w:trPr>
        <w:tc>
          <w:tcPr>
            <w:tcW w:w="3236" w:type="dxa"/>
            <w:tcBorders>
              <w:top w:val="nil"/>
              <w:left w:val="single" w:sz="4" w:space="0" w:color="auto"/>
              <w:bottom w:val="nil"/>
              <w:right w:val="nil"/>
            </w:tcBorders>
            <w:shd w:val="clear" w:color="000000" w:fill="B4C6E7"/>
            <w:vAlign w:val="center"/>
            <w:hideMark/>
          </w:tcPr>
          <w:p w14:paraId="4C05033B"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National Stock Exchange of India</w:t>
            </w:r>
          </w:p>
        </w:tc>
        <w:tc>
          <w:tcPr>
            <w:tcW w:w="1007" w:type="dxa"/>
            <w:tcBorders>
              <w:top w:val="nil"/>
              <w:left w:val="single" w:sz="8" w:space="0" w:color="auto"/>
              <w:bottom w:val="nil"/>
              <w:right w:val="single" w:sz="8" w:space="0" w:color="auto"/>
            </w:tcBorders>
            <w:shd w:val="clear" w:color="auto" w:fill="auto"/>
            <w:vAlign w:val="center"/>
            <w:hideMark/>
          </w:tcPr>
          <w:p w14:paraId="7759C26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5,54,091</w:t>
            </w:r>
          </w:p>
        </w:tc>
        <w:tc>
          <w:tcPr>
            <w:tcW w:w="1001" w:type="dxa"/>
            <w:tcBorders>
              <w:top w:val="nil"/>
              <w:left w:val="nil"/>
              <w:bottom w:val="nil"/>
              <w:right w:val="single" w:sz="8" w:space="0" w:color="auto"/>
            </w:tcBorders>
            <w:shd w:val="clear" w:color="auto" w:fill="auto"/>
            <w:vAlign w:val="center"/>
            <w:hideMark/>
          </w:tcPr>
          <w:p w14:paraId="4984C13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1,531</w:t>
            </w:r>
          </w:p>
        </w:tc>
        <w:tc>
          <w:tcPr>
            <w:tcW w:w="1001" w:type="dxa"/>
            <w:tcBorders>
              <w:top w:val="nil"/>
              <w:left w:val="nil"/>
              <w:bottom w:val="nil"/>
              <w:right w:val="single" w:sz="8" w:space="0" w:color="auto"/>
            </w:tcBorders>
            <w:shd w:val="clear" w:color="auto" w:fill="auto"/>
            <w:vAlign w:val="center"/>
            <w:hideMark/>
          </w:tcPr>
          <w:p w14:paraId="04F4365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50,760</w:t>
            </w:r>
          </w:p>
        </w:tc>
        <w:tc>
          <w:tcPr>
            <w:tcW w:w="1001" w:type="dxa"/>
            <w:tcBorders>
              <w:top w:val="nil"/>
              <w:left w:val="nil"/>
              <w:bottom w:val="nil"/>
              <w:right w:val="single" w:sz="8" w:space="0" w:color="auto"/>
            </w:tcBorders>
            <w:shd w:val="clear" w:color="auto" w:fill="auto"/>
            <w:vAlign w:val="center"/>
            <w:hideMark/>
          </w:tcPr>
          <w:p w14:paraId="27D6652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266</w:t>
            </w:r>
          </w:p>
        </w:tc>
        <w:tc>
          <w:tcPr>
            <w:tcW w:w="1001" w:type="dxa"/>
            <w:tcBorders>
              <w:top w:val="nil"/>
              <w:left w:val="nil"/>
              <w:bottom w:val="nil"/>
              <w:right w:val="single" w:sz="8" w:space="0" w:color="auto"/>
            </w:tcBorders>
            <w:shd w:val="clear" w:color="auto" w:fill="auto"/>
            <w:vAlign w:val="center"/>
            <w:hideMark/>
          </w:tcPr>
          <w:p w14:paraId="66F35B1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w:t>
            </w:r>
          </w:p>
        </w:tc>
        <w:tc>
          <w:tcPr>
            <w:tcW w:w="1001" w:type="dxa"/>
            <w:tcBorders>
              <w:top w:val="nil"/>
              <w:left w:val="nil"/>
              <w:bottom w:val="nil"/>
              <w:right w:val="single" w:sz="8" w:space="0" w:color="auto"/>
            </w:tcBorders>
            <w:shd w:val="clear" w:color="auto" w:fill="auto"/>
            <w:vAlign w:val="center"/>
            <w:hideMark/>
          </w:tcPr>
          <w:p w14:paraId="20F9631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195EF202" w14:textId="77777777" w:rsidTr="00A92684">
        <w:trPr>
          <w:trHeight w:val="238"/>
        </w:trPr>
        <w:tc>
          <w:tcPr>
            <w:tcW w:w="3236" w:type="dxa"/>
            <w:tcBorders>
              <w:top w:val="nil"/>
              <w:left w:val="single" w:sz="4" w:space="0" w:color="auto"/>
              <w:bottom w:val="nil"/>
              <w:right w:val="nil"/>
            </w:tcBorders>
            <w:shd w:val="clear" w:color="000000" w:fill="B4C6E7"/>
            <w:vAlign w:val="center"/>
            <w:hideMark/>
          </w:tcPr>
          <w:p w14:paraId="53548525"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Singapore Exchange</w:t>
            </w:r>
          </w:p>
        </w:tc>
        <w:tc>
          <w:tcPr>
            <w:tcW w:w="1007" w:type="dxa"/>
            <w:tcBorders>
              <w:top w:val="nil"/>
              <w:left w:val="single" w:sz="8" w:space="0" w:color="auto"/>
              <w:bottom w:val="nil"/>
              <w:right w:val="single" w:sz="8" w:space="0" w:color="auto"/>
            </w:tcBorders>
            <w:shd w:val="clear" w:color="auto" w:fill="auto"/>
            <w:vAlign w:val="center"/>
            <w:hideMark/>
          </w:tcPr>
          <w:p w14:paraId="6C84C43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33,547</w:t>
            </w:r>
          </w:p>
        </w:tc>
        <w:tc>
          <w:tcPr>
            <w:tcW w:w="1001" w:type="dxa"/>
            <w:tcBorders>
              <w:top w:val="nil"/>
              <w:left w:val="nil"/>
              <w:bottom w:val="nil"/>
              <w:right w:val="single" w:sz="8" w:space="0" w:color="auto"/>
            </w:tcBorders>
            <w:shd w:val="clear" w:color="auto" w:fill="auto"/>
            <w:vAlign w:val="center"/>
            <w:hideMark/>
          </w:tcPr>
          <w:p w14:paraId="3C6861C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0B7BC31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15,062</w:t>
            </w:r>
          </w:p>
        </w:tc>
        <w:tc>
          <w:tcPr>
            <w:tcW w:w="1001" w:type="dxa"/>
            <w:tcBorders>
              <w:top w:val="nil"/>
              <w:left w:val="nil"/>
              <w:bottom w:val="nil"/>
              <w:right w:val="single" w:sz="8" w:space="0" w:color="auto"/>
            </w:tcBorders>
            <w:shd w:val="clear" w:color="auto" w:fill="auto"/>
            <w:vAlign w:val="center"/>
            <w:hideMark/>
          </w:tcPr>
          <w:p w14:paraId="25F750B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1BE0921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1152324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4E55FB5F" w14:textId="77777777" w:rsidTr="00A92684">
        <w:trPr>
          <w:trHeight w:val="238"/>
        </w:trPr>
        <w:tc>
          <w:tcPr>
            <w:tcW w:w="3236" w:type="dxa"/>
            <w:tcBorders>
              <w:top w:val="nil"/>
              <w:left w:val="single" w:sz="4" w:space="0" w:color="auto"/>
              <w:bottom w:val="nil"/>
              <w:right w:val="nil"/>
            </w:tcBorders>
            <w:shd w:val="clear" w:color="000000" w:fill="B4C6E7"/>
            <w:vAlign w:val="center"/>
            <w:hideMark/>
          </w:tcPr>
          <w:p w14:paraId="6A76FD0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China Financial Futures Exchange</w:t>
            </w:r>
          </w:p>
        </w:tc>
        <w:tc>
          <w:tcPr>
            <w:tcW w:w="1007" w:type="dxa"/>
            <w:tcBorders>
              <w:top w:val="nil"/>
              <w:left w:val="single" w:sz="8" w:space="0" w:color="auto"/>
              <w:bottom w:val="nil"/>
              <w:right w:val="single" w:sz="8" w:space="0" w:color="auto"/>
            </w:tcBorders>
            <w:shd w:val="clear" w:color="auto" w:fill="auto"/>
            <w:vAlign w:val="center"/>
            <w:hideMark/>
          </w:tcPr>
          <w:p w14:paraId="71D51E1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25,99,290</w:t>
            </w:r>
          </w:p>
        </w:tc>
        <w:tc>
          <w:tcPr>
            <w:tcW w:w="1001" w:type="dxa"/>
            <w:tcBorders>
              <w:top w:val="nil"/>
              <w:left w:val="nil"/>
              <w:bottom w:val="nil"/>
              <w:right w:val="single" w:sz="8" w:space="0" w:color="auto"/>
            </w:tcBorders>
            <w:shd w:val="clear" w:color="auto" w:fill="auto"/>
            <w:vAlign w:val="center"/>
            <w:hideMark/>
          </w:tcPr>
          <w:p w14:paraId="17F0A64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3,98,811</w:t>
            </w:r>
          </w:p>
        </w:tc>
        <w:tc>
          <w:tcPr>
            <w:tcW w:w="1001" w:type="dxa"/>
            <w:tcBorders>
              <w:top w:val="nil"/>
              <w:left w:val="nil"/>
              <w:bottom w:val="nil"/>
              <w:right w:val="single" w:sz="8" w:space="0" w:color="auto"/>
            </w:tcBorders>
            <w:shd w:val="clear" w:color="auto" w:fill="auto"/>
            <w:vAlign w:val="center"/>
            <w:hideMark/>
          </w:tcPr>
          <w:p w14:paraId="0627118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1,63,686</w:t>
            </w:r>
          </w:p>
        </w:tc>
        <w:tc>
          <w:tcPr>
            <w:tcW w:w="1001" w:type="dxa"/>
            <w:tcBorders>
              <w:top w:val="nil"/>
              <w:left w:val="nil"/>
              <w:bottom w:val="nil"/>
              <w:right w:val="single" w:sz="8" w:space="0" w:color="auto"/>
            </w:tcBorders>
            <w:shd w:val="clear" w:color="auto" w:fill="auto"/>
            <w:vAlign w:val="center"/>
            <w:hideMark/>
          </w:tcPr>
          <w:p w14:paraId="23D798C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210C90A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7A168E1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541CA99C" w14:textId="77777777" w:rsidTr="00A92684">
        <w:trPr>
          <w:trHeight w:val="238"/>
        </w:trPr>
        <w:tc>
          <w:tcPr>
            <w:tcW w:w="3236" w:type="dxa"/>
            <w:tcBorders>
              <w:top w:val="nil"/>
              <w:left w:val="single" w:sz="4" w:space="0" w:color="auto"/>
              <w:bottom w:val="nil"/>
              <w:right w:val="nil"/>
            </w:tcBorders>
            <w:shd w:val="clear" w:color="000000" w:fill="B4C6E7"/>
            <w:vAlign w:val="center"/>
            <w:hideMark/>
          </w:tcPr>
          <w:p w14:paraId="53993E75"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Deutsche Boerse AG</w:t>
            </w:r>
          </w:p>
        </w:tc>
        <w:tc>
          <w:tcPr>
            <w:tcW w:w="1007" w:type="dxa"/>
            <w:tcBorders>
              <w:top w:val="nil"/>
              <w:left w:val="single" w:sz="8" w:space="0" w:color="auto"/>
              <w:bottom w:val="nil"/>
              <w:right w:val="single" w:sz="8" w:space="0" w:color="auto"/>
            </w:tcBorders>
            <w:shd w:val="clear" w:color="auto" w:fill="auto"/>
            <w:vAlign w:val="center"/>
            <w:hideMark/>
          </w:tcPr>
          <w:p w14:paraId="38FDEB4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3,06,42,258</w:t>
            </w:r>
          </w:p>
        </w:tc>
        <w:tc>
          <w:tcPr>
            <w:tcW w:w="1001" w:type="dxa"/>
            <w:tcBorders>
              <w:top w:val="nil"/>
              <w:left w:val="nil"/>
              <w:bottom w:val="nil"/>
              <w:right w:val="single" w:sz="8" w:space="0" w:color="auto"/>
            </w:tcBorders>
            <w:shd w:val="clear" w:color="auto" w:fill="auto"/>
            <w:vAlign w:val="center"/>
            <w:hideMark/>
          </w:tcPr>
          <w:p w14:paraId="0037649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54,43,471</w:t>
            </w:r>
          </w:p>
        </w:tc>
        <w:tc>
          <w:tcPr>
            <w:tcW w:w="1001" w:type="dxa"/>
            <w:tcBorders>
              <w:top w:val="nil"/>
              <w:left w:val="nil"/>
              <w:bottom w:val="nil"/>
              <w:right w:val="single" w:sz="8" w:space="0" w:color="auto"/>
            </w:tcBorders>
            <w:shd w:val="clear" w:color="auto" w:fill="auto"/>
            <w:vAlign w:val="center"/>
            <w:hideMark/>
          </w:tcPr>
          <w:p w14:paraId="681B13B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49,18,816</w:t>
            </w:r>
          </w:p>
        </w:tc>
        <w:tc>
          <w:tcPr>
            <w:tcW w:w="1001" w:type="dxa"/>
            <w:tcBorders>
              <w:top w:val="nil"/>
              <w:left w:val="nil"/>
              <w:bottom w:val="nil"/>
              <w:right w:val="single" w:sz="8" w:space="0" w:color="auto"/>
            </w:tcBorders>
            <w:shd w:val="clear" w:color="auto" w:fill="auto"/>
            <w:vAlign w:val="center"/>
            <w:hideMark/>
          </w:tcPr>
          <w:p w14:paraId="71CFBD3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31,33,435</w:t>
            </w:r>
          </w:p>
        </w:tc>
        <w:tc>
          <w:tcPr>
            <w:tcW w:w="1001" w:type="dxa"/>
            <w:tcBorders>
              <w:top w:val="nil"/>
              <w:left w:val="nil"/>
              <w:bottom w:val="nil"/>
              <w:right w:val="single" w:sz="8" w:space="0" w:color="auto"/>
            </w:tcBorders>
            <w:shd w:val="clear" w:color="auto" w:fill="auto"/>
            <w:vAlign w:val="center"/>
            <w:hideMark/>
          </w:tcPr>
          <w:p w14:paraId="499B445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5,39,507</w:t>
            </w:r>
          </w:p>
        </w:tc>
        <w:tc>
          <w:tcPr>
            <w:tcW w:w="1001" w:type="dxa"/>
            <w:tcBorders>
              <w:top w:val="nil"/>
              <w:left w:val="nil"/>
              <w:bottom w:val="nil"/>
              <w:right w:val="single" w:sz="8" w:space="0" w:color="auto"/>
            </w:tcBorders>
            <w:shd w:val="clear" w:color="auto" w:fill="auto"/>
            <w:vAlign w:val="center"/>
            <w:hideMark/>
          </w:tcPr>
          <w:p w14:paraId="6498C72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15,46,906</w:t>
            </w:r>
          </w:p>
        </w:tc>
      </w:tr>
      <w:tr w:rsidR="003656FA" w:rsidRPr="003656FA" w14:paraId="7FD4E796" w14:textId="77777777" w:rsidTr="00A92684">
        <w:trPr>
          <w:trHeight w:val="238"/>
        </w:trPr>
        <w:tc>
          <w:tcPr>
            <w:tcW w:w="3236" w:type="dxa"/>
            <w:tcBorders>
              <w:top w:val="nil"/>
              <w:left w:val="single" w:sz="4" w:space="0" w:color="auto"/>
              <w:bottom w:val="nil"/>
              <w:right w:val="nil"/>
            </w:tcBorders>
            <w:shd w:val="clear" w:color="000000" w:fill="B4C6E7"/>
            <w:vAlign w:val="center"/>
            <w:hideMark/>
          </w:tcPr>
          <w:p w14:paraId="6AA3B75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Moscow Exchange</w:t>
            </w:r>
          </w:p>
        </w:tc>
        <w:tc>
          <w:tcPr>
            <w:tcW w:w="1007" w:type="dxa"/>
            <w:tcBorders>
              <w:top w:val="nil"/>
              <w:left w:val="single" w:sz="8" w:space="0" w:color="auto"/>
              <w:bottom w:val="nil"/>
              <w:right w:val="single" w:sz="8" w:space="0" w:color="auto"/>
            </w:tcBorders>
            <w:shd w:val="clear" w:color="auto" w:fill="auto"/>
            <w:vAlign w:val="center"/>
            <w:hideMark/>
          </w:tcPr>
          <w:p w14:paraId="25BD4D2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15,220</w:t>
            </w:r>
          </w:p>
        </w:tc>
        <w:tc>
          <w:tcPr>
            <w:tcW w:w="1001" w:type="dxa"/>
            <w:tcBorders>
              <w:top w:val="nil"/>
              <w:left w:val="nil"/>
              <w:bottom w:val="nil"/>
              <w:right w:val="single" w:sz="8" w:space="0" w:color="auto"/>
            </w:tcBorders>
            <w:shd w:val="clear" w:color="auto" w:fill="auto"/>
            <w:vAlign w:val="center"/>
            <w:hideMark/>
          </w:tcPr>
          <w:p w14:paraId="6A450AF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w:t>
            </w:r>
          </w:p>
        </w:tc>
        <w:tc>
          <w:tcPr>
            <w:tcW w:w="1001" w:type="dxa"/>
            <w:tcBorders>
              <w:top w:val="nil"/>
              <w:left w:val="nil"/>
              <w:bottom w:val="nil"/>
              <w:right w:val="single" w:sz="8" w:space="0" w:color="auto"/>
            </w:tcBorders>
            <w:shd w:val="clear" w:color="auto" w:fill="auto"/>
            <w:vAlign w:val="center"/>
            <w:hideMark/>
          </w:tcPr>
          <w:p w14:paraId="75C251A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33,632</w:t>
            </w:r>
          </w:p>
        </w:tc>
        <w:tc>
          <w:tcPr>
            <w:tcW w:w="1001" w:type="dxa"/>
            <w:tcBorders>
              <w:top w:val="nil"/>
              <w:left w:val="nil"/>
              <w:bottom w:val="nil"/>
              <w:right w:val="single" w:sz="8" w:space="0" w:color="auto"/>
            </w:tcBorders>
            <w:shd w:val="clear" w:color="auto" w:fill="auto"/>
            <w:vAlign w:val="center"/>
            <w:hideMark/>
          </w:tcPr>
          <w:p w14:paraId="3AC2C4F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5D0BF19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01" w:type="dxa"/>
            <w:tcBorders>
              <w:top w:val="nil"/>
              <w:left w:val="nil"/>
              <w:bottom w:val="nil"/>
              <w:right w:val="single" w:sz="8" w:space="0" w:color="auto"/>
            </w:tcBorders>
            <w:shd w:val="clear" w:color="auto" w:fill="auto"/>
            <w:vAlign w:val="center"/>
            <w:hideMark/>
          </w:tcPr>
          <w:p w14:paraId="2E409D0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246E2665" w14:textId="77777777" w:rsidTr="00A92684">
        <w:trPr>
          <w:trHeight w:val="250"/>
        </w:trPr>
        <w:tc>
          <w:tcPr>
            <w:tcW w:w="3236" w:type="dxa"/>
            <w:tcBorders>
              <w:top w:val="nil"/>
              <w:left w:val="single" w:sz="4" w:space="0" w:color="auto"/>
              <w:bottom w:val="nil"/>
              <w:right w:val="nil"/>
            </w:tcBorders>
            <w:shd w:val="clear" w:color="000000" w:fill="B4C6E7"/>
            <w:vAlign w:val="center"/>
            <w:hideMark/>
          </w:tcPr>
          <w:p w14:paraId="25C561BA"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Nasdaq Nordic and Baltics</w:t>
            </w:r>
          </w:p>
        </w:tc>
        <w:tc>
          <w:tcPr>
            <w:tcW w:w="1007" w:type="dxa"/>
            <w:tcBorders>
              <w:top w:val="nil"/>
              <w:left w:val="single" w:sz="8" w:space="0" w:color="auto"/>
              <w:bottom w:val="single" w:sz="8" w:space="0" w:color="auto"/>
              <w:right w:val="single" w:sz="8" w:space="0" w:color="auto"/>
            </w:tcBorders>
            <w:shd w:val="clear" w:color="auto" w:fill="auto"/>
            <w:vAlign w:val="center"/>
            <w:hideMark/>
          </w:tcPr>
          <w:p w14:paraId="2042D65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89,139</w:t>
            </w:r>
          </w:p>
        </w:tc>
        <w:tc>
          <w:tcPr>
            <w:tcW w:w="1001" w:type="dxa"/>
            <w:tcBorders>
              <w:top w:val="nil"/>
              <w:left w:val="nil"/>
              <w:bottom w:val="single" w:sz="8" w:space="0" w:color="auto"/>
              <w:right w:val="single" w:sz="8" w:space="0" w:color="auto"/>
            </w:tcBorders>
            <w:shd w:val="clear" w:color="auto" w:fill="auto"/>
            <w:vAlign w:val="center"/>
            <w:hideMark/>
          </w:tcPr>
          <w:p w14:paraId="3F25A32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10,154</w:t>
            </w:r>
          </w:p>
        </w:tc>
        <w:tc>
          <w:tcPr>
            <w:tcW w:w="1001" w:type="dxa"/>
            <w:tcBorders>
              <w:top w:val="nil"/>
              <w:left w:val="nil"/>
              <w:bottom w:val="single" w:sz="8" w:space="0" w:color="auto"/>
              <w:right w:val="single" w:sz="8" w:space="0" w:color="auto"/>
            </w:tcBorders>
            <w:shd w:val="clear" w:color="auto" w:fill="auto"/>
            <w:vAlign w:val="center"/>
            <w:hideMark/>
          </w:tcPr>
          <w:p w14:paraId="21F1811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10,33,399</w:t>
            </w:r>
          </w:p>
        </w:tc>
        <w:tc>
          <w:tcPr>
            <w:tcW w:w="1001" w:type="dxa"/>
            <w:tcBorders>
              <w:top w:val="nil"/>
              <w:left w:val="nil"/>
              <w:bottom w:val="single" w:sz="8" w:space="0" w:color="auto"/>
              <w:right w:val="single" w:sz="8" w:space="0" w:color="auto"/>
            </w:tcBorders>
            <w:shd w:val="clear" w:color="auto" w:fill="auto"/>
            <w:vAlign w:val="center"/>
            <w:hideMark/>
          </w:tcPr>
          <w:p w14:paraId="48F2FCD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3,34,996</w:t>
            </w:r>
          </w:p>
        </w:tc>
        <w:tc>
          <w:tcPr>
            <w:tcW w:w="1001" w:type="dxa"/>
            <w:tcBorders>
              <w:top w:val="nil"/>
              <w:left w:val="nil"/>
              <w:bottom w:val="single" w:sz="8" w:space="0" w:color="auto"/>
              <w:right w:val="single" w:sz="8" w:space="0" w:color="auto"/>
            </w:tcBorders>
            <w:shd w:val="clear" w:color="auto" w:fill="auto"/>
            <w:vAlign w:val="center"/>
            <w:hideMark/>
          </w:tcPr>
          <w:p w14:paraId="2CDBA77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38,161</w:t>
            </w:r>
          </w:p>
        </w:tc>
        <w:tc>
          <w:tcPr>
            <w:tcW w:w="1001" w:type="dxa"/>
            <w:tcBorders>
              <w:top w:val="nil"/>
              <w:left w:val="nil"/>
              <w:bottom w:val="single" w:sz="8" w:space="0" w:color="auto"/>
              <w:right w:val="single" w:sz="8" w:space="0" w:color="auto"/>
            </w:tcBorders>
            <w:shd w:val="clear" w:color="auto" w:fill="auto"/>
            <w:vAlign w:val="center"/>
            <w:hideMark/>
          </w:tcPr>
          <w:p w14:paraId="01B5544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54A56647" w14:textId="77777777" w:rsidTr="00A92684">
        <w:trPr>
          <w:trHeight w:val="250"/>
        </w:trPr>
        <w:tc>
          <w:tcPr>
            <w:tcW w:w="3236" w:type="dxa"/>
            <w:tcBorders>
              <w:top w:val="single" w:sz="8" w:space="0" w:color="auto"/>
              <w:left w:val="single" w:sz="8" w:space="0" w:color="auto"/>
              <w:bottom w:val="single" w:sz="8" w:space="0" w:color="auto"/>
              <w:right w:val="nil"/>
            </w:tcBorders>
            <w:shd w:val="clear" w:color="000000" w:fill="D9E1F2"/>
            <w:vAlign w:val="center"/>
            <w:hideMark/>
          </w:tcPr>
          <w:p w14:paraId="30C3AFEF"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Grand Total</w:t>
            </w:r>
          </w:p>
        </w:tc>
        <w:tc>
          <w:tcPr>
            <w:tcW w:w="1007" w:type="dxa"/>
            <w:tcBorders>
              <w:top w:val="nil"/>
              <w:left w:val="nil"/>
              <w:bottom w:val="single" w:sz="8" w:space="0" w:color="auto"/>
              <w:right w:val="nil"/>
            </w:tcBorders>
            <w:shd w:val="clear" w:color="000000" w:fill="D9E1F2"/>
            <w:vAlign w:val="center"/>
            <w:hideMark/>
          </w:tcPr>
          <w:p w14:paraId="5E4139FD"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15,17,75,806 </w:t>
            </w:r>
          </w:p>
        </w:tc>
        <w:tc>
          <w:tcPr>
            <w:tcW w:w="1001" w:type="dxa"/>
            <w:tcBorders>
              <w:top w:val="nil"/>
              <w:left w:val="nil"/>
              <w:bottom w:val="single" w:sz="8" w:space="0" w:color="auto"/>
              <w:right w:val="nil"/>
            </w:tcBorders>
            <w:shd w:val="clear" w:color="000000" w:fill="D9E1F2"/>
            <w:vAlign w:val="center"/>
            <w:hideMark/>
          </w:tcPr>
          <w:p w14:paraId="075A9AC5"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4,67,15,355 </w:t>
            </w:r>
          </w:p>
        </w:tc>
        <w:tc>
          <w:tcPr>
            <w:tcW w:w="1001" w:type="dxa"/>
            <w:tcBorders>
              <w:top w:val="nil"/>
              <w:left w:val="nil"/>
              <w:bottom w:val="single" w:sz="8" w:space="0" w:color="auto"/>
              <w:right w:val="nil"/>
            </w:tcBorders>
            <w:shd w:val="clear" w:color="000000" w:fill="D9E1F2"/>
            <w:vAlign w:val="center"/>
            <w:hideMark/>
          </w:tcPr>
          <w:p w14:paraId="39F034B5"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6,10,79,745 </w:t>
            </w:r>
          </w:p>
        </w:tc>
        <w:tc>
          <w:tcPr>
            <w:tcW w:w="1001" w:type="dxa"/>
            <w:tcBorders>
              <w:top w:val="nil"/>
              <w:left w:val="nil"/>
              <w:bottom w:val="single" w:sz="8" w:space="0" w:color="auto"/>
              <w:right w:val="nil"/>
            </w:tcBorders>
            <w:shd w:val="clear" w:color="000000" w:fill="D9E1F2"/>
            <w:vAlign w:val="center"/>
            <w:hideMark/>
          </w:tcPr>
          <w:p w14:paraId="4F22E5FC"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2,39,20,330 </w:t>
            </w:r>
          </w:p>
        </w:tc>
        <w:tc>
          <w:tcPr>
            <w:tcW w:w="1001" w:type="dxa"/>
            <w:tcBorders>
              <w:top w:val="nil"/>
              <w:left w:val="nil"/>
              <w:bottom w:val="single" w:sz="8" w:space="0" w:color="auto"/>
              <w:right w:val="nil"/>
            </w:tcBorders>
            <w:shd w:val="clear" w:color="000000" w:fill="D9E1F2"/>
            <w:vAlign w:val="center"/>
            <w:hideMark/>
          </w:tcPr>
          <w:p w14:paraId="08DDD369"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1,16,99,466 </w:t>
            </w:r>
          </w:p>
        </w:tc>
        <w:tc>
          <w:tcPr>
            <w:tcW w:w="1001" w:type="dxa"/>
            <w:tcBorders>
              <w:top w:val="nil"/>
              <w:left w:val="nil"/>
              <w:bottom w:val="single" w:sz="8" w:space="0" w:color="auto"/>
              <w:right w:val="single" w:sz="8" w:space="0" w:color="auto"/>
            </w:tcBorders>
            <w:shd w:val="clear" w:color="000000" w:fill="D9E1F2"/>
            <w:vAlign w:val="center"/>
            <w:hideMark/>
          </w:tcPr>
          <w:p w14:paraId="410414F9"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4,37,81,151 </w:t>
            </w:r>
          </w:p>
        </w:tc>
      </w:tr>
    </w:tbl>
    <w:p w14:paraId="6851991E" w14:textId="77777777" w:rsidR="003656FA" w:rsidRPr="003656FA" w:rsidRDefault="003656FA" w:rsidP="003656FA">
      <w:pPr>
        <w:spacing w:line="23" w:lineRule="atLeast"/>
        <w:rPr>
          <w:rFonts w:ascii="Garamond" w:eastAsia="Times New Roman" w:hAnsi="Garamond"/>
          <w:bCs/>
          <w:sz w:val="18"/>
          <w:szCs w:val="18"/>
          <w:lang w:val="en-US"/>
        </w:rPr>
      </w:pPr>
      <w:r w:rsidRPr="003656FA">
        <w:rPr>
          <w:rFonts w:ascii="Garamond" w:eastAsia="Times New Roman" w:hAnsi="Garamond"/>
          <w:bCs/>
          <w:sz w:val="18"/>
          <w:szCs w:val="18"/>
          <w:lang w:val="en-US"/>
        </w:rPr>
        <w:tab/>
      </w:r>
    </w:p>
    <w:p w14:paraId="1D6C003F" w14:textId="77777777" w:rsidR="003656FA" w:rsidRPr="003656FA" w:rsidRDefault="003656FA" w:rsidP="003656FA">
      <w:pPr>
        <w:spacing w:line="23" w:lineRule="atLeast"/>
        <w:jc w:val="both"/>
        <w:rPr>
          <w:rFonts w:ascii="Garamond" w:hAnsi="Garamond"/>
          <w:bCs/>
          <w:sz w:val="18"/>
          <w:szCs w:val="18"/>
        </w:rPr>
      </w:pPr>
      <w:r w:rsidRPr="003656FA">
        <w:rPr>
          <w:rFonts w:ascii="Garamond" w:hAnsi="Garamond"/>
          <w:bCs/>
          <w:sz w:val="18"/>
          <w:szCs w:val="18"/>
        </w:rPr>
        <w:t>NA: Not Available</w:t>
      </w:r>
    </w:p>
    <w:p w14:paraId="53523D63" w14:textId="77777777" w:rsidR="003656FA" w:rsidRPr="003656FA" w:rsidRDefault="003656FA" w:rsidP="003656FA">
      <w:pPr>
        <w:spacing w:line="23" w:lineRule="atLeast"/>
        <w:jc w:val="both"/>
        <w:outlineLvl w:val="0"/>
        <w:rPr>
          <w:rFonts w:ascii="Garamond" w:hAnsi="Garamond"/>
          <w:bCs/>
          <w:sz w:val="18"/>
          <w:szCs w:val="18"/>
        </w:rPr>
      </w:pPr>
      <w:r w:rsidRPr="003656FA">
        <w:rPr>
          <w:rFonts w:ascii="Garamond" w:hAnsi="Garamond"/>
          <w:bCs/>
          <w:sz w:val="18"/>
          <w:szCs w:val="18"/>
        </w:rPr>
        <w:t>Source: World Federation of Exchanges</w:t>
      </w:r>
    </w:p>
    <w:p w14:paraId="1509EA44" w14:textId="77777777" w:rsidR="003656FA" w:rsidRPr="003656FA" w:rsidRDefault="003656FA" w:rsidP="003656FA">
      <w:pPr>
        <w:rPr>
          <w:rFonts w:ascii="Garamond" w:eastAsia="Times New Roman" w:hAnsi="Garamond"/>
          <w:bCs/>
          <w:sz w:val="22"/>
          <w:szCs w:val="22"/>
          <w:lang w:val="en-US"/>
        </w:rPr>
      </w:pPr>
    </w:p>
    <w:p w14:paraId="386CEA60" w14:textId="77777777" w:rsidR="003656FA" w:rsidRPr="003656FA" w:rsidRDefault="003656FA" w:rsidP="003656FA">
      <w:pPr>
        <w:rPr>
          <w:rFonts w:ascii="Garamond" w:eastAsia="Times New Roman" w:hAnsi="Garamond"/>
          <w:bCs/>
          <w:sz w:val="22"/>
          <w:szCs w:val="22"/>
          <w:lang w:val="en-US"/>
        </w:rPr>
      </w:pPr>
      <w:r w:rsidRPr="003656FA">
        <w:rPr>
          <w:rFonts w:ascii="Garamond" w:eastAsia="Times New Roman" w:hAnsi="Garamond"/>
          <w:bCs/>
          <w:sz w:val="22"/>
          <w:szCs w:val="22"/>
          <w:lang w:val="en-US"/>
        </w:rPr>
        <w:br w:type="page"/>
      </w:r>
    </w:p>
    <w:p w14:paraId="45683D24" w14:textId="77777777" w:rsidR="003656FA" w:rsidRPr="003656FA" w:rsidRDefault="003656FA" w:rsidP="003656FA">
      <w:pPr>
        <w:spacing w:line="23" w:lineRule="atLeast"/>
        <w:rPr>
          <w:rFonts w:ascii="Garamond" w:hAnsi="Garamond"/>
          <w:b/>
          <w:bCs/>
          <w:szCs w:val="22"/>
        </w:rPr>
      </w:pPr>
      <w:r w:rsidRPr="003656FA">
        <w:rPr>
          <w:rFonts w:ascii="Garamond" w:eastAsia="Times New Roman" w:hAnsi="Garamond"/>
          <w:b/>
          <w:bCs/>
          <w:szCs w:val="22"/>
          <w:lang w:val="en-US"/>
        </w:rPr>
        <w:lastRenderedPageBreak/>
        <w:t>Table A8: Commodity Futures and Options Traded in Major Exchanges</w:t>
      </w:r>
    </w:p>
    <w:p w14:paraId="4AFE66DE" w14:textId="77777777" w:rsidR="003656FA" w:rsidRPr="003656FA" w:rsidRDefault="003656FA" w:rsidP="003656FA">
      <w:pPr>
        <w:spacing w:line="23" w:lineRule="atLeast"/>
        <w:ind w:right="348"/>
        <w:jc w:val="right"/>
        <w:rPr>
          <w:rFonts w:ascii="Garamond" w:hAnsi="Garamond"/>
          <w:bCs/>
          <w:sz w:val="22"/>
          <w:szCs w:val="22"/>
        </w:rPr>
      </w:pPr>
      <w:r w:rsidRPr="003656FA">
        <w:rPr>
          <w:rFonts w:ascii="Garamond" w:hAnsi="Garamond"/>
          <w:bCs/>
          <w:sz w:val="22"/>
          <w:szCs w:val="22"/>
        </w:rPr>
        <w:t>Notional Turnover in (USD million)</w:t>
      </w:r>
    </w:p>
    <w:tbl>
      <w:tblPr>
        <w:tblW w:w="9505" w:type="dxa"/>
        <w:tblLook w:val="04A0" w:firstRow="1" w:lastRow="0" w:firstColumn="1" w:lastColumn="0" w:noHBand="0" w:noVBand="1"/>
      </w:tblPr>
      <w:tblGrid>
        <w:gridCol w:w="2844"/>
        <w:gridCol w:w="1202"/>
        <w:gridCol w:w="1108"/>
        <w:gridCol w:w="1098"/>
        <w:gridCol w:w="1123"/>
        <w:gridCol w:w="1022"/>
        <w:gridCol w:w="1108"/>
      </w:tblGrid>
      <w:tr w:rsidR="003656FA" w:rsidRPr="003656FA" w14:paraId="0AD9785B" w14:textId="77777777" w:rsidTr="00A92684">
        <w:trPr>
          <w:trHeight w:val="243"/>
        </w:trPr>
        <w:tc>
          <w:tcPr>
            <w:tcW w:w="3315"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1CBD35DB"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Exchange</w:t>
            </w:r>
          </w:p>
        </w:tc>
        <w:tc>
          <w:tcPr>
            <w:tcW w:w="6190" w:type="dxa"/>
            <w:gridSpan w:val="6"/>
            <w:tcBorders>
              <w:top w:val="single" w:sz="4" w:space="0" w:color="auto"/>
              <w:left w:val="nil"/>
              <w:bottom w:val="single" w:sz="4" w:space="0" w:color="auto"/>
              <w:right w:val="single" w:sz="4" w:space="0" w:color="auto"/>
            </w:tcBorders>
            <w:shd w:val="clear" w:color="000000" w:fill="B4C6E7"/>
            <w:vAlign w:val="center"/>
            <w:hideMark/>
          </w:tcPr>
          <w:p w14:paraId="21C7D8EB"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Jul-20</w:t>
            </w:r>
          </w:p>
        </w:tc>
      </w:tr>
      <w:tr w:rsidR="003656FA" w:rsidRPr="003656FA" w14:paraId="0084C3D7" w14:textId="77777777" w:rsidTr="00A92684">
        <w:trPr>
          <w:trHeight w:val="243"/>
        </w:trPr>
        <w:tc>
          <w:tcPr>
            <w:tcW w:w="3315" w:type="dxa"/>
            <w:vMerge/>
            <w:tcBorders>
              <w:top w:val="single" w:sz="4" w:space="0" w:color="auto"/>
              <w:left w:val="single" w:sz="4" w:space="0" w:color="auto"/>
              <w:bottom w:val="single" w:sz="4" w:space="0" w:color="auto"/>
              <w:right w:val="single" w:sz="4" w:space="0" w:color="auto"/>
            </w:tcBorders>
            <w:vAlign w:val="center"/>
            <w:hideMark/>
          </w:tcPr>
          <w:p w14:paraId="53EAEB63"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3104" w:type="dxa"/>
            <w:gridSpan w:val="3"/>
            <w:tcBorders>
              <w:top w:val="single" w:sz="4" w:space="0" w:color="auto"/>
              <w:left w:val="nil"/>
              <w:bottom w:val="single" w:sz="4" w:space="0" w:color="auto"/>
              <w:right w:val="single" w:sz="4" w:space="0" w:color="auto"/>
            </w:tcBorders>
            <w:shd w:val="clear" w:color="000000" w:fill="B4C6E7"/>
            <w:vAlign w:val="center"/>
            <w:hideMark/>
          </w:tcPr>
          <w:p w14:paraId="765514DF"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Commodities Futures</w:t>
            </w:r>
          </w:p>
        </w:tc>
        <w:tc>
          <w:tcPr>
            <w:tcW w:w="3085" w:type="dxa"/>
            <w:gridSpan w:val="3"/>
            <w:tcBorders>
              <w:top w:val="single" w:sz="4" w:space="0" w:color="auto"/>
              <w:left w:val="nil"/>
              <w:bottom w:val="single" w:sz="4" w:space="0" w:color="auto"/>
              <w:right w:val="single" w:sz="4" w:space="0" w:color="auto"/>
            </w:tcBorders>
            <w:shd w:val="clear" w:color="000000" w:fill="B4C6E7"/>
            <w:vAlign w:val="center"/>
            <w:hideMark/>
          </w:tcPr>
          <w:p w14:paraId="390E9C08"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Commodities Options</w:t>
            </w:r>
          </w:p>
        </w:tc>
      </w:tr>
      <w:tr w:rsidR="003656FA" w:rsidRPr="003656FA" w14:paraId="241F3244" w14:textId="77777777" w:rsidTr="00A92684">
        <w:trPr>
          <w:trHeight w:val="631"/>
        </w:trPr>
        <w:tc>
          <w:tcPr>
            <w:tcW w:w="3315" w:type="dxa"/>
            <w:vMerge/>
            <w:tcBorders>
              <w:top w:val="single" w:sz="4" w:space="0" w:color="auto"/>
              <w:left w:val="single" w:sz="4" w:space="0" w:color="auto"/>
              <w:bottom w:val="single" w:sz="4" w:space="0" w:color="auto"/>
              <w:right w:val="single" w:sz="4" w:space="0" w:color="auto"/>
            </w:tcBorders>
            <w:vAlign w:val="center"/>
            <w:hideMark/>
          </w:tcPr>
          <w:p w14:paraId="0059B5EC"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1048" w:type="dxa"/>
            <w:tcBorders>
              <w:top w:val="nil"/>
              <w:left w:val="nil"/>
              <w:bottom w:val="single" w:sz="4" w:space="0" w:color="auto"/>
              <w:right w:val="single" w:sz="4" w:space="0" w:color="auto"/>
            </w:tcBorders>
            <w:shd w:val="clear" w:color="000000" w:fill="B4C6E7"/>
            <w:vAlign w:val="center"/>
            <w:hideMark/>
          </w:tcPr>
          <w:p w14:paraId="0CA4D5A9"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Number of</w:t>
            </w:r>
            <w:r w:rsidRPr="003656FA">
              <w:rPr>
                <w:rFonts w:ascii="Garamond" w:eastAsia="Times New Roman" w:hAnsi="Garamond" w:cs="Calibri"/>
                <w:b/>
                <w:bCs/>
                <w:color w:val="000000"/>
                <w:sz w:val="20"/>
                <w:szCs w:val="20"/>
                <w:lang w:val="en-IN" w:eastAsia="en-IN" w:bidi="hi-IN"/>
              </w:rPr>
              <w:br/>
              <w:t>Contracts Traded</w:t>
            </w:r>
          </w:p>
        </w:tc>
        <w:tc>
          <w:tcPr>
            <w:tcW w:w="1028" w:type="dxa"/>
            <w:tcBorders>
              <w:top w:val="nil"/>
              <w:left w:val="nil"/>
              <w:bottom w:val="single" w:sz="4" w:space="0" w:color="auto"/>
              <w:right w:val="single" w:sz="4" w:space="0" w:color="auto"/>
            </w:tcBorders>
            <w:shd w:val="clear" w:color="000000" w:fill="B4C6E7"/>
            <w:vAlign w:val="center"/>
            <w:hideMark/>
          </w:tcPr>
          <w:p w14:paraId="2AA578D7"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Notional</w:t>
            </w:r>
            <w:r w:rsidRPr="003656FA">
              <w:rPr>
                <w:rFonts w:ascii="Garamond" w:eastAsia="Times New Roman" w:hAnsi="Garamond" w:cs="Calibri"/>
                <w:b/>
                <w:bCs/>
                <w:color w:val="000000"/>
                <w:sz w:val="20"/>
                <w:szCs w:val="20"/>
                <w:lang w:val="en-IN" w:eastAsia="en-IN" w:bidi="hi-IN"/>
              </w:rPr>
              <w:br/>
              <w:t>Turnover</w:t>
            </w:r>
          </w:p>
        </w:tc>
        <w:tc>
          <w:tcPr>
            <w:tcW w:w="1028" w:type="dxa"/>
            <w:tcBorders>
              <w:top w:val="nil"/>
              <w:left w:val="nil"/>
              <w:bottom w:val="single" w:sz="4" w:space="0" w:color="auto"/>
              <w:right w:val="single" w:sz="4" w:space="0" w:color="auto"/>
            </w:tcBorders>
            <w:shd w:val="clear" w:color="000000" w:fill="B4C6E7"/>
            <w:vAlign w:val="center"/>
            <w:hideMark/>
          </w:tcPr>
          <w:p w14:paraId="2919A646"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Open</w:t>
            </w:r>
            <w:r w:rsidRPr="003656FA">
              <w:rPr>
                <w:rFonts w:ascii="Garamond" w:eastAsia="Times New Roman" w:hAnsi="Garamond" w:cs="Calibri"/>
                <w:b/>
                <w:bCs/>
                <w:color w:val="000000"/>
                <w:sz w:val="20"/>
                <w:szCs w:val="20"/>
                <w:lang w:val="en-IN" w:eastAsia="en-IN" w:bidi="hi-IN"/>
              </w:rPr>
              <w:br/>
              <w:t>Interest</w:t>
            </w:r>
          </w:p>
        </w:tc>
        <w:tc>
          <w:tcPr>
            <w:tcW w:w="1029" w:type="dxa"/>
            <w:tcBorders>
              <w:top w:val="nil"/>
              <w:left w:val="nil"/>
              <w:bottom w:val="single" w:sz="4" w:space="0" w:color="auto"/>
              <w:right w:val="single" w:sz="4" w:space="0" w:color="auto"/>
            </w:tcBorders>
            <w:shd w:val="clear" w:color="000000" w:fill="B4C6E7"/>
            <w:vAlign w:val="center"/>
            <w:hideMark/>
          </w:tcPr>
          <w:p w14:paraId="580CA0EC"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Number of</w:t>
            </w:r>
            <w:r w:rsidRPr="003656FA">
              <w:rPr>
                <w:rFonts w:ascii="Garamond" w:eastAsia="Times New Roman" w:hAnsi="Garamond" w:cs="Calibri"/>
                <w:b/>
                <w:bCs/>
                <w:color w:val="000000"/>
                <w:sz w:val="20"/>
                <w:szCs w:val="20"/>
                <w:lang w:val="en-IN" w:eastAsia="en-IN" w:bidi="hi-IN"/>
              </w:rPr>
              <w:br/>
              <w:t>Contracts Traded</w:t>
            </w:r>
          </w:p>
        </w:tc>
        <w:tc>
          <w:tcPr>
            <w:tcW w:w="1028" w:type="dxa"/>
            <w:tcBorders>
              <w:top w:val="nil"/>
              <w:left w:val="nil"/>
              <w:bottom w:val="single" w:sz="4" w:space="0" w:color="auto"/>
              <w:right w:val="single" w:sz="4" w:space="0" w:color="auto"/>
            </w:tcBorders>
            <w:shd w:val="clear" w:color="000000" w:fill="B4C6E7"/>
            <w:vAlign w:val="center"/>
            <w:hideMark/>
          </w:tcPr>
          <w:p w14:paraId="7786613C"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Notional</w:t>
            </w:r>
            <w:r w:rsidRPr="003656FA">
              <w:rPr>
                <w:rFonts w:ascii="Garamond" w:eastAsia="Times New Roman" w:hAnsi="Garamond" w:cs="Calibri"/>
                <w:b/>
                <w:bCs/>
                <w:color w:val="000000"/>
                <w:sz w:val="20"/>
                <w:szCs w:val="20"/>
                <w:lang w:val="en-IN" w:eastAsia="en-IN" w:bidi="hi-IN"/>
              </w:rPr>
              <w:br/>
              <w:t>Turnover</w:t>
            </w:r>
          </w:p>
        </w:tc>
        <w:tc>
          <w:tcPr>
            <w:tcW w:w="1028" w:type="dxa"/>
            <w:tcBorders>
              <w:top w:val="nil"/>
              <w:left w:val="nil"/>
              <w:bottom w:val="single" w:sz="4" w:space="0" w:color="auto"/>
              <w:right w:val="single" w:sz="4" w:space="0" w:color="auto"/>
            </w:tcBorders>
            <w:shd w:val="clear" w:color="000000" w:fill="B4C6E7"/>
            <w:vAlign w:val="center"/>
            <w:hideMark/>
          </w:tcPr>
          <w:p w14:paraId="794D4363"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Open</w:t>
            </w:r>
            <w:r w:rsidRPr="003656FA">
              <w:rPr>
                <w:rFonts w:ascii="Garamond" w:eastAsia="Times New Roman" w:hAnsi="Garamond" w:cs="Calibri"/>
                <w:b/>
                <w:bCs/>
                <w:color w:val="000000"/>
                <w:sz w:val="20"/>
                <w:szCs w:val="20"/>
                <w:lang w:val="en-IN" w:eastAsia="en-IN" w:bidi="hi-IN"/>
              </w:rPr>
              <w:br/>
              <w:t>Interest</w:t>
            </w:r>
          </w:p>
        </w:tc>
      </w:tr>
      <w:tr w:rsidR="003656FA" w:rsidRPr="003656FA" w14:paraId="20722BA5"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5BD81393"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B3 - Brasil Bolsa Balcão</w:t>
            </w:r>
          </w:p>
        </w:tc>
        <w:tc>
          <w:tcPr>
            <w:tcW w:w="1048" w:type="dxa"/>
            <w:tcBorders>
              <w:top w:val="single" w:sz="8" w:space="0" w:color="auto"/>
              <w:left w:val="single" w:sz="8" w:space="0" w:color="auto"/>
              <w:bottom w:val="nil"/>
              <w:right w:val="single" w:sz="8" w:space="0" w:color="auto"/>
            </w:tcBorders>
            <w:shd w:val="clear" w:color="auto" w:fill="auto"/>
            <w:vAlign w:val="center"/>
            <w:hideMark/>
          </w:tcPr>
          <w:p w14:paraId="0B73C31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1,96,700</w:t>
            </w:r>
          </w:p>
        </w:tc>
        <w:tc>
          <w:tcPr>
            <w:tcW w:w="1028" w:type="dxa"/>
            <w:tcBorders>
              <w:top w:val="single" w:sz="8" w:space="0" w:color="auto"/>
              <w:left w:val="nil"/>
              <w:bottom w:val="nil"/>
              <w:right w:val="single" w:sz="8" w:space="0" w:color="auto"/>
            </w:tcBorders>
            <w:shd w:val="clear" w:color="auto" w:fill="auto"/>
            <w:vAlign w:val="center"/>
            <w:hideMark/>
          </w:tcPr>
          <w:p w14:paraId="730F6D1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1,475</w:t>
            </w:r>
          </w:p>
        </w:tc>
        <w:tc>
          <w:tcPr>
            <w:tcW w:w="1028" w:type="dxa"/>
            <w:tcBorders>
              <w:top w:val="single" w:sz="8" w:space="0" w:color="auto"/>
              <w:left w:val="nil"/>
              <w:bottom w:val="nil"/>
              <w:right w:val="single" w:sz="8" w:space="0" w:color="auto"/>
            </w:tcBorders>
            <w:shd w:val="clear" w:color="auto" w:fill="auto"/>
            <w:vAlign w:val="center"/>
            <w:hideMark/>
          </w:tcPr>
          <w:p w14:paraId="31DA011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71,083</w:t>
            </w:r>
          </w:p>
        </w:tc>
        <w:tc>
          <w:tcPr>
            <w:tcW w:w="1029" w:type="dxa"/>
            <w:tcBorders>
              <w:top w:val="single" w:sz="8" w:space="0" w:color="auto"/>
              <w:left w:val="nil"/>
              <w:bottom w:val="nil"/>
              <w:right w:val="single" w:sz="8" w:space="0" w:color="auto"/>
            </w:tcBorders>
            <w:shd w:val="clear" w:color="auto" w:fill="auto"/>
            <w:vAlign w:val="center"/>
            <w:hideMark/>
          </w:tcPr>
          <w:p w14:paraId="1368F6D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96,169</w:t>
            </w:r>
          </w:p>
        </w:tc>
        <w:tc>
          <w:tcPr>
            <w:tcW w:w="1028" w:type="dxa"/>
            <w:tcBorders>
              <w:top w:val="single" w:sz="8" w:space="0" w:color="auto"/>
              <w:left w:val="nil"/>
              <w:bottom w:val="nil"/>
              <w:right w:val="single" w:sz="8" w:space="0" w:color="auto"/>
            </w:tcBorders>
            <w:shd w:val="clear" w:color="auto" w:fill="auto"/>
            <w:vAlign w:val="center"/>
            <w:hideMark/>
          </w:tcPr>
          <w:p w14:paraId="3CD1AED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w:t>
            </w:r>
          </w:p>
        </w:tc>
        <w:tc>
          <w:tcPr>
            <w:tcW w:w="1028" w:type="dxa"/>
            <w:tcBorders>
              <w:top w:val="single" w:sz="8" w:space="0" w:color="auto"/>
              <w:left w:val="nil"/>
              <w:bottom w:val="nil"/>
              <w:right w:val="single" w:sz="8" w:space="0" w:color="auto"/>
            </w:tcBorders>
            <w:shd w:val="clear" w:color="auto" w:fill="auto"/>
            <w:vAlign w:val="center"/>
            <w:hideMark/>
          </w:tcPr>
          <w:p w14:paraId="532DD5D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1,21,041</w:t>
            </w:r>
          </w:p>
        </w:tc>
      </w:tr>
      <w:tr w:rsidR="003656FA" w:rsidRPr="003656FA" w14:paraId="6902F244"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570120CC"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Matba Rofex</w:t>
            </w:r>
          </w:p>
        </w:tc>
        <w:tc>
          <w:tcPr>
            <w:tcW w:w="1048" w:type="dxa"/>
            <w:tcBorders>
              <w:top w:val="nil"/>
              <w:left w:val="single" w:sz="8" w:space="0" w:color="auto"/>
              <w:bottom w:val="nil"/>
              <w:right w:val="single" w:sz="8" w:space="0" w:color="auto"/>
            </w:tcBorders>
            <w:shd w:val="clear" w:color="auto" w:fill="auto"/>
            <w:vAlign w:val="center"/>
            <w:hideMark/>
          </w:tcPr>
          <w:p w14:paraId="6154135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1,18,781</w:t>
            </w:r>
          </w:p>
        </w:tc>
        <w:tc>
          <w:tcPr>
            <w:tcW w:w="1028" w:type="dxa"/>
            <w:tcBorders>
              <w:top w:val="nil"/>
              <w:left w:val="nil"/>
              <w:bottom w:val="nil"/>
              <w:right w:val="single" w:sz="8" w:space="0" w:color="auto"/>
            </w:tcBorders>
            <w:shd w:val="clear" w:color="auto" w:fill="auto"/>
            <w:vAlign w:val="center"/>
            <w:hideMark/>
          </w:tcPr>
          <w:p w14:paraId="7177CE2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870</w:t>
            </w:r>
          </w:p>
        </w:tc>
        <w:tc>
          <w:tcPr>
            <w:tcW w:w="1028" w:type="dxa"/>
            <w:tcBorders>
              <w:top w:val="nil"/>
              <w:left w:val="nil"/>
              <w:bottom w:val="nil"/>
              <w:right w:val="single" w:sz="8" w:space="0" w:color="auto"/>
            </w:tcBorders>
            <w:shd w:val="clear" w:color="auto" w:fill="auto"/>
            <w:vAlign w:val="center"/>
            <w:hideMark/>
          </w:tcPr>
          <w:p w14:paraId="1C2C48D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53,333</w:t>
            </w:r>
          </w:p>
        </w:tc>
        <w:tc>
          <w:tcPr>
            <w:tcW w:w="1029" w:type="dxa"/>
            <w:tcBorders>
              <w:top w:val="nil"/>
              <w:left w:val="nil"/>
              <w:bottom w:val="nil"/>
              <w:right w:val="single" w:sz="8" w:space="0" w:color="auto"/>
            </w:tcBorders>
            <w:shd w:val="clear" w:color="auto" w:fill="auto"/>
            <w:vAlign w:val="center"/>
            <w:hideMark/>
          </w:tcPr>
          <w:p w14:paraId="69F3536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6,984</w:t>
            </w:r>
          </w:p>
        </w:tc>
        <w:tc>
          <w:tcPr>
            <w:tcW w:w="1028" w:type="dxa"/>
            <w:tcBorders>
              <w:top w:val="nil"/>
              <w:left w:val="nil"/>
              <w:bottom w:val="nil"/>
              <w:right w:val="single" w:sz="8" w:space="0" w:color="auto"/>
            </w:tcBorders>
            <w:shd w:val="clear" w:color="auto" w:fill="auto"/>
            <w:vAlign w:val="center"/>
            <w:hideMark/>
          </w:tcPr>
          <w:p w14:paraId="36D41E9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w:t>
            </w:r>
          </w:p>
        </w:tc>
        <w:tc>
          <w:tcPr>
            <w:tcW w:w="1028" w:type="dxa"/>
            <w:tcBorders>
              <w:top w:val="nil"/>
              <w:left w:val="nil"/>
              <w:bottom w:val="nil"/>
              <w:right w:val="single" w:sz="8" w:space="0" w:color="auto"/>
            </w:tcBorders>
            <w:shd w:val="clear" w:color="auto" w:fill="auto"/>
            <w:vAlign w:val="center"/>
            <w:hideMark/>
          </w:tcPr>
          <w:p w14:paraId="02A758B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14,004</w:t>
            </w:r>
          </w:p>
        </w:tc>
      </w:tr>
      <w:tr w:rsidR="003656FA" w:rsidRPr="003656FA" w14:paraId="4FBB789E"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311504BB"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CME Group</w:t>
            </w:r>
          </w:p>
        </w:tc>
        <w:tc>
          <w:tcPr>
            <w:tcW w:w="1048" w:type="dxa"/>
            <w:tcBorders>
              <w:top w:val="nil"/>
              <w:left w:val="single" w:sz="8" w:space="0" w:color="auto"/>
              <w:bottom w:val="nil"/>
              <w:right w:val="single" w:sz="8" w:space="0" w:color="auto"/>
            </w:tcBorders>
            <w:shd w:val="clear" w:color="auto" w:fill="auto"/>
            <w:vAlign w:val="center"/>
            <w:hideMark/>
          </w:tcPr>
          <w:p w14:paraId="0E63453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7,03,08,160</w:t>
            </w:r>
          </w:p>
        </w:tc>
        <w:tc>
          <w:tcPr>
            <w:tcW w:w="1028" w:type="dxa"/>
            <w:tcBorders>
              <w:top w:val="nil"/>
              <w:left w:val="nil"/>
              <w:bottom w:val="nil"/>
              <w:right w:val="single" w:sz="8" w:space="0" w:color="auto"/>
            </w:tcBorders>
            <w:shd w:val="clear" w:color="auto" w:fill="auto"/>
            <w:vAlign w:val="center"/>
            <w:hideMark/>
          </w:tcPr>
          <w:p w14:paraId="1163FDB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36,99,009</w:t>
            </w:r>
          </w:p>
        </w:tc>
        <w:tc>
          <w:tcPr>
            <w:tcW w:w="1028" w:type="dxa"/>
            <w:tcBorders>
              <w:top w:val="nil"/>
              <w:left w:val="nil"/>
              <w:bottom w:val="nil"/>
              <w:right w:val="single" w:sz="8" w:space="0" w:color="auto"/>
            </w:tcBorders>
            <w:shd w:val="clear" w:color="auto" w:fill="auto"/>
            <w:vAlign w:val="center"/>
            <w:hideMark/>
          </w:tcPr>
          <w:p w14:paraId="4408428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1,40,81,296</w:t>
            </w:r>
          </w:p>
        </w:tc>
        <w:tc>
          <w:tcPr>
            <w:tcW w:w="1029" w:type="dxa"/>
            <w:tcBorders>
              <w:top w:val="nil"/>
              <w:left w:val="nil"/>
              <w:bottom w:val="nil"/>
              <w:right w:val="single" w:sz="8" w:space="0" w:color="auto"/>
            </w:tcBorders>
            <w:shd w:val="clear" w:color="auto" w:fill="auto"/>
            <w:vAlign w:val="center"/>
            <w:hideMark/>
          </w:tcPr>
          <w:p w14:paraId="0BEDC72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1,07,38,005</w:t>
            </w:r>
          </w:p>
        </w:tc>
        <w:tc>
          <w:tcPr>
            <w:tcW w:w="1028" w:type="dxa"/>
            <w:tcBorders>
              <w:top w:val="nil"/>
              <w:left w:val="nil"/>
              <w:bottom w:val="nil"/>
              <w:right w:val="single" w:sz="8" w:space="0" w:color="auto"/>
            </w:tcBorders>
            <w:shd w:val="clear" w:color="auto" w:fill="auto"/>
            <w:vAlign w:val="center"/>
            <w:hideMark/>
          </w:tcPr>
          <w:p w14:paraId="3BFD27C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5,03,867</w:t>
            </w:r>
          </w:p>
        </w:tc>
        <w:tc>
          <w:tcPr>
            <w:tcW w:w="1028" w:type="dxa"/>
            <w:tcBorders>
              <w:top w:val="nil"/>
              <w:left w:val="nil"/>
              <w:bottom w:val="nil"/>
              <w:right w:val="single" w:sz="8" w:space="0" w:color="auto"/>
            </w:tcBorders>
            <w:shd w:val="clear" w:color="auto" w:fill="auto"/>
            <w:vAlign w:val="center"/>
            <w:hideMark/>
          </w:tcPr>
          <w:p w14:paraId="79EB377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1,08,14,496</w:t>
            </w:r>
          </w:p>
        </w:tc>
      </w:tr>
      <w:tr w:rsidR="003656FA" w:rsidRPr="003656FA" w14:paraId="3E4E4BAC"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660F1BA4"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ASX Australian Securities Exchange</w:t>
            </w:r>
          </w:p>
        </w:tc>
        <w:tc>
          <w:tcPr>
            <w:tcW w:w="1048" w:type="dxa"/>
            <w:tcBorders>
              <w:top w:val="nil"/>
              <w:left w:val="single" w:sz="8" w:space="0" w:color="auto"/>
              <w:bottom w:val="nil"/>
              <w:right w:val="single" w:sz="8" w:space="0" w:color="auto"/>
            </w:tcBorders>
            <w:shd w:val="clear" w:color="auto" w:fill="auto"/>
            <w:vAlign w:val="center"/>
            <w:hideMark/>
          </w:tcPr>
          <w:p w14:paraId="6CA43F0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89,252</w:t>
            </w:r>
          </w:p>
        </w:tc>
        <w:tc>
          <w:tcPr>
            <w:tcW w:w="1028" w:type="dxa"/>
            <w:tcBorders>
              <w:top w:val="nil"/>
              <w:left w:val="nil"/>
              <w:bottom w:val="nil"/>
              <w:right w:val="single" w:sz="8" w:space="0" w:color="auto"/>
            </w:tcBorders>
            <w:shd w:val="clear" w:color="auto" w:fill="auto"/>
            <w:vAlign w:val="center"/>
            <w:hideMark/>
          </w:tcPr>
          <w:p w14:paraId="7413420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2,028</w:t>
            </w:r>
          </w:p>
        </w:tc>
        <w:tc>
          <w:tcPr>
            <w:tcW w:w="1028" w:type="dxa"/>
            <w:tcBorders>
              <w:top w:val="nil"/>
              <w:left w:val="nil"/>
              <w:bottom w:val="nil"/>
              <w:right w:val="single" w:sz="8" w:space="0" w:color="auto"/>
            </w:tcBorders>
            <w:shd w:val="clear" w:color="auto" w:fill="auto"/>
            <w:vAlign w:val="center"/>
            <w:hideMark/>
          </w:tcPr>
          <w:p w14:paraId="21D8762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1,10,126</w:t>
            </w:r>
          </w:p>
        </w:tc>
        <w:tc>
          <w:tcPr>
            <w:tcW w:w="1029" w:type="dxa"/>
            <w:tcBorders>
              <w:top w:val="nil"/>
              <w:left w:val="nil"/>
              <w:bottom w:val="nil"/>
              <w:right w:val="single" w:sz="8" w:space="0" w:color="auto"/>
            </w:tcBorders>
            <w:shd w:val="clear" w:color="auto" w:fill="auto"/>
            <w:vAlign w:val="center"/>
            <w:hideMark/>
          </w:tcPr>
          <w:p w14:paraId="0838D8B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13,046</w:t>
            </w:r>
          </w:p>
        </w:tc>
        <w:tc>
          <w:tcPr>
            <w:tcW w:w="1028" w:type="dxa"/>
            <w:tcBorders>
              <w:top w:val="nil"/>
              <w:left w:val="nil"/>
              <w:bottom w:val="nil"/>
              <w:right w:val="single" w:sz="8" w:space="0" w:color="auto"/>
            </w:tcBorders>
            <w:shd w:val="clear" w:color="auto" w:fill="auto"/>
            <w:vAlign w:val="center"/>
            <w:hideMark/>
          </w:tcPr>
          <w:p w14:paraId="07DF6AB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1,492</w:t>
            </w:r>
          </w:p>
        </w:tc>
        <w:tc>
          <w:tcPr>
            <w:tcW w:w="1028" w:type="dxa"/>
            <w:tcBorders>
              <w:top w:val="nil"/>
              <w:left w:val="nil"/>
              <w:bottom w:val="nil"/>
              <w:right w:val="single" w:sz="8" w:space="0" w:color="auto"/>
            </w:tcBorders>
            <w:shd w:val="clear" w:color="auto" w:fill="auto"/>
            <w:vAlign w:val="center"/>
            <w:hideMark/>
          </w:tcPr>
          <w:p w14:paraId="210E57E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44,384</w:t>
            </w:r>
          </w:p>
        </w:tc>
      </w:tr>
      <w:tr w:rsidR="003656FA" w:rsidRPr="003656FA" w14:paraId="6B249D7D"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5CB9E5C4"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Hong Kong Exchanges and Clearing</w:t>
            </w:r>
          </w:p>
        </w:tc>
        <w:tc>
          <w:tcPr>
            <w:tcW w:w="1048" w:type="dxa"/>
            <w:tcBorders>
              <w:top w:val="nil"/>
              <w:left w:val="single" w:sz="8" w:space="0" w:color="auto"/>
              <w:bottom w:val="nil"/>
              <w:right w:val="single" w:sz="8" w:space="0" w:color="auto"/>
            </w:tcBorders>
            <w:shd w:val="clear" w:color="auto" w:fill="auto"/>
            <w:vAlign w:val="center"/>
            <w:hideMark/>
          </w:tcPr>
          <w:p w14:paraId="62B079B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27,291</w:t>
            </w:r>
          </w:p>
        </w:tc>
        <w:tc>
          <w:tcPr>
            <w:tcW w:w="1028" w:type="dxa"/>
            <w:tcBorders>
              <w:top w:val="nil"/>
              <w:left w:val="nil"/>
              <w:bottom w:val="nil"/>
              <w:right w:val="single" w:sz="8" w:space="0" w:color="auto"/>
            </w:tcBorders>
            <w:shd w:val="clear" w:color="auto" w:fill="auto"/>
            <w:vAlign w:val="center"/>
            <w:hideMark/>
          </w:tcPr>
          <w:p w14:paraId="2739BEA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454</w:t>
            </w:r>
          </w:p>
        </w:tc>
        <w:tc>
          <w:tcPr>
            <w:tcW w:w="1028" w:type="dxa"/>
            <w:tcBorders>
              <w:top w:val="nil"/>
              <w:left w:val="nil"/>
              <w:bottom w:val="nil"/>
              <w:right w:val="single" w:sz="8" w:space="0" w:color="auto"/>
            </w:tcBorders>
            <w:shd w:val="clear" w:color="auto" w:fill="auto"/>
            <w:vAlign w:val="center"/>
            <w:hideMark/>
          </w:tcPr>
          <w:p w14:paraId="6D5361A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2,659</w:t>
            </w:r>
          </w:p>
        </w:tc>
        <w:tc>
          <w:tcPr>
            <w:tcW w:w="1029" w:type="dxa"/>
            <w:tcBorders>
              <w:top w:val="nil"/>
              <w:left w:val="nil"/>
              <w:bottom w:val="nil"/>
              <w:right w:val="single" w:sz="8" w:space="0" w:color="auto"/>
            </w:tcBorders>
            <w:shd w:val="clear" w:color="auto" w:fill="auto"/>
            <w:vAlign w:val="center"/>
            <w:hideMark/>
          </w:tcPr>
          <w:p w14:paraId="32D6603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653522D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4287B48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4E65AFE2"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76BAC270"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National Stock Exchange of India</w:t>
            </w:r>
          </w:p>
        </w:tc>
        <w:tc>
          <w:tcPr>
            <w:tcW w:w="1048" w:type="dxa"/>
            <w:tcBorders>
              <w:top w:val="nil"/>
              <w:left w:val="single" w:sz="8" w:space="0" w:color="auto"/>
              <w:bottom w:val="nil"/>
              <w:right w:val="single" w:sz="8" w:space="0" w:color="auto"/>
            </w:tcBorders>
            <w:shd w:val="clear" w:color="auto" w:fill="auto"/>
            <w:vAlign w:val="center"/>
            <w:hideMark/>
          </w:tcPr>
          <w:p w14:paraId="75C2309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911</w:t>
            </w:r>
          </w:p>
        </w:tc>
        <w:tc>
          <w:tcPr>
            <w:tcW w:w="1028" w:type="dxa"/>
            <w:tcBorders>
              <w:top w:val="nil"/>
              <w:left w:val="nil"/>
              <w:bottom w:val="nil"/>
              <w:right w:val="single" w:sz="8" w:space="0" w:color="auto"/>
            </w:tcBorders>
            <w:shd w:val="clear" w:color="auto" w:fill="auto"/>
            <w:vAlign w:val="center"/>
            <w:hideMark/>
          </w:tcPr>
          <w:p w14:paraId="35CF962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w:t>
            </w:r>
          </w:p>
        </w:tc>
        <w:tc>
          <w:tcPr>
            <w:tcW w:w="1028" w:type="dxa"/>
            <w:tcBorders>
              <w:top w:val="nil"/>
              <w:left w:val="nil"/>
              <w:bottom w:val="nil"/>
              <w:right w:val="single" w:sz="8" w:space="0" w:color="auto"/>
            </w:tcBorders>
            <w:shd w:val="clear" w:color="auto" w:fill="auto"/>
            <w:vAlign w:val="center"/>
            <w:hideMark/>
          </w:tcPr>
          <w:p w14:paraId="77BF588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w:t>
            </w:r>
          </w:p>
        </w:tc>
        <w:tc>
          <w:tcPr>
            <w:tcW w:w="1029" w:type="dxa"/>
            <w:tcBorders>
              <w:top w:val="nil"/>
              <w:left w:val="nil"/>
              <w:bottom w:val="nil"/>
              <w:right w:val="single" w:sz="8" w:space="0" w:color="auto"/>
            </w:tcBorders>
            <w:shd w:val="clear" w:color="auto" w:fill="auto"/>
            <w:vAlign w:val="center"/>
            <w:hideMark/>
          </w:tcPr>
          <w:p w14:paraId="02B3825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1,24,468</w:t>
            </w:r>
          </w:p>
        </w:tc>
        <w:tc>
          <w:tcPr>
            <w:tcW w:w="1028" w:type="dxa"/>
            <w:tcBorders>
              <w:top w:val="nil"/>
              <w:left w:val="nil"/>
              <w:bottom w:val="nil"/>
              <w:right w:val="single" w:sz="8" w:space="0" w:color="auto"/>
            </w:tcBorders>
            <w:shd w:val="clear" w:color="auto" w:fill="auto"/>
            <w:vAlign w:val="center"/>
            <w:hideMark/>
          </w:tcPr>
          <w:p w14:paraId="3B9C1B0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832</w:t>
            </w:r>
          </w:p>
        </w:tc>
        <w:tc>
          <w:tcPr>
            <w:tcW w:w="1028" w:type="dxa"/>
            <w:tcBorders>
              <w:top w:val="nil"/>
              <w:left w:val="nil"/>
              <w:bottom w:val="nil"/>
              <w:right w:val="single" w:sz="8" w:space="0" w:color="auto"/>
            </w:tcBorders>
            <w:shd w:val="clear" w:color="auto" w:fill="auto"/>
            <w:vAlign w:val="center"/>
            <w:hideMark/>
          </w:tcPr>
          <w:p w14:paraId="6EC6743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2,760</w:t>
            </w:r>
          </w:p>
        </w:tc>
      </w:tr>
      <w:tr w:rsidR="003656FA" w:rsidRPr="003656FA" w14:paraId="4A4B0855"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2E1950A3"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NZX Limited</w:t>
            </w:r>
          </w:p>
        </w:tc>
        <w:tc>
          <w:tcPr>
            <w:tcW w:w="1048" w:type="dxa"/>
            <w:tcBorders>
              <w:top w:val="nil"/>
              <w:left w:val="single" w:sz="8" w:space="0" w:color="auto"/>
              <w:bottom w:val="nil"/>
              <w:right w:val="single" w:sz="8" w:space="0" w:color="auto"/>
            </w:tcBorders>
            <w:shd w:val="clear" w:color="auto" w:fill="auto"/>
            <w:vAlign w:val="center"/>
            <w:hideMark/>
          </w:tcPr>
          <w:p w14:paraId="1C37476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0FBAC0C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0A82C9B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9" w:type="dxa"/>
            <w:tcBorders>
              <w:top w:val="nil"/>
              <w:left w:val="nil"/>
              <w:bottom w:val="nil"/>
              <w:right w:val="single" w:sz="8" w:space="0" w:color="auto"/>
            </w:tcBorders>
            <w:shd w:val="clear" w:color="auto" w:fill="auto"/>
            <w:vAlign w:val="center"/>
            <w:hideMark/>
          </w:tcPr>
          <w:p w14:paraId="5681647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3CF92F0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3E8D358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78803E2C"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3B8B76A0"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Singapore Exchange</w:t>
            </w:r>
          </w:p>
        </w:tc>
        <w:tc>
          <w:tcPr>
            <w:tcW w:w="1048" w:type="dxa"/>
            <w:tcBorders>
              <w:top w:val="nil"/>
              <w:left w:val="single" w:sz="8" w:space="0" w:color="auto"/>
              <w:bottom w:val="nil"/>
              <w:right w:val="single" w:sz="8" w:space="0" w:color="auto"/>
            </w:tcBorders>
            <w:shd w:val="clear" w:color="auto" w:fill="auto"/>
            <w:vAlign w:val="center"/>
            <w:hideMark/>
          </w:tcPr>
          <w:p w14:paraId="7052B87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17,82,215</w:t>
            </w:r>
          </w:p>
        </w:tc>
        <w:tc>
          <w:tcPr>
            <w:tcW w:w="1028" w:type="dxa"/>
            <w:tcBorders>
              <w:top w:val="nil"/>
              <w:left w:val="nil"/>
              <w:bottom w:val="nil"/>
              <w:right w:val="single" w:sz="8" w:space="0" w:color="auto"/>
            </w:tcBorders>
            <w:shd w:val="clear" w:color="auto" w:fill="auto"/>
            <w:vAlign w:val="center"/>
            <w:hideMark/>
          </w:tcPr>
          <w:p w14:paraId="307C372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285C9F5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9,78,318</w:t>
            </w:r>
          </w:p>
        </w:tc>
        <w:tc>
          <w:tcPr>
            <w:tcW w:w="1029" w:type="dxa"/>
            <w:tcBorders>
              <w:top w:val="nil"/>
              <w:left w:val="nil"/>
              <w:bottom w:val="nil"/>
              <w:right w:val="single" w:sz="8" w:space="0" w:color="auto"/>
            </w:tcBorders>
            <w:shd w:val="clear" w:color="auto" w:fill="auto"/>
            <w:vAlign w:val="center"/>
            <w:hideMark/>
          </w:tcPr>
          <w:p w14:paraId="045ACEF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3,38,301</w:t>
            </w:r>
          </w:p>
        </w:tc>
        <w:tc>
          <w:tcPr>
            <w:tcW w:w="1028" w:type="dxa"/>
            <w:tcBorders>
              <w:top w:val="nil"/>
              <w:left w:val="nil"/>
              <w:bottom w:val="nil"/>
              <w:right w:val="single" w:sz="8" w:space="0" w:color="auto"/>
            </w:tcBorders>
            <w:shd w:val="clear" w:color="auto" w:fill="auto"/>
            <w:vAlign w:val="center"/>
            <w:hideMark/>
          </w:tcPr>
          <w:p w14:paraId="2AC1955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5F8B27B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10,60,620</w:t>
            </w:r>
          </w:p>
        </w:tc>
      </w:tr>
      <w:tr w:rsidR="003656FA" w:rsidRPr="003656FA" w14:paraId="09D4A72B"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6ADE06E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Taiwan Futures Exchange</w:t>
            </w:r>
          </w:p>
        </w:tc>
        <w:tc>
          <w:tcPr>
            <w:tcW w:w="1048" w:type="dxa"/>
            <w:tcBorders>
              <w:top w:val="nil"/>
              <w:left w:val="single" w:sz="8" w:space="0" w:color="auto"/>
              <w:bottom w:val="nil"/>
              <w:right w:val="single" w:sz="8" w:space="0" w:color="auto"/>
            </w:tcBorders>
            <w:shd w:val="clear" w:color="auto" w:fill="auto"/>
            <w:vAlign w:val="center"/>
            <w:hideMark/>
          </w:tcPr>
          <w:p w14:paraId="62BAF15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26,535</w:t>
            </w:r>
          </w:p>
        </w:tc>
        <w:tc>
          <w:tcPr>
            <w:tcW w:w="1028" w:type="dxa"/>
            <w:tcBorders>
              <w:top w:val="nil"/>
              <w:left w:val="nil"/>
              <w:bottom w:val="nil"/>
              <w:right w:val="single" w:sz="8" w:space="0" w:color="auto"/>
            </w:tcBorders>
            <w:shd w:val="clear" w:color="auto" w:fill="auto"/>
            <w:vAlign w:val="center"/>
            <w:hideMark/>
          </w:tcPr>
          <w:p w14:paraId="38C90CA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528</w:t>
            </w:r>
          </w:p>
        </w:tc>
        <w:tc>
          <w:tcPr>
            <w:tcW w:w="1028" w:type="dxa"/>
            <w:tcBorders>
              <w:top w:val="nil"/>
              <w:left w:val="nil"/>
              <w:bottom w:val="nil"/>
              <w:right w:val="single" w:sz="8" w:space="0" w:color="auto"/>
            </w:tcBorders>
            <w:shd w:val="clear" w:color="auto" w:fill="auto"/>
            <w:vAlign w:val="center"/>
            <w:hideMark/>
          </w:tcPr>
          <w:p w14:paraId="13F6C35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1,898</w:t>
            </w:r>
          </w:p>
        </w:tc>
        <w:tc>
          <w:tcPr>
            <w:tcW w:w="1029" w:type="dxa"/>
            <w:tcBorders>
              <w:top w:val="nil"/>
              <w:left w:val="nil"/>
              <w:bottom w:val="nil"/>
              <w:right w:val="single" w:sz="8" w:space="0" w:color="auto"/>
            </w:tcBorders>
            <w:shd w:val="clear" w:color="auto" w:fill="auto"/>
            <w:vAlign w:val="center"/>
            <w:hideMark/>
          </w:tcPr>
          <w:p w14:paraId="7CB10A0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3,606</w:t>
            </w:r>
          </w:p>
        </w:tc>
        <w:tc>
          <w:tcPr>
            <w:tcW w:w="1028" w:type="dxa"/>
            <w:tcBorders>
              <w:top w:val="nil"/>
              <w:left w:val="nil"/>
              <w:bottom w:val="nil"/>
              <w:right w:val="single" w:sz="8" w:space="0" w:color="auto"/>
            </w:tcBorders>
            <w:shd w:val="clear" w:color="auto" w:fill="auto"/>
            <w:vAlign w:val="center"/>
            <w:hideMark/>
          </w:tcPr>
          <w:p w14:paraId="2EDA2FB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40</w:t>
            </w:r>
          </w:p>
        </w:tc>
        <w:tc>
          <w:tcPr>
            <w:tcW w:w="1028" w:type="dxa"/>
            <w:tcBorders>
              <w:top w:val="nil"/>
              <w:left w:val="nil"/>
              <w:bottom w:val="nil"/>
              <w:right w:val="single" w:sz="8" w:space="0" w:color="auto"/>
            </w:tcBorders>
            <w:shd w:val="clear" w:color="auto" w:fill="auto"/>
            <w:vAlign w:val="center"/>
            <w:hideMark/>
          </w:tcPr>
          <w:p w14:paraId="0366624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1,493</w:t>
            </w:r>
          </w:p>
        </w:tc>
      </w:tr>
      <w:tr w:rsidR="003656FA" w:rsidRPr="003656FA" w14:paraId="53E85CA8"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3E1DD5A4"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Thailand Futures Exchange</w:t>
            </w:r>
          </w:p>
        </w:tc>
        <w:tc>
          <w:tcPr>
            <w:tcW w:w="1048" w:type="dxa"/>
            <w:tcBorders>
              <w:top w:val="nil"/>
              <w:left w:val="single" w:sz="8" w:space="0" w:color="auto"/>
              <w:bottom w:val="nil"/>
              <w:right w:val="single" w:sz="8" w:space="0" w:color="auto"/>
            </w:tcBorders>
            <w:shd w:val="clear" w:color="auto" w:fill="auto"/>
            <w:vAlign w:val="center"/>
            <w:hideMark/>
          </w:tcPr>
          <w:p w14:paraId="1999D73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6,93,790</w:t>
            </w:r>
          </w:p>
        </w:tc>
        <w:tc>
          <w:tcPr>
            <w:tcW w:w="1028" w:type="dxa"/>
            <w:tcBorders>
              <w:top w:val="nil"/>
              <w:left w:val="nil"/>
              <w:bottom w:val="nil"/>
              <w:right w:val="single" w:sz="8" w:space="0" w:color="auto"/>
            </w:tcBorders>
            <w:shd w:val="clear" w:color="auto" w:fill="auto"/>
            <w:vAlign w:val="center"/>
            <w:hideMark/>
          </w:tcPr>
          <w:p w14:paraId="3DE1016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7C00031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38,348</w:t>
            </w:r>
          </w:p>
        </w:tc>
        <w:tc>
          <w:tcPr>
            <w:tcW w:w="1029" w:type="dxa"/>
            <w:tcBorders>
              <w:top w:val="nil"/>
              <w:left w:val="nil"/>
              <w:bottom w:val="nil"/>
              <w:right w:val="single" w:sz="8" w:space="0" w:color="auto"/>
            </w:tcBorders>
            <w:shd w:val="clear" w:color="auto" w:fill="auto"/>
            <w:vAlign w:val="center"/>
            <w:hideMark/>
          </w:tcPr>
          <w:p w14:paraId="2783836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7B554F4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12D015F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47C32F02"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14377964"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Bursa Malaysia Derivatives</w:t>
            </w:r>
          </w:p>
        </w:tc>
        <w:tc>
          <w:tcPr>
            <w:tcW w:w="1048" w:type="dxa"/>
            <w:tcBorders>
              <w:top w:val="nil"/>
              <w:left w:val="single" w:sz="8" w:space="0" w:color="auto"/>
              <w:bottom w:val="nil"/>
              <w:right w:val="single" w:sz="8" w:space="0" w:color="auto"/>
            </w:tcBorders>
            <w:shd w:val="clear" w:color="auto" w:fill="auto"/>
            <w:vAlign w:val="center"/>
            <w:hideMark/>
          </w:tcPr>
          <w:p w14:paraId="2F38BB6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11,56,841</w:t>
            </w:r>
          </w:p>
        </w:tc>
        <w:tc>
          <w:tcPr>
            <w:tcW w:w="1028" w:type="dxa"/>
            <w:tcBorders>
              <w:top w:val="nil"/>
              <w:left w:val="nil"/>
              <w:bottom w:val="nil"/>
              <w:right w:val="single" w:sz="8" w:space="0" w:color="auto"/>
            </w:tcBorders>
            <w:shd w:val="clear" w:color="auto" w:fill="auto"/>
            <w:vAlign w:val="center"/>
            <w:hideMark/>
          </w:tcPr>
          <w:p w14:paraId="2E7B5D7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17,222</w:t>
            </w:r>
          </w:p>
        </w:tc>
        <w:tc>
          <w:tcPr>
            <w:tcW w:w="1028" w:type="dxa"/>
            <w:tcBorders>
              <w:top w:val="nil"/>
              <w:left w:val="nil"/>
              <w:bottom w:val="nil"/>
              <w:right w:val="single" w:sz="8" w:space="0" w:color="auto"/>
            </w:tcBorders>
            <w:shd w:val="clear" w:color="auto" w:fill="auto"/>
            <w:vAlign w:val="center"/>
            <w:hideMark/>
          </w:tcPr>
          <w:p w14:paraId="4DBCF39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1,85,654</w:t>
            </w:r>
          </w:p>
        </w:tc>
        <w:tc>
          <w:tcPr>
            <w:tcW w:w="1029" w:type="dxa"/>
            <w:tcBorders>
              <w:top w:val="nil"/>
              <w:left w:val="nil"/>
              <w:bottom w:val="nil"/>
              <w:right w:val="single" w:sz="8" w:space="0" w:color="auto"/>
            </w:tcBorders>
            <w:shd w:val="clear" w:color="auto" w:fill="auto"/>
            <w:vAlign w:val="center"/>
            <w:hideMark/>
          </w:tcPr>
          <w:p w14:paraId="64DA00D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8,250</w:t>
            </w:r>
          </w:p>
        </w:tc>
        <w:tc>
          <w:tcPr>
            <w:tcW w:w="1028" w:type="dxa"/>
            <w:tcBorders>
              <w:top w:val="nil"/>
              <w:left w:val="nil"/>
              <w:bottom w:val="nil"/>
              <w:right w:val="single" w:sz="8" w:space="0" w:color="auto"/>
            </w:tcBorders>
            <w:shd w:val="clear" w:color="auto" w:fill="auto"/>
            <w:vAlign w:val="center"/>
            <w:hideMark/>
          </w:tcPr>
          <w:p w14:paraId="1A5FCE5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687ABD7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21,900</w:t>
            </w:r>
          </w:p>
        </w:tc>
      </w:tr>
      <w:tr w:rsidR="003656FA" w:rsidRPr="003656FA" w14:paraId="079A6E8A"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25EF4315"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Zhengzhou Commodity Exchange</w:t>
            </w:r>
          </w:p>
        </w:tc>
        <w:tc>
          <w:tcPr>
            <w:tcW w:w="1048" w:type="dxa"/>
            <w:tcBorders>
              <w:top w:val="nil"/>
              <w:left w:val="single" w:sz="8" w:space="0" w:color="auto"/>
              <w:bottom w:val="nil"/>
              <w:right w:val="single" w:sz="8" w:space="0" w:color="auto"/>
            </w:tcBorders>
            <w:shd w:val="clear" w:color="auto" w:fill="auto"/>
            <w:vAlign w:val="center"/>
            <w:hideMark/>
          </w:tcPr>
          <w:p w14:paraId="66ED50E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14,82,64,279</w:t>
            </w:r>
          </w:p>
        </w:tc>
        <w:tc>
          <w:tcPr>
            <w:tcW w:w="1028" w:type="dxa"/>
            <w:tcBorders>
              <w:top w:val="nil"/>
              <w:left w:val="nil"/>
              <w:bottom w:val="nil"/>
              <w:right w:val="single" w:sz="8" w:space="0" w:color="auto"/>
            </w:tcBorders>
            <w:shd w:val="clear" w:color="auto" w:fill="auto"/>
            <w:vAlign w:val="center"/>
            <w:hideMark/>
          </w:tcPr>
          <w:p w14:paraId="394654D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7,79,725</w:t>
            </w:r>
          </w:p>
        </w:tc>
        <w:tc>
          <w:tcPr>
            <w:tcW w:w="1028" w:type="dxa"/>
            <w:tcBorders>
              <w:top w:val="nil"/>
              <w:left w:val="nil"/>
              <w:bottom w:val="nil"/>
              <w:right w:val="single" w:sz="8" w:space="0" w:color="auto"/>
            </w:tcBorders>
            <w:shd w:val="clear" w:color="auto" w:fill="auto"/>
            <w:vAlign w:val="center"/>
            <w:hideMark/>
          </w:tcPr>
          <w:p w14:paraId="5A316D2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66,89,749</w:t>
            </w:r>
          </w:p>
        </w:tc>
        <w:tc>
          <w:tcPr>
            <w:tcW w:w="1029" w:type="dxa"/>
            <w:tcBorders>
              <w:top w:val="nil"/>
              <w:left w:val="nil"/>
              <w:bottom w:val="nil"/>
              <w:right w:val="single" w:sz="8" w:space="0" w:color="auto"/>
            </w:tcBorders>
            <w:shd w:val="clear" w:color="auto" w:fill="auto"/>
            <w:vAlign w:val="center"/>
            <w:hideMark/>
          </w:tcPr>
          <w:p w14:paraId="35367CF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40,88,860</w:t>
            </w:r>
          </w:p>
        </w:tc>
        <w:tc>
          <w:tcPr>
            <w:tcW w:w="1028" w:type="dxa"/>
            <w:tcBorders>
              <w:top w:val="nil"/>
              <w:left w:val="nil"/>
              <w:bottom w:val="nil"/>
              <w:right w:val="single" w:sz="8" w:space="0" w:color="auto"/>
            </w:tcBorders>
            <w:shd w:val="clear" w:color="auto" w:fill="auto"/>
            <w:vAlign w:val="center"/>
            <w:hideMark/>
          </w:tcPr>
          <w:p w14:paraId="0663ED5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225</w:t>
            </w:r>
          </w:p>
        </w:tc>
        <w:tc>
          <w:tcPr>
            <w:tcW w:w="1028" w:type="dxa"/>
            <w:tcBorders>
              <w:top w:val="nil"/>
              <w:left w:val="nil"/>
              <w:bottom w:val="nil"/>
              <w:right w:val="single" w:sz="8" w:space="0" w:color="auto"/>
            </w:tcBorders>
            <w:shd w:val="clear" w:color="auto" w:fill="auto"/>
            <w:vAlign w:val="center"/>
            <w:hideMark/>
          </w:tcPr>
          <w:p w14:paraId="4295CB0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8,82,719</w:t>
            </w:r>
          </w:p>
        </w:tc>
      </w:tr>
      <w:tr w:rsidR="003656FA" w:rsidRPr="003656FA" w14:paraId="6548630B"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4A8F50F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Dalian Commodity Exchange</w:t>
            </w:r>
          </w:p>
        </w:tc>
        <w:tc>
          <w:tcPr>
            <w:tcW w:w="1048" w:type="dxa"/>
            <w:tcBorders>
              <w:top w:val="nil"/>
              <w:left w:val="single" w:sz="8" w:space="0" w:color="auto"/>
              <w:bottom w:val="nil"/>
              <w:right w:val="single" w:sz="8" w:space="0" w:color="auto"/>
            </w:tcBorders>
            <w:shd w:val="clear" w:color="auto" w:fill="auto"/>
            <w:vAlign w:val="center"/>
            <w:hideMark/>
          </w:tcPr>
          <w:p w14:paraId="7720F8D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20,11,01,345</w:t>
            </w:r>
          </w:p>
        </w:tc>
        <w:tc>
          <w:tcPr>
            <w:tcW w:w="1028" w:type="dxa"/>
            <w:tcBorders>
              <w:top w:val="nil"/>
              <w:left w:val="nil"/>
              <w:bottom w:val="nil"/>
              <w:right w:val="single" w:sz="8" w:space="0" w:color="auto"/>
            </w:tcBorders>
            <w:shd w:val="clear" w:color="auto" w:fill="auto"/>
            <w:vAlign w:val="center"/>
            <w:hideMark/>
          </w:tcPr>
          <w:p w14:paraId="46F7B21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13,87,756</w:t>
            </w:r>
          </w:p>
        </w:tc>
        <w:tc>
          <w:tcPr>
            <w:tcW w:w="1028" w:type="dxa"/>
            <w:tcBorders>
              <w:top w:val="nil"/>
              <w:left w:val="nil"/>
              <w:bottom w:val="nil"/>
              <w:right w:val="single" w:sz="8" w:space="0" w:color="auto"/>
            </w:tcBorders>
            <w:shd w:val="clear" w:color="auto" w:fill="auto"/>
            <w:vAlign w:val="center"/>
            <w:hideMark/>
          </w:tcPr>
          <w:p w14:paraId="2777EF9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84,55,370</w:t>
            </w:r>
          </w:p>
        </w:tc>
        <w:tc>
          <w:tcPr>
            <w:tcW w:w="1029" w:type="dxa"/>
            <w:tcBorders>
              <w:top w:val="nil"/>
              <w:left w:val="nil"/>
              <w:bottom w:val="nil"/>
              <w:right w:val="single" w:sz="8" w:space="0" w:color="auto"/>
            </w:tcBorders>
            <w:shd w:val="clear" w:color="auto" w:fill="auto"/>
            <w:vAlign w:val="center"/>
            <w:hideMark/>
          </w:tcPr>
          <w:p w14:paraId="3F2FB93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69,81,367</w:t>
            </w:r>
          </w:p>
        </w:tc>
        <w:tc>
          <w:tcPr>
            <w:tcW w:w="1028" w:type="dxa"/>
            <w:tcBorders>
              <w:top w:val="nil"/>
              <w:left w:val="nil"/>
              <w:bottom w:val="nil"/>
              <w:right w:val="single" w:sz="8" w:space="0" w:color="auto"/>
            </w:tcBorders>
            <w:shd w:val="clear" w:color="auto" w:fill="auto"/>
            <w:vAlign w:val="center"/>
            <w:hideMark/>
          </w:tcPr>
          <w:p w14:paraId="24E15DC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691</w:t>
            </w:r>
          </w:p>
        </w:tc>
        <w:tc>
          <w:tcPr>
            <w:tcW w:w="1028" w:type="dxa"/>
            <w:tcBorders>
              <w:top w:val="nil"/>
              <w:left w:val="nil"/>
              <w:bottom w:val="nil"/>
              <w:right w:val="single" w:sz="8" w:space="0" w:color="auto"/>
            </w:tcBorders>
            <w:shd w:val="clear" w:color="auto" w:fill="auto"/>
            <w:vAlign w:val="center"/>
            <w:hideMark/>
          </w:tcPr>
          <w:p w14:paraId="74D688B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12,30,286</w:t>
            </w:r>
          </w:p>
        </w:tc>
      </w:tr>
      <w:tr w:rsidR="003656FA" w:rsidRPr="003656FA" w14:paraId="00AC3AA7"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250C999B"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Multi Commodity Exchange of India</w:t>
            </w:r>
          </w:p>
        </w:tc>
        <w:tc>
          <w:tcPr>
            <w:tcW w:w="1048" w:type="dxa"/>
            <w:tcBorders>
              <w:top w:val="nil"/>
              <w:left w:val="single" w:sz="8" w:space="0" w:color="auto"/>
              <w:bottom w:val="nil"/>
              <w:right w:val="single" w:sz="8" w:space="0" w:color="auto"/>
            </w:tcBorders>
            <w:shd w:val="clear" w:color="auto" w:fill="auto"/>
            <w:vAlign w:val="center"/>
            <w:hideMark/>
          </w:tcPr>
          <w:p w14:paraId="6F6D856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2,08,32,044</w:t>
            </w:r>
          </w:p>
        </w:tc>
        <w:tc>
          <w:tcPr>
            <w:tcW w:w="1028" w:type="dxa"/>
            <w:tcBorders>
              <w:top w:val="nil"/>
              <w:left w:val="nil"/>
              <w:bottom w:val="nil"/>
              <w:right w:val="single" w:sz="8" w:space="0" w:color="auto"/>
            </w:tcBorders>
            <w:shd w:val="clear" w:color="auto" w:fill="auto"/>
            <w:vAlign w:val="center"/>
            <w:hideMark/>
          </w:tcPr>
          <w:p w14:paraId="57A3C62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1,14,008</w:t>
            </w:r>
          </w:p>
        </w:tc>
        <w:tc>
          <w:tcPr>
            <w:tcW w:w="1028" w:type="dxa"/>
            <w:tcBorders>
              <w:top w:val="nil"/>
              <w:left w:val="nil"/>
              <w:bottom w:val="nil"/>
              <w:right w:val="single" w:sz="8" w:space="0" w:color="auto"/>
            </w:tcBorders>
            <w:shd w:val="clear" w:color="auto" w:fill="auto"/>
            <w:vAlign w:val="center"/>
            <w:hideMark/>
          </w:tcPr>
          <w:p w14:paraId="40F61BF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1,44,727</w:t>
            </w:r>
          </w:p>
        </w:tc>
        <w:tc>
          <w:tcPr>
            <w:tcW w:w="1029" w:type="dxa"/>
            <w:tcBorders>
              <w:top w:val="nil"/>
              <w:left w:val="nil"/>
              <w:bottom w:val="nil"/>
              <w:right w:val="single" w:sz="8" w:space="0" w:color="auto"/>
            </w:tcBorders>
            <w:shd w:val="clear" w:color="auto" w:fill="auto"/>
            <w:vAlign w:val="center"/>
            <w:hideMark/>
          </w:tcPr>
          <w:p w14:paraId="3C9AA87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1,57,530</w:t>
            </w:r>
          </w:p>
        </w:tc>
        <w:tc>
          <w:tcPr>
            <w:tcW w:w="1028" w:type="dxa"/>
            <w:tcBorders>
              <w:top w:val="nil"/>
              <w:left w:val="nil"/>
              <w:bottom w:val="nil"/>
              <w:right w:val="single" w:sz="8" w:space="0" w:color="auto"/>
            </w:tcBorders>
            <w:shd w:val="clear" w:color="auto" w:fill="auto"/>
            <w:vAlign w:val="center"/>
            <w:hideMark/>
          </w:tcPr>
          <w:p w14:paraId="143ECF9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2,812</w:t>
            </w:r>
          </w:p>
        </w:tc>
        <w:tc>
          <w:tcPr>
            <w:tcW w:w="1028" w:type="dxa"/>
            <w:tcBorders>
              <w:top w:val="nil"/>
              <w:left w:val="nil"/>
              <w:bottom w:val="nil"/>
              <w:right w:val="single" w:sz="8" w:space="0" w:color="auto"/>
            </w:tcBorders>
            <w:shd w:val="clear" w:color="auto" w:fill="auto"/>
            <w:vAlign w:val="center"/>
            <w:hideMark/>
          </w:tcPr>
          <w:p w14:paraId="48AF1B0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7,882</w:t>
            </w:r>
          </w:p>
        </w:tc>
      </w:tr>
      <w:tr w:rsidR="003656FA" w:rsidRPr="003656FA" w14:paraId="637D2AE6"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6A52D61B"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Shanghai Futures Exchange</w:t>
            </w:r>
          </w:p>
        </w:tc>
        <w:tc>
          <w:tcPr>
            <w:tcW w:w="1048" w:type="dxa"/>
            <w:tcBorders>
              <w:top w:val="nil"/>
              <w:left w:val="single" w:sz="8" w:space="0" w:color="auto"/>
              <w:bottom w:val="nil"/>
              <w:right w:val="single" w:sz="8" w:space="0" w:color="auto"/>
            </w:tcBorders>
            <w:shd w:val="clear" w:color="auto" w:fill="auto"/>
            <w:vAlign w:val="center"/>
            <w:hideMark/>
          </w:tcPr>
          <w:p w14:paraId="06ECC7E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19,14,12,365</w:t>
            </w:r>
          </w:p>
        </w:tc>
        <w:tc>
          <w:tcPr>
            <w:tcW w:w="1028" w:type="dxa"/>
            <w:tcBorders>
              <w:top w:val="nil"/>
              <w:left w:val="nil"/>
              <w:bottom w:val="nil"/>
              <w:right w:val="single" w:sz="8" w:space="0" w:color="auto"/>
            </w:tcBorders>
            <w:shd w:val="clear" w:color="auto" w:fill="auto"/>
            <w:vAlign w:val="center"/>
            <w:hideMark/>
          </w:tcPr>
          <w:p w14:paraId="44BE35D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21,57,922</w:t>
            </w:r>
          </w:p>
        </w:tc>
        <w:tc>
          <w:tcPr>
            <w:tcW w:w="1028" w:type="dxa"/>
            <w:tcBorders>
              <w:top w:val="nil"/>
              <w:left w:val="nil"/>
              <w:bottom w:val="nil"/>
              <w:right w:val="single" w:sz="8" w:space="0" w:color="auto"/>
            </w:tcBorders>
            <w:shd w:val="clear" w:color="auto" w:fill="auto"/>
            <w:vAlign w:val="center"/>
            <w:hideMark/>
          </w:tcPr>
          <w:p w14:paraId="5024978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71,77,129</w:t>
            </w:r>
          </w:p>
        </w:tc>
        <w:tc>
          <w:tcPr>
            <w:tcW w:w="1029" w:type="dxa"/>
            <w:tcBorders>
              <w:top w:val="nil"/>
              <w:left w:val="nil"/>
              <w:bottom w:val="nil"/>
              <w:right w:val="single" w:sz="8" w:space="0" w:color="auto"/>
            </w:tcBorders>
            <w:shd w:val="clear" w:color="auto" w:fill="auto"/>
            <w:vAlign w:val="center"/>
            <w:hideMark/>
          </w:tcPr>
          <w:p w14:paraId="26D5094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55D0D0D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46E893D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6558EE76"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53E39A70"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Indian Commodity Exchange</w:t>
            </w:r>
          </w:p>
        </w:tc>
        <w:tc>
          <w:tcPr>
            <w:tcW w:w="1048" w:type="dxa"/>
            <w:tcBorders>
              <w:top w:val="nil"/>
              <w:left w:val="single" w:sz="8" w:space="0" w:color="auto"/>
              <w:bottom w:val="nil"/>
              <w:right w:val="single" w:sz="8" w:space="0" w:color="auto"/>
            </w:tcBorders>
            <w:shd w:val="clear" w:color="auto" w:fill="auto"/>
            <w:vAlign w:val="center"/>
            <w:hideMark/>
          </w:tcPr>
          <w:p w14:paraId="5DA88F3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w:t>
            </w:r>
          </w:p>
        </w:tc>
        <w:tc>
          <w:tcPr>
            <w:tcW w:w="1028" w:type="dxa"/>
            <w:tcBorders>
              <w:top w:val="nil"/>
              <w:left w:val="nil"/>
              <w:bottom w:val="nil"/>
              <w:right w:val="single" w:sz="8" w:space="0" w:color="auto"/>
            </w:tcBorders>
            <w:shd w:val="clear" w:color="auto" w:fill="auto"/>
            <w:vAlign w:val="center"/>
            <w:hideMark/>
          </w:tcPr>
          <w:p w14:paraId="268AB9E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w:t>
            </w:r>
          </w:p>
        </w:tc>
        <w:tc>
          <w:tcPr>
            <w:tcW w:w="1028" w:type="dxa"/>
            <w:tcBorders>
              <w:top w:val="nil"/>
              <w:left w:val="nil"/>
              <w:bottom w:val="nil"/>
              <w:right w:val="single" w:sz="8" w:space="0" w:color="auto"/>
            </w:tcBorders>
            <w:shd w:val="clear" w:color="auto" w:fill="auto"/>
            <w:vAlign w:val="center"/>
            <w:hideMark/>
          </w:tcPr>
          <w:p w14:paraId="330A77A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w:t>
            </w:r>
          </w:p>
        </w:tc>
        <w:tc>
          <w:tcPr>
            <w:tcW w:w="1029" w:type="dxa"/>
            <w:tcBorders>
              <w:top w:val="nil"/>
              <w:left w:val="nil"/>
              <w:bottom w:val="nil"/>
              <w:right w:val="single" w:sz="8" w:space="0" w:color="auto"/>
            </w:tcBorders>
            <w:shd w:val="clear" w:color="auto" w:fill="auto"/>
            <w:vAlign w:val="center"/>
            <w:hideMark/>
          </w:tcPr>
          <w:p w14:paraId="339C5BD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w:t>
            </w:r>
          </w:p>
        </w:tc>
        <w:tc>
          <w:tcPr>
            <w:tcW w:w="1028" w:type="dxa"/>
            <w:tcBorders>
              <w:top w:val="nil"/>
              <w:left w:val="nil"/>
              <w:bottom w:val="nil"/>
              <w:right w:val="single" w:sz="8" w:space="0" w:color="auto"/>
            </w:tcBorders>
            <w:shd w:val="clear" w:color="auto" w:fill="auto"/>
            <w:vAlign w:val="center"/>
            <w:hideMark/>
          </w:tcPr>
          <w:p w14:paraId="107C26B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w:t>
            </w:r>
          </w:p>
        </w:tc>
        <w:tc>
          <w:tcPr>
            <w:tcW w:w="1028" w:type="dxa"/>
            <w:tcBorders>
              <w:top w:val="nil"/>
              <w:left w:val="nil"/>
              <w:bottom w:val="nil"/>
              <w:right w:val="single" w:sz="8" w:space="0" w:color="auto"/>
            </w:tcBorders>
            <w:shd w:val="clear" w:color="auto" w:fill="auto"/>
            <w:vAlign w:val="center"/>
            <w:hideMark/>
          </w:tcPr>
          <w:p w14:paraId="05E60BA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NA</w:t>
            </w:r>
          </w:p>
        </w:tc>
      </w:tr>
      <w:tr w:rsidR="003656FA" w:rsidRPr="003656FA" w14:paraId="4AF44991"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1FC10FF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Borsa Istanbul</w:t>
            </w:r>
          </w:p>
        </w:tc>
        <w:tc>
          <w:tcPr>
            <w:tcW w:w="1048" w:type="dxa"/>
            <w:tcBorders>
              <w:top w:val="nil"/>
              <w:left w:val="single" w:sz="8" w:space="0" w:color="auto"/>
              <w:bottom w:val="nil"/>
              <w:right w:val="single" w:sz="8" w:space="0" w:color="auto"/>
            </w:tcBorders>
            <w:shd w:val="clear" w:color="auto" w:fill="auto"/>
            <w:vAlign w:val="center"/>
            <w:hideMark/>
          </w:tcPr>
          <w:p w14:paraId="4C8D59A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95,64,888</w:t>
            </w:r>
          </w:p>
        </w:tc>
        <w:tc>
          <w:tcPr>
            <w:tcW w:w="1028" w:type="dxa"/>
            <w:tcBorders>
              <w:top w:val="nil"/>
              <w:left w:val="nil"/>
              <w:bottom w:val="nil"/>
              <w:right w:val="single" w:sz="8" w:space="0" w:color="auto"/>
            </w:tcBorders>
            <w:shd w:val="clear" w:color="auto" w:fill="auto"/>
            <w:vAlign w:val="center"/>
            <w:hideMark/>
          </w:tcPr>
          <w:p w14:paraId="65B64CD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2,925</w:t>
            </w:r>
          </w:p>
        </w:tc>
        <w:tc>
          <w:tcPr>
            <w:tcW w:w="1028" w:type="dxa"/>
            <w:tcBorders>
              <w:top w:val="nil"/>
              <w:left w:val="nil"/>
              <w:bottom w:val="nil"/>
              <w:right w:val="single" w:sz="8" w:space="0" w:color="auto"/>
            </w:tcBorders>
            <w:shd w:val="clear" w:color="auto" w:fill="auto"/>
            <w:vAlign w:val="center"/>
            <w:hideMark/>
          </w:tcPr>
          <w:p w14:paraId="1DAEABC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17,88,080</w:t>
            </w:r>
          </w:p>
        </w:tc>
        <w:tc>
          <w:tcPr>
            <w:tcW w:w="1029" w:type="dxa"/>
            <w:tcBorders>
              <w:top w:val="nil"/>
              <w:left w:val="nil"/>
              <w:bottom w:val="nil"/>
              <w:right w:val="single" w:sz="8" w:space="0" w:color="auto"/>
            </w:tcBorders>
            <w:shd w:val="clear" w:color="auto" w:fill="auto"/>
            <w:vAlign w:val="center"/>
            <w:hideMark/>
          </w:tcPr>
          <w:p w14:paraId="5100925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1DFACB0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394C9B7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1151D65A"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18B721C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Deutsche Boerse AG</w:t>
            </w:r>
          </w:p>
        </w:tc>
        <w:tc>
          <w:tcPr>
            <w:tcW w:w="1048" w:type="dxa"/>
            <w:tcBorders>
              <w:top w:val="nil"/>
              <w:left w:val="single" w:sz="8" w:space="0" w:color="auto"/>
              <w:bottom w:val="nil"/>
              <w:right w:val="single" w:sz="8" w:space="0" w:color="auto"/>
            </w:tcBorders>
            <w:shd w:val="clear" w:color="auto" w:fill="auto"/>
            <w:vAlign w:val="center"/>
            <w:hideMark/>
          </w:tcPr>
          <w:p w14:paraId="4496E06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4,16,985</w:t>
            </w:r>
          </w:p>
        </w:tc>
        <w:tc>
          <w:tcPr>
            <w:tcW w:w="1028" w:type="dxa"/>
            <w:tcBorders>
              <w:top w:val="nil"/>
              <w:left w:val="nil"/>
              <w:bottom w:val="nil"/>
              <w:right w:val="single" w:sz="8" w:space="0" w:color="auto"/>
            </w:tcBorders>
            <w:shd w:val="clear" w:color="auto" w:fill="auto"/>
            <w:vAlign w:val="center"/>
            <w:hideMark/>
          </w:tcPr>
          <w:p w14:paraId="6B2B897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17,593</w:t>
            </w:r>
          </w:p>
        </w:tc>
        <w:tc>
          <w:tcPr>
            <w:tcW w:w="1028" w:type="dxa"/>
            <w:tcBorders>
              <w:top w:val="nil"/>
              <w:left w:val="nil"/>
              <w:bottom w:val="nil"/>
              <w:right w:val="single" w:sz="8" w:space="0" w:color="auto"/>
            </w:tcBorders>
            <w:shd w:val="clear" w:color="auto" w:fill="auto"/>
            <w:vAlign w:val="center"/>
            <w:hideMark/>
          </w:tcPr>
          <w:p w14:paraId="0046517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19,98,449</w:t>
            </w:r>
          </w:p>
        </w:tc>
        <w:tc>
          <w:tcPr>
            <w:tcW w:w="1029" w:type="dxa"/>
            <w:tcBorders>
              <w:top w:val="nil"/>
              <w:left w:val="nil"/>
              <w:bottom w:val="nil"/>
              <w:right w:val="single" w:sz="8" w:space="0" w:color="auto"/>
            </w:tcBorders>
            <w:shd w:val="clear" w:color="auto" w:fill="auto"/>
            <w:vAlign w:val="center"/>
            <w:hideMark/>
          </w:tcPr>
          <w:p w14:paraId="24B0CA3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16,24,229</w:t>
            </w:r>
          </w:p>
        </w:tc>
        <w:tc>
          <w:tcPr>
            <w:tcW w:w="1028" w:type="dxa"/>
            <w:tcBorders>
              <w:top w:val="nil"/>
              <w:left w:val="nil"/>
              <w:bottom w:val="nil"/>
              <w:right w:val="single" w:sz="8" w:space="0" w:color="auto"/>
            </w:tcBorders>
            <w:shd w:val="clear" w:color="auto" w:fill="auto"/>
            <w:vAlign w:val="center"/>
            <w:hideMark/>
          </w:tcPr>
          <w:p w14:paraId="2D4A03A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6,025</w:t>
            </w:r>
          </w:p>
        </w:tc>
        <w:tc>
          <w:tcPr>
            <w:tcW w:w="1028" w:type="dxa"/>
            <w:tcBorders>
              <w:top w:val="nil"/>
              <w:left w:val="nil"/>
              <w:bottom w:val="nil"/>
              <w:right w:val="single" w:sz="8" w:space="0" w:color="auto"/>
            </w:tcBorders>
            <w:shd w:val="clear" w:color="auto" w:fill="auto"/>
            <w:vAlign w:val="center"/>
            <w:hideMark/>
          </w:tcPr>
          <w:p w14:paraId="0B7B394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14,82,076</w:t>
            </w:r>
          </w:p>
        </w:tc>
      </w:tr>
      <w:tr w:rsidR="003656FA" w:rsidRPr="003656FA" w14:paraId="7E0BA88F"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0B9907F3"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Euronext</w:t>
            </w:r>
          </w:p>
        </w:tc>
        <w:tc>
          <w:tcPr>
            <w:tcW w:w="1048" w:type="dxa"/>
            <w:tcBorders>
              <w:top w:val="nil"/>
              <w:left w:val="single" w:sz="8" w:space="0" w:color="auto"/>
              <w:bottom w:val="nil"/>
              <w:right w:val="single" w:sz="8" w:space="0" w:color="auto"/>
            </w:tcBorders>
            <w:shd w:val="clear" w:color="auto" w:fill="auto"/>
            <w:vAlign w:val="center"/>
            <w:hideMark/>
          </w:tcPr>
          <w:p w14:paraId="08D2B32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12,56,384</w:t>
            </w:r>
          </w:p>
        </w:tc>
        <w:tc>
          <w:tcPr>
            <w:tcW w:w="1028" w:type="dxa"/>
            <w:tcBorders>
              <w:top w:val="nil"/>
              <w:left w:val="nil"/>
              <w:bottom w:val="nil"/>
              <w:right w:val="single" w:sz="8" w:space="0" w:color="auto"/>
            </w:tcBorders>
            <w:shd w:val="clear" w:color="auto" w:fill="auto"/>
            <w:vAlign w:val="center"/>
            <w:hideMark/>
          </w:tcPr>
          <w:p w14:paraId="163053D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16,135</w:t>
            </w:r>
          </w:p>
        </w:tc>
        <w:tc>
          <w:tcPr>
            <w:tcW w:w="1028" w:type="dxa"/>
            <w:tcBorders>
              <w:top w:val="nil"/>
              <w:left w:val="nil"/>
              <w:bottom w:val="nil"/>
              <w:right w:val="single" w:sz="8" w:space="0" w:color="auto"/>
            </w:tcBorders>
            <w:shd w:val="clear" w:color="auto" w:fill="auto"/>
            <w:vAlign w:val="center"/>
            <w:hideMark/>
          </w:tcPr>
          <w:p w14:paraId="570C083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4,69,614</w:t>
            </w:r>
          </w:p>
        </w:tc>
        <w:tc>
          <w:tcPr>
            <w:tcW w:w="1029" w:type="dxa"/>
            <w:tcBorders>
              <w:top w:val="nil"/>
              <w:left w:val="nil"/>
              <w:bottom w:val="nil"/>
              <w:right w:val="single" w:sz="8" w:space="0" w:color="auto"/>
            </w:tcBorders>
            <w:shd w:val="clear" w:color="auto" w:fill="auto"/>
            <w:vAlign w:val="center"/>
            <w:hideMark/>
          </w:tcPr>
          <w:p w14:paraId="03A3DB8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1,30,375</w:t>
            </w:r>
          </w:p>
        </w:tc>
        <w:tc>
          <w:tcPr>
            <w:tcW w:w="1028" w:type="dxa"/>
            <w:tcBorders>
              <w:top w:val="nil"/>
              <w:left w:val="nil"/>
              <w:bottom w:val="nil"/>
              <w:right w:val="single" w:sz="8" w:space="0" w:color="auto"/>
            </w:tcBorders>
            <w:shd w:val="clear" w:color="auto" w:fill="auto"/>
            <w:vAlign w:val="center"/>
            <w:hideMark/>
          </w:tcPr>
          <w:p w14:paraId="402AAB8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1,592</w:t>
            </w:r>
          </w:p>
        </w:tc>
        <w:tc>
          <w:tcPr>
            <w:tcW w:w="1028" w:type="dxa"/>
            <w:tcBorders>
              <w:top w:val="nil"/>
              <w:left w:val="nil"/>
              <w:bottom w:val="nil"/>
              <w:right w:val="single" w:sz="8" w:space="0" w:color="auto"/>
            </w:tcBorders>
            <w:shd w:val="clear" w:color="auto" w:fill="auto"/>
            <w:vAlign w:val="center"/>
            <w:hideMark/>
          </w:tcPr>
          <w:p w14:paraId="40043FA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2,90,055</w:t>
            </w:r>
          </w:p>
        </w:tc>
      </w:tr>
      <w:tr w:rsidR="003656FA" w:rsidRPr="003656FA" w14:paraId="73A1F409"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204E788D"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LSE Group</w:t>
            </w:r>
          </w:p>
        </w:tc>
        <w:tc>
          <w:tcPr>
            <w:tcW w:w="1048" w:type="dxa"/>
            <w:tcBorders>
              <w:top w:val="nil"/>
              <w:left w:val="single" w:sz="8" w:space="0" w:color="auto"/>
              <w:bottom w:val="nil"/>
              <w:right w:val="single" w:sz="8" w:space="0" w:color="auto"/>
            </w:tcBorders>
            <w:shd w:val="clear" w:color="auto" w:fill="auto"/>
            <w:vAlign w:val="center"/>
            <w:hideMark/>
          </w:tcPr>
          <w:p w14:paraId="7D7383C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35</w:t>
            </w:r>
          </w:p>
        </w:tc>
        <w:tc>
          <w:tcPr>
            <w:tcW w:w="1028" w:type="dxa"/>
            <w:tcBorders>
              <w:top w:val="nil"/>
              <w:left w:val="nil"/>
              <w:bottom w:val="nil"/>
              <w:right w:val="single" w:sz="8" w:space="0" w:color="auto"/>
            </w:tcBorders>
            <w:shd w:val="clear" w:color="auto" w:fill="auto"/>
            <w:vAlign w:val="center"/>
            <w:hideMark/>
          </w:tcPr>
          <w:p w14:paraId="539338D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w:t>
            </w:r>
          </w:p>
        </w:tc>
        <w:tc>
          <w:tcPr>
            <w:tcW w:w="1028" w:type="dxa"/>
            <w:tcBorders>
              <w:top w:val="nil"/>
              <w:left w:val="nil"/>
              <w:bottom w:val="nil"/>
              <w:right w:val="single" w:sz="8" w:space="0" w:color="auto"/>
            </w:tcBorders>
            <w:shd w:val="clear" w:color="auto" w:fill="auto"/>
            <w:vAlign w:val="center"/>
            <w:hideMark/>
          </w:tcPr>
          <w:p w14:paraId="51F972E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160</w:t>
            </w:r>
          </w:p>
        </w:tc>
        <w:tc>
          <w:tcPr>
            <w:tcW w:w="1029" w:type="dxa"/>
            <w:tcBorders>
              <w:top w:val="nil"/>
              <w:left w:val="nil"/>
              <w:bottom w:val="nil"/>
              <w:right w:val="single" w:sz="8" w:space="0" w:color="auto"/>
            </w:tcBorders>
            <w:shd w:val="clear" w:color="auto" w:fill="auto"/>
            <w:vAlign w:val="center"/>
            <w:hideMark/>
          </w:tcPr>
          <w:p w14:paraId="69B9714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0A3C034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3B562A4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3E32C017"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271BE738"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Moscow Exchange</w:t>
            </w:r>
          </w:p>
        </w:tc>
        <w:tc>
          <w:tcPr>
            <w:tcW w:w="1048" w:type="dxa"/>
            <w:tcBorders>
              <w:top w:val="nil"/>
              <w:left w:val="single" w:sz="8" w:space="0" w:color="auto"/>
              <w:bottom w:val="nil"/>
              <w:right w:val="single" w:sz="8" w:space="0" w:color="auto"/>
            </w:tcBorders>
            <w:shd w:val="clear" w:color="auto" w:fill="auto"/>
            <w:vAlign w:val="center"/>
            <w:hideMark/>
          </w:tcPr>
          <w:p w14:paraId="7482233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5,24,95,302</w:t>
            </w:r>
          </w:p>
        </w:tc>
        <w:tc>
          <w:tcPr>
            <w:tcW w:w="1028" w:type="dxa"/>
            <w:tcBorders>
              <w:top w:val="nil"/>
              <w:left w:val="nil"/>
              <w:bottom w:val="nil"/>
              <w:right w:val="single" w:sz="8" w:space="0" w:color="auto"/>
            </w:tcBorders>
            <w:shd w:val="clear" w:color="auto" w:fill="auto"/>
            <w:vAlign w:val="center"/>
            <w:hideMark/>
          </w:tcPr>
          <w:p w14:paraId="3F8CCC1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24,375</w:t>
            </w:r>
          </w:p>
        </w:tc>
        <w:tc>
          <w:tcPr>
            <w:tcW w:w="1028" w:type="dxa"/>
            <w:tcBorders>
              <w:top w:val="nil"/>
              <w:left w:val="nil"/>
              <w:bottom w:val="nil"/>
              <w:right w:val="single" w:sz="8" w:space="0" w:color="auto"/>
            </w:tcBorders>
            <w:shd w:val="clear" w:color="auto" w:fill="auto"/>
            <w:vAlign w:val="center"/>
            <w:hideMark/>
          </w:tcPr>
          <w:p w14:paraId="177E7EA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27,91,762</w:t>
            </w:r>
          </w:p>
        </w:tc>
        <w:tc>
          <w:tcPr>
            <w:tcW w:w="1029" w:type="dxa"/>
            <w:tcBorders>
              <w:top w:val="nil"/>
              <w:left w:val="nil"/>
              <w:bottom w:val="nil"/>
              <w:right w:val="single" w:sz="8" w:space="0" w:color="auto"/>
            </w:tcBorders>
            <w:shd w:val="clear" w:color="auto" w:fill="auto"/>
            <w:vAlign w:val="center"/>
            <w:hideMark/>
          </w:tcPr>
          <w:p w14:paraId="6ACE710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6,99,673</w:t>
            </w:r>
          </w:p>
        </w:tc>
        <w:tc>
          <w:tcPr>
            <w:tcW w:w="1028" w:type="dxa"/>
            <w:tcBorders>
              <w:top w:val="nil"/>
              <w:left w:val="nil"/>
              <w:bottom w:val="nil"/>
              <w:right w:val="single" w:sz="8" w:space="0" w:color="auto"/>
            </w:tcBorders>
            <w:shd w:val="clear" w:color="auto" w:fill="auto"/>
            <w:vAlign w:val="center"/>
            <w:hideMark/>
          </w:tcPr>
          <w:p w14:paraId="0CD35D5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288</w:t>
            </w:r>
          </w:p>
        </w:tc>
        <w:tc>
          <w:tcPr>
            <w:tcW w:w="1028" w:type="dxa"/>
            <w:tcBorders>
              <w:top w:val="nil"/>
              <w:left w:val="nil"/>
              <w:bottom w:val="nil"/>
              <w:right w:val="single" w:sz="8" w:space="0" w:color="auto"/>
            </w:tcBorders>
            <w:shd w:val="clear" w:color="auto" w:fill="auto"/>
            <w:vAlign w:val="center"/>
            <w:hideMark/>
          </w:tcPr>
          <w:p w14:paraId="23B0517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1,58,924</w:t>
            </w:r>
          </w:p>
        </w:tc>
      </w:tr>
      <w:tr w:rsidR="003656FA" w:rsidRPr="003656FA" w14:paraId="0421D8F5"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3BFFF51E"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Dubai Gold and Commodities Exchange</w:t>
            </w:r>
          </w:p>
        </w:tc>
        <w:tc>
          <w:tcPr>
            <w:tcW w:w="1048" w:type="dxa"/>
            <w:tcBorders>
              <w:top w:val="nil"/>
              <w:left w:val="single" w:sz="8" w:space="0" w:color="auto"/>
              <w:bottom w:val="nil"/>
              <w:right w:val="single" w:sz="8" w:space="0" w:color="auto"/>
            </w:tcBorders>
            <w:shd w:val="clear" w:color="auto" w:fill="auto"/>
            <w:vAlign w:val="center"/>
            <w:hideMark/>
          </w:tcPr>
          <w:p w14:paraId="656B53A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26,136</w:t>
            </w:r>
          </w:p>
        </w:tc>
        <w:tc>
          <w:tcPr>
            <w:tcW w:w="1028" w:type="dxa"/>
            <w:tcBorders>
              <w:top w:val="nil"/>
              <w:left w:val="nil"/>
              <w:bottom w:val="nil"/>
              <w:right w:val="single" w:sz="8" w:space="0" w:color="auto"/>
            </w:tcBorders>
            <w:shd w:val="clear" w:color="auto" w:fill="auto"/>
            <w:vAlign w:val="center"/>
            <w:hideMark/>
          </w:tcPr>
          <w:p w14:paraId="6175A3C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404</w:t>
            </w:r>
          </w:p>
        </w:tc>
        <w:tc>
          <w:tcPr>
            <w:tcW w:w="1028" w:type="dxa"/>
            <w:tcBorders>
              <w:top w:val="nil"/>
              <w:left w:val="nil"/>
              <w:bottom w:val="nil"/>
              <w:right w:val="single" w:sz="8" w:space="0" w:color="auto"/>
            </w:tcBorders>
            <w:shd w:val="clear" w:color="auto" w:fill="auto"/>
            <w:vAlign w:val="center"/>
            <w:hideMark/>
          </w:tcPr>
          <w:p w14:paraId="791A0A1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2,116</w:t>
            </w:r>
          </w:p>
        </w:tc>
        <w:tc>
          <w:tcPr>
            <w:tcW w:w="1029" w:type="dxa"/>
            <w:tcBorders>
              <w:top w:val="nil"/>
              <w:left w:val="nil"/>
              <w:bottom w:val="nil"/>
              <w:right w:val="single" w:sz="8" w:space="0" w:color="auto"/>
            </w:tcBorders>
            <w:shd w:val="clear" w:color="auto" w:fill="auto"/>
            <w:vAlign w:val="center"/>
            <w:hideMark/>
          </w:tcPr>
          <w:p w14:paraId="770343D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534F782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2AC2898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390C7E4E" w14:textId="77777777" w:rsidTr="00A92684">
        <w:trPr>
          <w:trHeight w:val="243"/>
        </w:trPr>
        <w:tc>
          <w:tcPr>
            <w:tcW w:w="3315" w:type="dxa"/>
            <w:tcBorders>
              <w:top w:val="nil"/>
              <w:left w:val="single" w:sz="4" w:space="0" w:color="auto"/>
              <w:bottom w:val="nil"/>
              <w:right w:val="nil"/>
            </w:tcBorders>
            <w:shd w:val="clear" w:color="000000" w:fill="B4C6E7"/>
            <w:vAlign w:val="center"/>
            <w:hideMark/>
          </w:tcPr>
          <w:p w14:paraId="218CE03C"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London Metal Exchange</w:t>
            </w:r>
          </w:p>
        </w:tc>
        <w:tc>
          <w:tcPr>
            <w:tcW w:w="1048" w:type="dxa"/>
            <w:tcBorders>
              <w:top w:val="nil"/>
              <w:left w:val="single" w:sz="8" w:space="0" w:color="auto"/>
              <w:bottom w:val="nil"/>
              <w:right w:val="single" w:sz="8" w:space="0" w:color="auto"/>
            </w:tcBorders>
            <w:shd w:val="clear" w:color="auto" w:fill="auto"/>
            <w:vAlign w:val="center"/>
            <w:hideMark/>
          </w:tcPr>
          <w:p w14:paraId="34831E3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1,25,33,959</w:t>
            </w:r>
          </w:p>
        </w:tc>
        <w:tc>
          <w:tcPr>
            <w:tcW w:w="1028" w:type="dxa"/>
            <w:tcBorders>
              <w:top w:val="nil"/>
              <w:left w:val="nil"/>
              <w:bottom w:val="nil"/>
              <w:right w:val="single" w:sz="8" w:space="0" w:color="auto"/>
            </w:tcBorders>
            <w:shd w:val="clear" w:color="auto" w:fill="auto"/>
            <w:vAlign w:val="center"/>
            <w:hideMark/>
          </w:tcPr>
          <w:p w14:paraId="252BC5B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12,81,967</w:t>
            </w:r>
          </w:p>
        </w:tc>
        <w:tc>
          <w:tcPr>
            <w:tcW w:w="1028" w:type="dxa"/>
            <w:tcBorders>
              <w:top w:val="nil"/>
              <w:left w:val="nil"/>
              <w:bottom w:val="nil"/>
              <w:right w:val="single" w:sz="8" w:space="0" w:color="auto"/>
            </w:tcBorders>
            <w:shd w:val="clear" w:color="auto" w:fill="auto"/>
            <w:vAlign w:val="center"/>
            <w:hideMark/>
          </w:tcPr>
          <w:p w14:paraId="1B4D59E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20,81,031</w:t>
            </w:r>
          </w:p>
        </w:tc>
        <w:tc>
          <w:tcPr>
            <w:tcW w:w="1029" w:type="dxa"/>
            <w:tcBorders>
              <w:top w:val="nil"/>
              <w:left w:val="nil"/>
              <w:bottom w:val="nil"/>
              <w:right w:val="single" w:sz="8" w:space="0" w:color="auto"/>
            </w:tcBorders>
            <w:shd w:val="clear" w:color="auto" w:fill="auto"/>
            <w:vAlign w:val="center"/>
            <w:hideMark/>
          </w:tcPr>
          <w:p w14:paraId="017F750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4,37,415</w:t>
            </w:r>
          </w:p>
        </w:tc>
        <w:tc>
          <w:tcPr>
            <w:tcW w:w="1028" w:type="dxa"/>
            <w:tcBorders>
              <w:top w:val="nil"/>
              <w:left w:val="nil"/>
              <w:bottom w:val="nil"/>
              <w:right w:val="single" w:sz="8" w:space="0" w:color="auto"/>
            </w:tcBorders>
            <w:shd w:val="clear" w:color="auto" w:fill="auto"/>
            <w:vAlign w:val="center"/>
            <w:hideMark/>
          </w:tcPr>
          <w:p w14:paraId="11BA1DB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53,852</w:t>
            </w:r>
          </w:p>
        </w:tc>
        <w:tc>
          <w:tcPr>
            <w:tcW w:w="1028" w:type="dxa"/>
            <w:tcBorders>
              <w:top w:val="nil"/>
              <w:left w:val="nil"/>
              <w:bottom w:val="nil"/>
              <w:right w:val="single" w:sz="8" w:space="0" w:color="auto"/>
            </w:tcBorders>
            <w:shd w:val="clear" w:color="auto" w:fill="auto"/>
            <w:vAlign w:val="center"/>
            <w:hideMark/>
          </w:tcPr>
          <w:p w14:paraId="2C1191A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3,91,814</w:t>
            </w:r>
          </w:p>
        </w:tc>
      </w:tr>
      <w:tr w:rsidR="003656FA" w:rsidRPr="003656FA" w14:paraId="774589C2" w14:textId="77777777" w:rsidTr="00A92684">
        <w:trPr>
          <w:trHeight w:val="425"/>
        </w:trPr>
        <w:tc>
          <w:tcPr>
            <w:tcW w:w="3315" w:type="dxa"/>
            <w:tcBorders>
              <w:top w:val="nil"/>
              <w:left w:val="single" w:sz="4" w:space="0" w:color="auto"/>
              <w:bottom w:val="nil"/>
              <w:right w:val="nil"/>
            </w:tcBorders>
            <w:shd w:val="clear" w:color="000000" w:fill="B4C6E7"/>
            <w:vAlign w:val="center"/>
            <w:hideMark/>
          </w:tcPr>
          <w:p w14:paraId="2F5649FF"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The Saint-Petersburg International Mercantile Exchange</w:t>
            </w:r>
          </w:p>
        </w:tc>
        <w:tc>
          <w:tcPr>
            <w:tcW w:w="1048" w:type="dxa"/>
            <w:tcBorders>
              <w:top w:val="nil"/>
              <w:left w:val="single" w:sz="8" w:space="0" w:color="auto"/>
              <w:bottom w:val="nil"/>
              <w:right w:val="single" w:sz="8" w:space="0" w:color="auto"/>
            </w:tcBorders>
            <w:shd w:val="clear" w:color="auto" w:fill="auto"/>
            <w:vAlign w:val="center"/>
            <w:hideMark/>
          </w:tcPr>
          <w:p w14:paraId="1C617AB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4,851</w:t>
            </w:r>
          </w:p>
        </w:tc>
        <w:tc>
          <w:tcPr>
            <w:tcW w:w="1028" w:type="dxa"/>
            <w:tcBorders>
              <w:top w:val="nil"/>
              <w:left w:val="nil"/>
              <w:bottom w:val="nil"/>
              <w:right w:val="single" w:sz="8" w:space="0" w:color="auto"/>
            </w:tcBorders>
            <w:shd w:val="clear" w:color="auto" w:fill="auto"/>
            <w:vAlign w:val="center"/>
            <w:hideMark/>
          </w:tcPr>
          <w:p w14:paraId="62AE092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2,21,63,821</w:t>
            </w:r>
          </w:p>
        </w:tc>
        <w:tc>
          <w:tcPr>
            <w:tcW w:w="1028" w:type="dxa"/>
            <w:tcBorders>
              <w:top w:val="nil"/>
              <w:left w:val="nil"/>
              <w:bottom w:val="nil"/>
              <w:right w:val="single" w:sz="8" w:space="0" w:color="auto"/>
            </w:tcBorders>
            <w:shd w:val="clear" w:color="auto" w:fill="auto"/>
            <w:vAlign w:val="center"/>
            <w:hideMark/>
          </w:tcPr>
          <w:p w14:paraId="49A250B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1,274</w:t>
            </w:r>
          </w:p>
        </w:tc>
        <w:tc>
          <w:tcPr>
            <w:tcW w:w="1029" w:type="dxa"/>
            <w:tcBorders>
              <w:top w:val="nil"/>
              <w:left w:val="nil"/>
              <w:bottom w:val="nil"/>
              <w:right w:val="single" w:sz="8" w:space="0" w:color="auto"/>
            </w:tcBorders>
            <w:shd w:val="clear" w:color="auto" w:fill="auto"/>
            <w:vAlign w:val="center"/>
            <w:hideMark/>
          </w:tcPr>
          <w:p w14:paraId="72FE9E9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2D17169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c>
          <w:tcPr>
            <w:tcW w:w="1028" w:type="dxa"/>
            <w:tcBorders>
              <w:top w:val="nil"/>
              <w:left w:val="nil"/>
              <w:bottom w:val="nil"/>
              <w:right w:val="single" w:sz="8" w:space="0" w:color="auto"/>
            </w:tcBorders>
            <w:shd w:val="clear" w:color="auto" w:fill="auto"/>
            <w:vAlign w:val="center"/>
            <w:hideMark/>
          </w:tcPr>
          <w:p w14:paraId="69C9A18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0</w:t>
            </w:r>
          </w:p>
        </w:tc>
      </w:tr>
      <w:tr w:rsidR="003656FA" w:rsidRPr="003656FA" w14:paraId="728E9225" w14:textId="77777777" w:rsidTr="00A92684">
        <w:trPr>
          <w:trHeight w:val="255"/>
        </w:trPr>
        <w:tc>
          <w:tcPr>
            <w:tcW w:w="3315" w:type="dxa"/>
            <w:tcBorders>
              <w:top w:val="single" w:sz="8" w:space="0" w:color="auto"/>
              <w:left w:val="single" w:sz="8" w:space="0" w:color="auto"/>
              <w:bottom w:val="single" w:sz="8" w:space="0" w:color="auto"/>
              <w:right w:val="nil"/>
            </w:tcBorders>
            <w:shd w:val="clear" w:color="000000" w:fill="D9E1F2"/>
            <w:vAlign w:val="center"/>
            <w:hideMark/>
          </w:tcPr>
          <w:p w14:paraId="41C2C4A6"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Grand Total</w:t>
            </w:r>
          </w:p>
        </w:tc>
        <w:tc>
          <w:tcPr>
            <w:tcW w:w="1048" w:type="dxa"/>
            <w:tcBorders>
              <w:top w:val="single" w:sz="8" w:space="0" w:color="auto"/>
              <w:left w:val="nil"/>
              <w:bottom w:val="single" w:sz="8" w:space="0" w:color="auto"/>
              <w:right w:val="nil"/>
            </w:tcBorders>
            <w:shd w:val="clear" w:color="000000" w:fill="D9E1F2"/>
            <w:vAlign w:val="center"/>
            <w:hideMark/>
          </w:tcPr>
          <w:p w14:paraId="67FEE0CE"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71,23,09,049 </w:t>
            </w:r>
          </w:p>
        </w:tc>
        <w:tc>
          <w:tcPr>
            <w:tcW w:w="1028" w:type="dxa"/>
            <w:tcBorders>
              <w:top w:val="single" w:sz="8" w:space="0" w:color="auto"/>
              <w:left w:val="nil"/>
              <w:bottom w:val="single" w:sz="8" w:space="0" w:color="auto"/>
              <w:right w:val="nil"/>
            </w:tcBorders>
            <w:shd w:val="clear" w:color="000000" w:fill="D9E1F2"/>
            <w:vAlign w:val="center"/>
            <w:hideMark/>
          </w:tcPr>
          <w:p w14:paraId="38032A22"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3,16,68,225 </w:t>
            </w:r>
          </w:p>
        </w:tc>
        <w:tc>
          <w:tcPr>
            <w:tcW w:w="1028" w:type="dxa"/>
            <w:tcBorders>
              <w:top w:val="single" w:sz="8" w:space="0" w:color="auto"/>
              <w:left w:val="nil"/>
              <w:bottom w:val="single" w:sz="8" w:space="0" w:color="auto"/>
              <w:right w:val="nil"/>
            </w:tcBorders>
            <w:shd w:val="clear" w:color="000000" w:fill="D9E1F2"/>
            <w:vAlign w:val="center"/>
            <w:hideMark/>
          </w:tcPr>
          <w:p w14:paraId="6C743862"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4,71,22,199 </w:t>
            </w:r>
          </w:p>
        </w:tc>
        <w:tc>
          <w:tcPr>
            <w:tcW w:w="1029" w:type="dxa"/>
            <w:tcBorders>
              <w:top w:val="single" w:sz="8" w:space="0" w:color="auto"/>
              <w:left w:val="nil"/>
              <w:bottom w:val="single" w:sz="8" w:space="0" w:color="auto"/>
              <w:right w:val="nil"/>
            </w:tcBorders>
            <w:shd w:val="clear" w:color="000000" w:fill="D9E1F2"/>
            <w:vAlign w:val="center"/>
            <w:hideMark/>
          </w:tcPr>
          <w:p w14:paraId="41A4063B"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2,54,48,278 </w:t>
            </w:r>
          </w:p>
        </w:tc>
        <w:tc>
          <w:tcPr>
            <w:tcW w:w="1028" w:type="dxa"/>
            <w:tcBorders>
              <w:top w:val="single" w:sz="8" w:space="0" w:color="auto"/>
              <w:left w:val="nil"/>
              <w:bottom w:val="single" w:sz="8" w:space="0" w:color="auto"/>
              <w:right w:val="nil"/>
            </w:tcBorders>
            <w:shd w:val="clear" w:color="000000" w:fill="D9E1F2"/>
            <w:vAlign w:val="center"/>
            <w:hideMark/>
          </w:tcPr>
          <w:p w14:paraId="4C8FDE5F"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5,71,734 </w:t>
            </w:r>
          </w:p>
        </w:tc>
        <w:tc>
          <w:tcPr>
            <w:tcW w:w="1028" w:type="dxa"/>
            <w:tcBorders>
              <w:top w:val="single" w:sz="8" w:space="0" w:color="auto"/>
              <w:left w:val="nil"/>
              <w:bottom w:val="single" w:sz="8" w:space="0" w:color="auto"/>
              <w:right w:val="single" w:sz="8" w:space="0" w:color="auto"/>
            </w:tcBorders>
            <w:shd w:val="clear" w:color="000000" w:fill="D9E1F2"/>
            <w:vAlign w:val="center"/>
            <w:hideMark/>
          </w:tcPr>
          <w:p w14:paraId="4652D3A7"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xml:space="preserve">     1,65,24,454 </w:t>
            </w:r>
          </w:p>
        </w:tc>
      </w:tr>
    </w:tbl>
    <w:p w14:paraId="62898588" w14:textId="77777777" w:rsidR="003656FA" w:rsidRPr="003656FA" w:rsidRDefault="003656FA" w:rsidP="003656FA">
      <w:pPr>
        <w:spacing w:line="23" w:lineRule="atLeast"/>
        <w:rPr>
          <w:rFonts w:ascii="Garamond" w:hAnsi="Garamond"/>
          <w:bCs/>
          <w:sz w:val="18"/>
          <w:szCs w:val="18"/>
        </w:rPr>
      </w:pPr>
      <w:r w:rsidRPr="003656FA">
        <w:rPr>
          <w:rFonts w:ascii="Garamond" w:hAnsi="Garamond"/>
          <w:bCs/>
          <w:sz w:val="18"/>
          <w:szCs w:val="18"/>
        </w:rPr>
        <w:t xml:space="preserve"> NA: Not Available, data for </w:t>
      </w:r>
      <w:r w:rsidRPr="003656FA">
        <w:rPr>
          <w:rFonts w:ascii="Garamond" w:eastAsia="Times New Roman" w:hAnsi="Garamond" w:cs="Calibri"/>
          <w:color w:val="000000"/>
          <w:sz w:val="20"/>
          <w:szCs w:val="20"/>
          <w:lang w:val="en-IN" w:eastAsia="en-IN"/>
        </w:rPr>
        <w:t>Indian Commodity Exchange was not updated till the time of finalization of this report.</w:t>
      </w:r>
    </w:p>
    <w:p w14:paraId="50D4A86B" w14:textId="77777777" w:rsidR="003656FA" w:rsidRPr="003656FA" w:rsidRDefault="003656FA" w:rsidP="003656FA">
      <w:pPr>
        <w:spacing w:line="23" w:lineRule="atLeast"/>
        <w:jc w:val="both"/>
        <w:outlineLvl w:val="0"/>
        <w:rPr>
          <w:rFonts w:ascii="Garamond" w:hAnsi="Garamond"/>
          <w:bCs/>
          <w:sz w:val="18"/>
          <w:szCs w:val="18"/>
        </w:rPr>
      </w:pPr>
      <w:r w:rsidRPr="003656FA">
        <w:rPr>
          <w:rFonts w:ascii="Garamond" w:hAnsi="Garamond"/>
          <w:bCs/>
          <w:sz w:val="18"/>
          <w:szCs w:val="18"/>
        </w:rPr>
        <w:t>Source: World Federation of Exchanges</w:t>
      </w:r>
    </w:p>
    <w:p w14:paraId="094DEDF0" w14:textId="77777777" w:rsidR="003656FA" w:rsidRPr="003656FA" w:rsidRDefault="003656FA" w:rsidP="003656FA">
      <w:pPr>
        <w:spacing w:line="23" w:lineRule="atLeast"/>
        <w:jc w:val="both"/>
        <w:rPr>
          <w:rFonts w:ascii="Garamond" w:hAnsi="Garamond"/>
          <w:bCs/>
          <w:sz w:val="22"/>
          <w:szCs w:val="22"/>
        </w:rPr>
      </w:pPr>
    </w:p>
    <w:p w14:paraId="0DADB43B" w14:textId="77777777" w:rsidR="003656FA" w:rsidRPr="003656FA" w:rsidRDefault="003656FA" w:rsidP="003656FA">
      <w:pPr>
        <w:rPr>
          <w:rFonts w:ascii="Garamond" w:hAnsi="Garamond"/>
          <w:bCs/>
          <w:sz w:val="22"/>
          <w:szCs w:val="22"/>
        </w:rPr>
      </w:pPr>
      <w:r w:rsidRPr="003656FA">
        <w:rPr>
          <w:rFonts w:ascii="Garamond" w:hAnsi="Garamond"/>
          <w:bCs/>
          <w:sz w:val="22"/>
          <w:szCs w:val="22"/>
        </w:rPr>
        <w:br w:type="page"/>
      </w:r>
    </w:p>
    <w:p w14:paraId="5BE7FD12" w14:textId="77777777" w:rsidR="003656FA" w:rsidRPr="003656FA" w:rsidRDefault="003656FA" w:rsidP="003656FA">
      <w:pPr>
        <w:spacing w:line="23" w:lineRule="atLeast"/>
        <w:jc w:val="both"/>
        <w:rPr>
          <w:rFonts w:ascii="Garamond" w:hAnsi="Garamond"/>
          <w:b/>
          <w:bCs/>
          <w:szCs w:val="22"/>
        </w:rPr>
      </w:pPr>
      <w:r w:rsidRPr="003656FA">
        <w:rPr>
          <w:rFonts w:ascii="Garamond" w:hAnsi="Garamond"/>
          <w:b/>
          <w:bCs/>
          <w:szCs w:val="22"/>
        </w:rPr>
        <w:lastRenderedPageBreak/>
        <w:t>Table A9: Major Foreign Holders of US Treasury Securities (USD billion)</w:t>
      </w:r>
    </w:p>
    <w:tbl>
      <w:tblPr>
        <w:tblW w:w="10258" w:type="dxa"/>
        <w:tblLook w:val="04A0" w:firstRow="1" w:lastRow="0" w:firstColumn="1" w:lastColumn="0" w:noHBand="0" w:noVBand="1"/>
      </w:tblPr>
      <w:tblGrid>
        <w:gridCol w:w="1634"/>
        <w:gridCol w:w="784"/>
        <w:gridCol w:w="784"/>
        <w:gridCol w:w="784"/>
        <w:gridCol w:w="784"/>
        <w:gridCol w:w="784"/>
        <w:gridCol w:w="784"/>
        <w:gridCol w:w="784"/>
        <w:gridCol w:w="784"/>
        <w:gridCol w:w="784"/>
        <w:gridCol w:w="784"/>
        <w:gridCol w:w="784"/>
      </w:tblGrid>
      <w:tr w:rsidR="003656FA" w:rsidRPr="003656FA" w14:paraId="22057AC9" w14:textId="77777777" w:rsidTr="00A92684">
        <w:trPr>
          <w:trHeight w:val="281"/>
        </w:trPr>
        <w:tc>
          <w:tcPr>
            <w:tcW w:w="1634" w:type="dxa"/>
            <w:vMerge w:val="restart"/>
            <w:tcBorders>
              <w:top w:val="single" w:sz="8" w:space="0" w:color="auto"/>
              <w:left w:val="single" w:sz="8" w:space="0" w:color="auto"/>
              <w:bottom w:val="nil"/>
              <w:right w:val="single" w:sz="4" w:space="0" w:color="000000"/>
            </w:tcBorders>
            <w:shd w:val="clear" w:color="auto" w:fill="auto"/>
            <w:noWrap/>
            <w:vAlign w:val="center"/>
            <w:hideMark/>
          </w:tcPr>
          <w:p w14:paraId="6DE479DF"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Country/ Month</w:t>
            </w:r>
          </w:p>
        </w:tc>
        <w:tc>
          <w:tcPr>
            <w:tcW w:w="784" w:type="dxa"/>
            <w:tcBorders>
              <w:top w:val="single" w:sz="8" w:space="0" w:color="auto"/>
              <w:left w:val="single" w:sz="8" w:space="0" w:color="auto"/>
              <w:bottom w:val="single" w:sz="8" w:space="0" w:color="auto"/>
              <w:right w:val="nil"/>
            </w:tcBorders>
            <w:shd w:val="clear" w:color="000000" w:fill="FFFFFF"/>
            <w:noWrap/>
            <w:vAlign w:val="center"/>
            <w:hideMark/>
          </w:tcPr>
          <w:p w14:paraId="71245426"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single" w:sz="8" w:space="0" w:color="auto"/>
              <w:left w:val="nil"/>
              <w:bottom w:val="single" w:sz="8" w:space="0" w:color="auto"/>
              <w:right w:val="nil"/>
            </w:tcBorders>
            <w:shd w:val="clear" w:color="000000" w:fill="FFFFFF"/>
            <w:noWrap/>
            <w:vAlign w:val="center"/>
            <w:hideMark/>
          </w:tcPr>
          <w:p w14:paraId="19BD24A0"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single" w:sz="8" w:space="0" w:color="auto"/>
              <w:left w:val="nil"/>
              <w:bottom w:val="single" w:sz="8" w:space="0" w:color="auto"/>
              <w:right w:val="nil"/>
            </w:tcBorders>
            <w:shd w:val="clear" w:color="000000" w:fill="FFFFFF"/>
            <w:noWrap/>
            <w:vAlign w:val="center"/>
            <w:hideMark/>
          </w:tcPr>
          <w:p w14:paraId="0832DA7B"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2019</w:t>
            </w:r>
          </w:p>
        </w:tc>
        <w:tc>
          <w:tcPr>
            <w:tcW w:w="784" w:type="dxa"/>
            <w:tcBorders>
              <w:top w:val="single" w:sz="8" w:space="0" w:color="auto"/>
              <w:left w:val="nil"/>
              <w:bottom w:val="single" w:sz="8" w:space="0" w:color="auto"/>
              <w:right w:val="single" w:sz="8" w:space="0" w:color="auto"/>
            </w:tcBorders>
            <w:shd w:val="clear" w:color="000000" w:fill="FFFFFF"/>
            <w:noWrap/>
            <w:vAlign w:val="center"/>
            <w:hideMark/>
          </w:tcPr>
          <w:p w14:paraId="21F457AF"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single" w:sz="8" w:space="0" w:color="auto"/>
              <w:left w:val="nil"/>
              <w:bottom w:val="single" w:sz="8" w:space="0" w:color="auto"/>
              <w:right w:val="nil"/>
            </w:tcBorders>
            <w:shd w:val="clear" w:color="000000" w:fill="FFFFFF"/>
            <w:noWrap/>
            <w:vAlign w:val="center"/>
            <w:hideMark/>
          </w:tcPr>
          <w:p w14:paraId="35D4947D"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single" w:sz="8" w:space="0" w:color="auto"/>
              <w:left w:val="nil"/>
              <w:bottom w:val="single" w:sz="8" w:space="0" w:color="auto"/>
              <w:right w:val="nil"/>
            </w:tcBorders>
            <w:shd w:val="clear" w:color="000000" w:fill="FFFFFF"/>
            <w:noWrap/>
            <w:vAlign w:val="center"/>
            <w:hideMark/>
          </w:tcPr>
          <w:p w14:paraId="375156ED"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single" w:sz="8" w:space="0" w:color="auto"/>
              <w:left w:val="nil"/>
              <w:bottom w:val="single" w:sz="8" w:space="0" w:color="auto"/>
              <w:right w:val="nil"/>
            </w:tcBorders>
            <w:shd w:val="clear" w:color="000000" w:fill="FFFFFF"/>
            <w:noWrap/>
            <w:vAlign w:val="center"/>
            <w:hideMark/>
          </w:tcPr>
          <w:p w14:paraId="4680A1EE"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single" w:sz="8" w:space="0" w:color="auto"/>
              <w:left w:val="nil"/>
              <w:bottom w:val="single" w:sz="8" w:space="0" w:color="auto"/>
              <w:right w:val="nil"/>
            </w:tcBorders>
            <w:shd w:val="clear" w:color="000000" w:fill="FFFFFF"/>
            <w:noWrap/>
            <w:vAlign w:val="center"/>
            <w:hideMark/>
          </w:tcPr>
          <w:p w14:paraId="4FD10D83"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2020</w:t>
            </w:r>
          </w:p>
        </w:tc>
        <w:tc>
          <w:tcPr>
            <w:tcW w:w="784" w:type="dxa"/>
            <w:tcBorders>
              <w:top w:val="single" w:sz="8" w:space="0" w:color="auto"/>
              <w:left w:val="nil"/>
              <w:bottom w:val="single" w:sz="8" w:space="0" w:color="auto"/>
              <w:right w:val="nil"/>
            </w:tcBorders>
            <w:shd w:val="clear" w:color="000000" w:fill="FFFFFF"/>
            <w:noWrap/>
            <w:vAlign w:val="center"/>
            <w:hideMark/>
          </w:tcPr>
          <w:p w14:paraId="22004391"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single" w:sz="8" w:space="0" w:color="auto"/>
              <w:left w:val="nil"/>
              <w:bottom w:val="single" w:sz="8" w:space="0" w:color="auto"/>
              <w:right w:val="nil"/>
            </w:tcBorders>
            <w:shd w:val="clear" w:color="000000" w:fill="FFFFFF"/>
            <w:noWrap/>
            <w:vAlign w:val="center"/>
            <w:hideMark/>
          </w:tcPr>
          <w:p w14:paraId="7F2CD781"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single" w:sz="8" w:space="0" w:color="auto"/>
              <w:left w:val="nil"/>
              <w:bottom w:val="single" w:sz="8" w:space="0" w:color="auto"/>
              <w:right w:val="single" w:sz="8" w:space="0" w:color="auto"/>
            </w:tcBorders>
            <w:shd w:val="clear" w:color="000000" w:fill="FFFFFF"/>
            <w:noWrap/>
            <w:vAlign w:val="center"/>
            <w:hideMark/>
          </w:tcPr>
          <w:p w14:paraId="76547B27"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r>
      <w:tr w:rsidR="003656FA" w:rsidRPr="003656FA" w14:paraId="60C00BE0" w14:textId="77777777" w:rsidTr="00A92684">
        <w:trPr>
          <w:trHeight w:val="281"/>
        </w:trPr>
        <w:tc>
          <w:tcPr>
            <w:tcW w:w="1634" w:type="dxa"/>
            <w:vMerge/>
            <w:tcBorders>
              <w:top w:val="single" w:sz="8" w:space="0" w:color="auto"/>
              <w:left w:val="single" w:sz="8" w:space="0" w:color="auto"/>
              <w:bottom w:val="nil"/>
              <w:right w:val="single" w:sz="4" w:space="0" w:color="000000"/>
            </w:tcBorders>
            <w:vAlign w:val="center"/>
            <w:hideMark/>
          </w:tcPr>
          <w:p w14:paraId="47442EFC"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784" w:type="dxa"/>
            <w:tcBorders>
              <w:top w:val="nil"/>
              <w:left w:val="single" w:sz="8" w:space="0" w:color="auto"/>
              <w:bottom w:val="nil"/>
              <w:right w:val="single" w:sz="8" w:space="0" w:color="auto"/>
            </w:tcBorders>
            <w:shd w:val="clear" w:color="auto" w:fill="auto"/>
            <w:hideMark/>
          </w:tcPr>
          <w:p w14:paraId="1DCB5BB5"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Aug</w:t>
            </w:r>
          </w:p>
        </w:tc>
        <w:tc>
          <w:tcPr>
            <w:tcW w:w="784" w:type="dxa"/>
            <w:tcBorders>
              <w:top w:val="nil"/>
              <w:left w:val="nil"/>
              <w:bottom w:val="nil"/>
              <w:right w:val="single" w:sz="8" w:space="0" w:color="auto"/>
            </w:tcBorders>
            <w:shd w:val="clear" w:color="auto" w:fill="auto"/>
            <w:hideMark/>
          </w:tcPr>
          <w:p w14:paraId="1D89E049"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Sep</w:t>
            </w:r>
          </w:p>
        </w:tc>
        <w:tc>
          <w:tcPr>
            <w:tcW w:w="784" w:type="dxa"/>
            <w:tcBorders>
              <w:top w:val="nil"/>
              <w:left w:val="nil"/>
              <w:bottom w:val="nil"/>
              <w:right w:val="single" w:sz="8" w:space="0" w:color="auto"/>
            </w:tcBorders>
            <w:shd w:val="clear" w:color="auto" w:fill="auto"/>
            <w:hideMark/>
          </w:tcPr>
          <w:p w14:paraId="4D6E0678"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Oct</w:t>
            </w:r>
          </w:p>
        </w:tc>
        <w:tc>
          <w:tcPr>
            <w:tcW w:w="784" w:type="dxa"/>
            <w:tcBorders>
              <w:top w:val="nil"/>
              <w:left w:val="nil"/>
              <w:bottom w:val="nil"/>
              <w:right w:val="single" w:sz="8" w:space="0" w:color="auto"/>
            </w:tcBorders>
            <w:shd w:val="clear" w:color="auto" w:fill="auto"/>
            <w:hideMark/>
          </w:tcPr>
          <w:p w14:paraId="10FAFB0B"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Nov</w:t>
            </w:r>
          </w:p>
        </w:tc>
        <w:tc>
          <w:tcPr>
            <w:tcW w:w="784" w:type="dxa"/>
            <w:tcBorders>
              <w:top w:val="nil"/>
              <w:left w:val="nil"/>
              <w:bottom w:val="nil"/>
              <w:right w:val="single" w:sz="8" w:space="0" w:color="auto"/>
            </w:tcBorders>
            <w:shd w:val="clear" w:color="auto" w:fill="auto"/>
            <w:hideMark/>
          </w:tcPr>
          <w:p w14:paraId="077D997C"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Dec</w:t>
            </w:r>
          </w:p>
        </w:tc>
        <w:tc>
          <w:tcPr>
            <w:tcW w:w="784" w:type="dxa"/>
            <w:tcBorders>
              <w:top w:val="nil"/>
              <w:left w:val="nil"/>
              <w:bottom w:val="nil"/>
              <w:right w:val="single" w:sz="8" w:space="0" w:color="auto"/>
            </w:tcBorders>
            <w:shd w:val="clear" w:color="auto" w:fill="auto"/>
            <w:hideMark/>
          </w:tcPr>
          <w:p w14:paraId="7875DE45"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Jan</w:t>
            </w:r>
          </w:p>
        </w:tc>
        <w:tc>
          <w:tcPr>
            <w:tcW w:w="784" w:type="dxa"/>
            <w:tcBorders>
              <w:top w:val="nil"/>
              <w:left w:val="nil"/>
              <w:bottom w:val="nil"/>
              <w:right w:val="single" w:sz="8" w:space="0" w:color="auto"/>
            </w:tcBorders>
            <w:shd w:val="clear" w:color="auto" w:fill="auto"/>
            <w:hideMark/>
          </w:tcPr>
          <w:p w14:paraId="5CDCEE0F"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Feb</w:t>
            </w:r>
          </w:p>
        </w:tc>
        <w:tc>
          <w:tcPr>
            <w:tcW w:w="784" w:type="dxa"/>
            <w:tcBorders>
              <w:top w:val="nil"/>
              <w:left w:val="nil"/>
              <w:bottom w:val="nil"/>
              <w:right w:val="single" w:sz="8" w:space="0" w:color="auto"/>
            </w:tcBorders>
            <w:shd w:val="clear" w:color="auto" w:fill="auto"/>
            <w:hideMark/>
          </w:tcPr>
          <w:p w14:paraId="22A58BFE"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Mar</w:t>
            </w:r>
          </w:p>
        </w:tc>
        <w:tc>
          <w:tcPr>
            <w:tcW w:w="784" w:type="dxa"/>
            <w:tcBorders>
              <w:top w:val="nil"/>
              <w:left w:val="nil"/>
              <w:bottom w:val="nil"/>
              <w:right w:val="single" w:sz="8" w:space="0" w:color="auto"/>
            </w:tcBorders>
            <w:shd w:val="clear" w:color="auto" w:fill="auto"/>
            <w:hideMark/>
          </w:tcPr>
          <w:p w14:paraId="43F8613F"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Apr</w:t>
            </w:r>
          </w:p>
        </w:tc>
        <w:tc>
          <w:tcPr>
            <w:tcW w:w="784" w:type="dxa"/>
            <w:tcBorders>
              <w:top w:val="nil"/>
              <w:left w:val="nil"/>
              <w:bottom w:val="nil"/>
              <w:right w:val="single" w:sz="8" w:space="0" w:color="auto"/>
            </w:tcBorders>
            <w:shd w:val="clear" w:color="auto" w:fill="auto"/>
            <w:hideMark/>
          </w:tcPr>
          <w:p w14:paraId="2AB77CCA"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May</w:t>
            </w:r>
          </w:p>
        </w:tc>
        <w:tc>
          <w:tcPr>
            <w:tcW w:w="784" w:type="dxa"/>
            <w:tcBorders>
              <w:top w:val="nil"/>
              <w:left w:val="nil"/>
              <w:bottom w:val="nil"/>
              <w:right w:val="single" w:sz="8" w:space="0" w:color="auto"/>
            </w:tcBorders>
            <w:shd w:val="clear" w:color="auto" w:fill="auto"/>
            <w:hideMark/>
          </w:tcPr>
          <w:p w14:paraId="5C3B0F1F" w14:textId="77777777" w:rsidR="003656FA" w:rsidRPr="003656FA" w:rsidRDefault="003656FA" w:rsidP="003656FA">
            <w:pPr>
              <w:jc w:val="cente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June</w:t>
            </w:r>
          </w:p>
        </w:tc>
      </w:tr>
      <w:tr w:rsidR="003656FA" w:rsidRPr="003656FA" w14:paraId="4C9948DC" w14:textId="77777777" w:rsidTr="00A92684">
        <w:trPr>
          <w:trHeight w:val="267"/>
        </w:trPr>
        <w:tc>
          <w:tcPr>
            <w:tcW w:w="1634" w:type="dxa"/>
            <w:tcBorders>
              <w:top w:val="single" w:sz="8" w:space="0" w:color="auto"/>
              <w:left w:val="single" w:sz="8" w:space="0" w:color="auto"/>
              <w:bottom w:val="nil"/>
              <w:right w:val="nil"/>
            </w:tcBorders>
            <w:shd w:val="clear" w:color="auto" w:fill="auto"/>
            <w:noWrap/>
            <w:vAlign w:val="center"/>
            <w:hideMark/>
          </w:tcPr>
          <w:p w14:paraId="429474A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Japan</w:t>
            </w:r>
          </w:p>
        </w:tc>
        <w:tc>
          <w:tcPr>
            <w:tcW w:w="784" w:type="dxa"/>
            <w:tcBorders>
              <w:top w:val="single" w:sz="8" w:space="0" w:color="auto"/>
              <w:left w:val="single" w:sz="8" w:space="0" w:color="auto"/>
              <w:bottom w:val="nil"/>
              <w:right w:val="single" w:sz="8" w:space="0" w:color="auto"/>
            </w:tcBorders>
            <w:shd w:val="clear" w:color="auto" w:fill="auto"/>
            <w:noWrap/>
            <w:vAlign w:val="bottom"/>
            <w:hideMark/>
          </w:tcPr>
          <w:p w14:paraId="544B1FA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1174.6</w:t>
            </w:r>
          </w:p>
        </w:tc>
        <w:tc>
          <w:tcPr>
            <w:tcW w:w="784" w:type="dxa"/>
            <w:tcBorders>
              <w:top w:val="single" w:sz="8" w:space="0" w:color="auto"/>
              <w:left w:val="nil"/>
              <w:bottom w:val="nil"/>
              <w:right w:val="nil"/>
            </w:tcBorders>
            <w:shd w:val="clear" w:color="auto" w:fill="auto"/>
            <w:noWrap/>
            <w:vAlign w:val="bottom"/>
            <w:hideMark/>
          </w:tcPr>
          <w:p w14:paraId="610B0BD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1146.2</w:t>
            </w:r>
          </w:p>
        </w:tc>
        <w:tc>
          <w:tcPr>
            <w:tcW w:w="784" w:type="dxa"/>
            <w:tcBorders>
              <w:top w:val="single" w:sz="8" w:space="0" w:color="auto"/>
              <w:left w:val="single" w:sz="8" w:space="0" w:color="auto"/>
              <w:bottom w:val="nil"/>
              <w:right w:val="single" w:sz="8" w:space="0" w:color="auto"/>
            </w:tcBorders>
            <w:shd w:val="clear" w:color="auto" w:fill="auto"/>
            <w:noWrap/>
            <w:vAlign w:val="bottom"/>
            <w:hideMark/>
          </w:tcPr>
          <w:p w14:paraId="7FD2D2D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1168.5</w:t>
            </w:r>
          </w:p>
        </w:tc>
        <w:tc>
          <w:tcPr>
            <w:tcW w:w="784" w:type="dxa"/>
            <w:tcBorders>
              <w:top w:val="single" w:sz="8" w:space="0" w:color="auto"/>
              <w:left w:val="nil"/>
              <w:bottom w:val="nil"/>
              <w:right w:val="nil"/>
            </w:tcBorders>
            <w:shd w:val="clear" w:color="auto" w:fill="auto"/>
            <w:noWrap/>
            <w:vAlign w:val="bottom"/>
            <w:hideMark/>
          </w:tcPr>
          <w:p w14:paraId="55F016E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1160.6</w:t>
            </w:r>
          </w:p>
        </w:tc>
        <w:tc>
          <w:tcPr>
            <w:tcW w:w="784" w:type="dxa"/>
            <w:tcBorders>
              <w:top w:val="single" w:sz="8" w:space="0" w:color="auto"/>
              <w:left w:val="single" w:sz="8" w:space="0" w:color="auto"/>
              <w:bottom w:val="nil"/>
              <w:right w:val="single" w:sz="8" w:space="0" w:color="auto"/>
            </w:tcBorders>
            <w:shd w:val="clear" w:color="auto" w:fill="auto"/>
            <w:noWrap/>
            <w:vAlign w:val="bottom"/>
            <w:hideMark/>
          </w:tcPr>
          <w:p w14:paraId="76AB021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1155.2</w:t>
            </w:r>
          </w:p>
        </w:tc>
        <w:tc>
          <w:tcPr>
            <w:tcW w:w="784" w:type="dxa"/>
            <w:tcBorders>
              <w:top w:val="single" w:sz="8" w:space="0" w:color="auto"/>
              <w:left w:val="nil"/>
              <w:bottom w:val="nil"/>
              <w:right w:val="nil"/>
            </w:tcBorders>
            <w:shd w:val="clear" w:color="auto" w:fill="auto"/>
            <w:noWrap/>
            <w:vAlign w:val="bottom"/>
            <w:hideMark/>
          </w:tcPr>
          <w:p w14:paraId="197B2CD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1211.8</w:t>
            </w:r>
          </w:p>
        </w:tc>
        <w:tc>
          <w:tcPr>
            <w:tcW w:w="784" w:type="dxa"/>
            <w:tcBorders>
              <w:top w:val="single" w:sz="8" w:space="0" w:color="auto"/>
              <w:left w:val="single" w:sz="8" w:space="0" w:color="auto"/>
              <w:bottom w:val="nil"/>
              <w:right w:val="single" w:sz="8" w:space="0" w:color="auto"/>
            </w:tcBorders>
            <w:shd w:val="clear" w:color="auto" w:fill="auto"/>
            <w:noWrap/>
            <w:vAlign w:val="bottom"/>
            <w:hideMark/>
          </w:tcPr>
          <w:p w14:paraId="2573952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1268.6</w:t>
            </w:r>
          </w:p>
        </w:tc>
        <w:tc>
          <w:tcPr>
            <w:tcW w:w="784" w:type="dxa"/>
            <w:tcBorders>
              <w:top w:val="single" w:sz="8" w:space="0" w:color="auto"/>
              <w:left w:val="nil"/>
              <w:bottom w:val="nil"/>
              <w:right w:val="single" w:sz="8" w:space="0" w:color="auto"/>
            </w:tcBorders>
            <w:shd w:val="clear" w:color="auto" w:fill="auto"/>
            <w:noWrap/>
            <w:vAlign w:val="bottom"/>
            <w:hideMark/>
          </w:tcPr>
          <w:p w14:paraId="5E2E1F0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1272.6</w:t>
            </w:r>
          </w:p>
        </w:tc>
        <w:tc>
          <w:tcPr>
            <w:tcW w:w="784" w:type="dxa"/>
            <w:tcBorders>
              <w:top w:val="single" w:sz="8" w:space="0" w:color="auto"/>
              <w:left w:val="nil"/>
              <w:bottom w:val="nil"/>
              <w:right w:val="single" w:sz="8" w:space="0" w:color="auto"/>
            </w:tcBorders>
            <w:shd w:val="clear" w:color="auto" w:fill="auto"/>
            <w:noWrap/>
            <w:vAlign w:val="bottom"/>
            <w:hideMark/>
          </w:tcPr>
          <w:p w14:paraId="2A6A622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1266.5</w:t>
            </w:r>
          </w:p>
        </w:tc>
        <w:tc>
          <w:tcPr>
            <w:tcW w:w="784" w:type="dxa"/>
            <w:tcBorders>
              <w:top w:val="single" w:sz="8" w:space="0" w:color="auto"/>
              <w:left w:val="nil"/>
              <w:bottom w:val="nil"/>
              <w:right w:val="single" w:sz="8" w:space="0" w:color="auto"/>
            </w:tcBorders>
            <w:shd w:val="clear" w:color="auto" w:fill="auto"/>
            <w:noWrap/>
            <w:vAlign w:val="bottom"/>
            <w:hideMark/>
          </w:tcPr>
          <w:p w14:paraId="4E438A7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1260.4</w:t>
            </w:r>
          </w:p>
        </w:tc>
        <w:tc>
          <w:tcPr>
            <w:tcW w:w="784" w:type="dxa"/>
            <w:tcBorders>
              <w:top w:val="single" w:sz="8" w:space="0" w:color="auto"/>
              <w:left w:val="nil"/>
              <w:bottom w:val="nil"/>
              <w:right w:val="single" w:sz="8" w:space="0" w:color="auto"/>
            </w:tcBorders>
            <w:shd w:val="clear" w:color="auto" w:fill="auto"/>
            <w:noWrap/>
            <w:vAlign w:val="bottom"/>
            <w:hideMark/>
          </w:tcPr>
          <w:p w14:paraId="1023E87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1261.3</w:t>
            </w:r>
          </w:p>
        </w:tc>
      </w:tr>
      <w:tr w:rsidR="003656FA" w:rsidRPr="003656FA" w14:paraId="453681E4"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2F8D0BE5"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China, Mainland</w:t>
            </w:r>
          </w:p>
        </w:tc>
        <w:tc>
          <w:tcPr>
            <w:tcW w:w="784" w:type="dxa"/>
            <w:tcBorders>
              <w:top w:val="nil"/>
              <w:left w:val="single" w:sz="8" w:space="0" w:color="auto"/>
              <w:bottom w:val="nil"/>
              <w:right w:val="single" w:sz="8" w:space="0" w:color="auto"/>
            </w:tcBorders>
            <w:shd w:val="clear" w:color="auto" w:fill="auto"/>
            <w:noWrap/>
            <w:vAlign w:val="bottom"/>
            <w:hideMark/>
          </w:tcPr>
          <w:p w14:paraId="510E203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1103.5</w:t>
            </w:r>
          </w:p>
        </w:tc>
        <w:tc>
          <w:tcPr>
            <w:tcW w:w="784" w:type="dxa"/>
            <w:tcBorders>
              <w:top w:val="nil"/>
              <w:left w:val="nil"/>
              <w:bottom w:val="nil"/>
              <w:right w:val="nil"/>
            </w:tcBorders>
            <w:shd w:val="clear" w:color="auto" w:fill="auto"/>
            <w:noWrap/>
            <w:vAlign w:val="bottom"/>
            <w:hideMark/>
          </w:tcPr>
          <w:p w14:paraId="25F6B78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1102.4</w:t>
            </w:r>
          </w:p>
        </w:tc>
        <w:tc>
          <w:tcPr>
            <w:tcW w:w="784" w:type="dxa"/>
            <w:tcBorders>
              <w:top w:val="nil"/>
              <w:left w:val="single" w:sz="8" w:space="0" w:color="auto"/>
              <w:bottom w:val="nil"/>
              <w:right w:val="single" w:sz="8" w:space="0" w:color="auto"/>
            </w:tcBorders>
            <w:shd w:val="clear" w:color="auto" w:fill="auto"/>
            <w:noWrap/>
            <w:vAlign w:val="bottom"/>
            <w:hideMark/>
          </w:tcPr>
          <w:p w14:paraId="04EB457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1101.5</w:t>
            </w:r>
          </w:p>
        </w:tc>
        <w:tc>
          <w:tcPr>
            <w:tcW w:w="784" w:type="dxa"/>
            <w:tcBorders>
              <w:top w:val="nil"/>
              <w:left w:val="nil"/>
              <w:bottom w:val="nil"/>
              <w:right w:val="nil"/>
            </w:tcBorders>
            <w:shd w:val="clear" w:color="auto" w:fill="auto"/>
            <w:noWrap/>
            <w:vAlign w:val="bottom"/>
            <w:hideMark/>
          </w:tcPr>
          <w:p w14:paraId="50D5433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1089.1</w:t>
            </w:r>
          </w:p>
        </w:tc>
        <w:tc>
          <w:tcPr>
            <w:tcW w:w="784" w:type="dxa"/>
            <w:tcBorders>
              <w:top w:val="nil"/>
              <w:left w:val="single" w:sz="8" w:space="0" w:color="auto"/>
              <w:bottom w:val="nil"/>
              <w:right w:val="single" w:sz="8" w:space="0" w:color="auto"/>
            </w:tcBorders>
            <w:shd w:val="clear" w:color="auto" w:fill="auto"/>
            <w:noWrap/>
            <w:vAlign w:val="bottom"/>
            <w:hideMark/>
          </w:tcPr>
          <w:p w14:paraId="207FA1E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1069.9</w:t>
            </w:r>
          </w:p>
        </w:tc>
        <w:tc>
          <w:tcPr>
            <w:tcW w:w="784" w:type="dxa"/>
            <w:tcBorders>
              <w:top w:val="nil"/>
              <w:left w:val="nil"/>
              <w:bottom w:val="nil"/>
              <w:right w:val="nil"/>
            </w:tcBorders>
            <w:shd w:val="clear" w:color="auto" w:fill="auto"/>
            <w:noWrap/>
            <w:vAlign w:val="bottom"/>
            <w:hideMark/>
          </w:tcPr>
          <w:p w14:paraId="5B7281A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1078.6</w:t>
            </w:r>
          </w:p>
        </w:tc>
        <w:tc>
          <w:tcPr>
            <w:tcW w:w="784" w:type="dxa"/>
            <w:tcBorders>
              <w:top w:val="nil"/>
              <w:left w:val="single" w:sz="8" w:space="0" w:color="auto"/>
              <w:bottom w:val="nil"/>
              <w:right w:val="single" w:sz="8" w:space="0" w:color="auto"/>
            </w:tcBorders>
            <w:shd w:val="clear" w:color="auto" w:fill="auto"/>
            <w:noWrap/>
            <w:vAlign w:val="bottom"/>
            <w:hideMark/>
          </w:tcPr>
          <w:p w14:paraId="52E54EC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1092.3</w:t>
            </w:r>
          </w:p>
        </w:tc>
        <w:tc>
          <w:tcPr>
            <w:tcW w:w="784" w:type="dxa"/>
            <w:tcBorders>
              <w:top w:val="nil"/>
              <w:left w:val="nil"/>
              <w:bottom w:val="nil"/>
              <w:right w:val="single" w:sz="8" w:space="0" w:color="auto"/>
            </w:tcBorders>
            <w:shd w:val="clear" w:color="auto" w:fill="auto"/>
            <w:noWrap/>
            <w:vAlign w:val="bottom"/>
            <w:hideMark/>
          </w:tcPr>
          <w:p w14:paraId="420C9B2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1081.6</w:t>
            </w:r>
          </w:p>
        </w:tc>
        <w:tc>
          <w:tcPr>
            <w:tcW w:w="784" w:type="dxa"/>
            <w:tcBorders>
              <w:top w:val="nil"/>
              <w:left w:val="nil"/>
              <w:bottom w:val="nil"/>
              <w:right w:val="single" w:sz="8" w:space="0" w:color="auto"/>
            </w:tcBorders>
            <w:shd w:val="clear" w:color="auto" w:fill="auto"/>
            <w:noWrap/>
            <w:vAlign w:val="bottom"/>
            <w:hideMark/>
          </w:tcPr>
          <w:p w14:paraId="78A85BF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1072.8</w:t>
            </w:r>
          </w:p>
        </w:tc>
        <w:tc>
          <w:tcPr>
            <w:tcW w:w="784" w:type="dxa"/>
            <w:tcBorders>
              <w:top w:val="nil"/>
              <w:left w:val="nil"/>
              <w:bottom w:val="nil"/>
              <w:right w:val="single" w:sz="8" w:space="0" w:color="auto"/>
            </w:tcBorders>
            <w:shd w:val="clear" w:color="auto" w:fill="auto"/>
            <w:noWrap/>
            <w:vAlign w:val="bottom"/>
            <w:hideMark/>
          </w:tcPr>
          <w:p w14:paraId="6DDBF84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1083.7</w:t>
            </w:r>
          </w:p>
        </w:tc>
        <w:tc>
          <w:tcPr>
            <w:tcW w:w="784" w:type="dxa"/>
            <w:tcBorders>
              <w:top w:val="nil"/>
              <w:left w:val="nil"/>
              <w:bottom w:val="nil"/>
              <w:right w:val="single" w:sz="8" w:space="0" w:color="auto"/>
            </w:tcBorders>
            <w:shd w:val="clear" w:color="auto" w:fill="auto"/>
            <w:noWrap/>
            <w:vAlign w:val="bottom"/>
            <w:hideMark/>
          </w:tcPr>
          <w:p w14:paraId="2AD1946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1074.4</w:t>
            </w:r>
          </w:p>
        </w:tc>
      </w:tr>
      <w:tr w:rsidR="003656FA" w:rsidRPr="003656FA" w14:paraId="53117258"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5721DF3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United Kingdom</w:t>
            </w:r>
          </w:p>
        </w:tc>
        <w:tc>
          <w:tcPr>
            <w:tcW w:w="784" w:type="dxa"/>
            <w:tcBorders>
              <w:top w:val="nil"/>
              <w:left w:val="single" w:sz="8" w:space="0" w:color="auto"/>
              <w:bottom w:val="nil"/>
              <w:right w:val="single" w:sz="8" w:space="0" w:color="auto"/>
            </w:tcBorders>
            <w:shd w:val="clear" w:color="auto" w:fill="auto"/>
            <w:noWrap/>
            <w:vAlign w:val="bottom"/>
            <w:hideMark/>
          </w:tcPr>
          <w:p w14:paraId="497C530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434.6</w:t>
            </w:r>
          </w:p>
        </w:tc>
        <w:tc>
          <w:tcPr>
            <w:tcW w:w="784" w:type="dxa"/>
            <w:tcBorders>
              <w:top w:val="nil"/>
              <w:left w:val="nil"/>
              <w:bottom w:val="nil"/>
              <w:right w:val="nil"/>
            </w:tcBorders>
            <w:shd w:val="clear" w:color="auto" w:fill="auto"/>
            <w:noWrap/>
            <w:vAlign w:val="bottom"/>
            <w:hideMark/>
          </w:tcPr>
          <w:p w14:paraId="418B54B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412.7</w:t>
            </w:r>
          </w:p>
        </w:tc>
        <w:tc>
          <w:tcPr>
            <w:tcW w:w="784" w:type="dxa"/>
            <w:tcBorders>
              <w:top w:val="nil"/>
              <w:left w:val="single" w:sz="8" w:space="0" w:color="auto"/>
              <w:bottom w:val="nil"/>
              <w:right w:val="single" w:sz="8" w:space="0" w:color="auto"/>
            </w:tcBorders>
            <w:shd w:val="clear" w:color="auto" w:fill="auto"/>
            <w:noWrap/>
            <w:vAlign w:val="bottom"/>
            <w:hideMark/>
          </w:tcPr>
          <w:p w14:paraId="193EE54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412.7</w:t>
            </w:r>
          </w:p>
        </w:tc>
        <w:tc>
          <w:tcPr>
            <w:tcW w:w="784" w:type="dxa"/>
            <w:tcBorders>
              <w:top w:val="nil"/>
              <w:left w:val="nil"/>
              <w:bottom w:val="nil"/>
              <w:right w:val="nil"/>
            </w:tcBorders>
            <w:shd w:val="clear" w:color="auto" w:fill="auto"/>
            <w:noWrap/>
            <w:vAlign w:val="bottom"/>
            <w:hideMark/>
          </w:tcPr>
          <w:p w14:paraId="1CED952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400.5</w:t>
            </w:r>
          </w:p>
        </w:tc>
        <w:tc>
          <w:tcPr>
            <w:tcW w:w="784" w:type="dxa"/>
            <w:tcBorders>
              <w:top w:val="nil"/>
              <w:left w:val="single" w:sz="8" w:space="0" w:color="auto"/>
              <w:bottom w:val="nil"/>
              <w:right w:val="single" w:sz="8" w:space="0" w:color="auto"/>
            </w:tcBorders>
            <w:shd w:val="clear" w:color="auto" w:fill="auto"/>
            <w:noWrap/>
            <w:vAlign w:val="bottom"/>
            <w:hideMark/>
          </w:tcPr>
          <w:p w14:paraId="617ED46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392.1</w:t>
            </w:r>
          </w:p>
        </w:tc>
        <w:tc>
          <w:tcPr>
            <w:tcW w:w="784" w:type="dxa"/>
            <w:tcBorders>
              <w:top w:val="nil"/>
              <w:left w:val="nil"/>
              <w:bottom w:val="nil"/>
              <w:right w:val="nil"/>
            </w:tcBorders>
            <w:shd w:val="clear" w:color="auto" w:fill="auto"/>
            <w:noWrap/>
            <w:vAlign w:val="bottom"/>
            <w:hideMark/>
          </w:tcPr>
          <w:p w14:paraId="59A73CD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450.3</w:t>
            </w:r>
          </w:p>
        </w:tc>
        <w:tc>
          <w:tcPr>
            <w:tcW w:w="784" w:type="dxa"/>
            <w:tcBorders>
              <w:top w:val="nil"/>
              <w:left w:val="single" w:sz="8" w:space="0" w:color="auto"/>
              <w:bottom w:val="nil"/>
              <w:right w:val="single" w:sz="8" w:space="0" w:color="auto"/>
            </w:tcBorders>
            <w:shd w:val="clear" w:color="auto" w:fill="auto"/>
            <w:noWrap/>
            <w:vAlign w:val="bottom"/>
            <w:hideMark/>
          </w:tcPr>
          <w:p w14:paraId="7FD62AF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477.1</w:t>
            </w:r>
          </w:p>
        </w:tc>
        <w:tc>
          <w:tcPr>
            <w:tcW w:w="784" w:type="dxa"/>
            <w:tcBorders>
              <w:top w:val="nil"/>
              <w:left w:val="nil"/>
              <w:bottom w:val="nil"/>
              <w:right w:val="single" w:sz="8" w:space="0" w:color="auto"/>
            </w:tcBorders>
            <w:shd w:val="clear" w:color="auto" w:fill="auto"/>
            <w:noWrap/>
            <w:vAlign w:val="bottom"/>
            <w:hideMark/>
          </w:tcPr>
          <w:p w14:paraId="563B59A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469.7</w:t>
            </w:r>
          </w:p>
        </w:tc>
        <w:tc>
          <w:tcPr>
            <w:tcW w:w="784" w:type="dxa"/>
            <w:tcBorders>
              <w:top w:val="nil"/>
              <w:left w:val="nil"/>
              <w:bottom w:val="nil"/>
              <w:right w:val="single" w:sz="8" w:space="0" w:color="auto"/>
            </w:tcBorders>
            <w:shd w:val="clear" w:color="auto" w:fill="auto"/>
            <w:noWrap/>
            <w:vAlign w:val="bottom"/>
            <w:hideMark/>
          </w:tcPr>
          <w:p w14:paraId="3DEAB1A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429.2</w:t>
            </w:r>
          </w:p>
        </w:tc>
        <w:tc>
          <w:tcPr>
            <w:tcW w:w="784" w:type="dxa"/>
            <w:tcBorders>
              <w:top w:val="nil"/>
              <w:left w:val="nil"/>
              <w:bottom w:val="nil"/>
              <w:right w:val="single" w:sz="8" w:space="0" w:color="auto"/>
            </w:tcBorders>
            <w:shd w:val="clear" w:color="auto" w:fill="auto"/>
            <w:noWrap/>
            <w:vAlign w:val="bottom"/>
            <w:hideMark/>
          </w:tcPr>
          <w:p w14:paraId="6FAD718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445.8</w:t>
            </w:r>
          </w:p>
        </w:tc>
        <w:tc>
          <w:tcPr>
            <w:tcW w:w="784" w:type="dxa"/>
            <w:tcBorders>
              <w:top w:val="nil"/>
              <w:left w:val="nil"/>
              <w:bottom w:val="nil"/>
              <w:right w:val="single" w:sz="8" w:space="0" w:color="auto"/>
            </w:tcBorders>
            <w:shd w:val="clear" w:color="auto" w:fill="auto"/>
            <w:noWrap/>
            <w:vAlign w:val="bottom"/>
            <w:hideMark/>
          </w:tcPr>
          <w:p w14:paraId="6BE88A6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445.6</w:t>
            </w:r>
          </w:p>
        </w:tc>
      </w:tr>
      <w:tr w:rsidR="003656FA" w:rsidRPr="003656FA" w14:paraId="61474FB6"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5F5C8258"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Ireland</w:t>
            </w:r>
          </w:p>
        </w:tc>
        <w:tc>
          <w:tcPr>
            <w:tcW w:w="784" w:type="dxa"/>
            <w:tcBorders>
              <w:top w:val="nil"/>
              <w:left w:val="single" w:sz="8" w:space="0" w:color="auto"/>
              <w:bottom w:val="nil"/>
              <w:right w:val="single" w:sz="8" w:space="0" w:color="auto"/>
            </w:tcBorders>
            <w:shd w:val="clear" w:color="auto" w:fill="auto"/>
            <w:noWrap/>
            <w:vAlign w:val="bottom"/>
            <w:hideMark/>
          </w:tcPr>
          <w:p w14:paraId="7B0144C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272.3</w:t>
            </w:r>
          </w:p>
        </w:tc>
        <w:tc>
          <w:tcPr>
            <w:tcW w:w="784" w:type="dxa"/>
            <w:tcBorders>
              <w:top w:val="nil"/>
              <w:left w:val="nil"/>
              <w:bottom w:val="nil"/>
              <w:right w:val="nil"/>
            </w:tcBorders>
            <w:shd w:val="clear" w:color="auto" w:fill="auto"/>
            <w:noWrap/>
            <w:vAlign w:val="bottom"/>
            <w:hideMark/>
          </w:tcPr>
          <w:p w14:paraId="7AB88C3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274.1</w:t>
            </w:r>
          </w:p>
        </w:tc>
        <w:tc>
          <w:tcPr>
            <w:tcW w:w="784" w:type="dxa"/>
            <w:tcBorders>
              <w:top w:val="nil"/>
              <w:left w:val="single" w:sz="8" w:space="0" w:color="auto"/>
              <w:bottom w:val="nil"/>
              <w:right w:val="single" w:sz="8" w:space="0" w:color="auto"/>
            </w:tcBorders>
            <w:shd w:val="clear" w:color="auto" w:fill="auto"/>
            <w:noWrap/>
            <w:vAlign w:val="bottom"/>
            <w:hideMark/>
          </w:tcPr>
          <w:p w14:paraId="14E6FE0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285.4</w:t>
            </w:r>
          </w:p>
        </w:tc>
        <w:tc>
          <w:tcPr>
            <w:tcW w:w="784" w:type="dxa"/>
            <w:tcBorders>
              <w:top w:val="nil"/>
              <w:left w:val="nil"/>
              <w:bottom w:val="nil"/>
              <w:right w:val="nil"/>
            </w:tcBorders>
            <w:shd w:val="clear" w:color="auto" w:fill="auto"/>
            <w:noWrap/>
            <w:vAlign w:val="bottom"/>
            <w:hideMark/>
          </w:tcPr>
          <w:p w14:paraId="7CAD393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289.7</w:t>
            </w:r>
          </w:p>
        </w:tc>
        <w:tc>
          <w:tcPr>
            <w:tcW w:w="784" w:type="dxa"/>
            <w:tcBorders>
              <w:top w:val="nil"/>
              <w:left w:val="single" w:sz="8" w:space="0" w:color="auto"/>
              <w:bottom w:val="nil"/>
              <w:right w:val="single" w:sz="8" w:space="0" w:color="auto"/>
            </w:tcBorders>
            <w:shd w:val="clear" w:color="auto" w:fill="auto"/>
            <w:noWrap/>
            <w:vAlign w:val="bottom"/>
            <w:hideMark/>
          </w:tcPr>
          <w:p w14:paraId="1C792D4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281.9</w:t>
            </w:r>
          </w:p>
        </w:tc>
        <w:tc>
          <w:tcPr>
            <w:tcW w:w="784" w:type="dxa"/>
            <w:tcBorders>
              <w:top w:val="nil"/>
              <w:left w:val="nil"/>
              <w:bottom w:val="nil"/>
              <w:right w:val="nil"/>
            </w:tcBorders>
            <w:shd w:val="clear" w:color="auto" w:fill="auto"/>
            <w:noWrap/>
            <w:vAlign w:val="bottom"/>
            <w:hideMark/>
          </w:tcPr>
          <w:p w14:paraId="6FC9DFA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271.7</w:t>
            </w:r>
          </w:p>
        </w:tc>
        <w:tc>
          <w:tcPr>
            <w:tcW w:w="784" w:type="dxa"/>
            <w:tcBorders>
              <w:top w:val="nil"/>
              <w:left w:val="single" w:sz="8" w:space="0" w:color="auto"/>
              <w:bottom w:val="nil"/>
              <w:right w:val="single" w:sz="8" w:space="0" w:color="auto"/>
            </w:tcBorders>
            <w:shd w:val="clear" w:color="auto" w:fill="auto"/>
            <w:noWrap/>
            <w:vAlign w:val="bottom"/>
            <w:hideMark/>
          </w:tcPr>
          <w:p w14:paraId="2E9680C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282.8</w:t>
            </w:r>
          </w:p>
        </w:tc>
        <w:tc>
          <w:tcPr>
            <w:tcW w:w="784" w:type="dxa"/>
            <w:tcBorders>
              <w:top w:val="nil"/>
              <w:left w:val="nil"/>
              <w:bottom w:val="nil"/>
              <w:right w:val="single" w:sz="8" w:space="0" w:color="auto"/>
            </w:tcBorders>
            <w:shd w:val="clear" w:color="auto" w:fill="auto"/>
            <w:noWrap/>
            <w:vAlign w:val="bottom"/>
            <w:hideMark/>
          </w:tcPr>
          <w:p w14:paraId="5ED7549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271.6</w:t>
            </w:r>
          </w:p>
        </w:tc>
        <w:tc>
          <w:tcPr>
            <w:tcW w:w="784" w:type="dxa"/>
            <w:tcBorders>
              <w:top w:val="nil"/>
              <w:left w:val="nil"/>
              <w:bottom w:val="nil"/>
              <w:right w:val="single" w:sz="8" w:space="0" w:color="auto"/>
            </w:tcBorders>
            <w:shd w:val="clear" w:color="auto" w:fill="auto"/>
            <w:noWrap/>
            <w:vAlign w:val="bottom"/>
            <w:hideMark/>
          </w:tcPr>
          <w:p w14:paraId="05D5203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301.3</w:t>
            </w:r>
          </w:p>
        </w:tc>
        <w:tc>
          <w:tcPr>
            <w:tcW w:w="784" w:type="dxa"/>
            <w:tcBorders>
              <w:top w:val="nil"/>
              <w:left w:val="nil"/>
              <w:bottom w:val="nil"/>
              <w:right w:val="single" w:sz="8" w:space="0" w:color="auto"/>
            </w:tcBorders>
            <w:shd w:val="clear" w:color="auto" w:fill="auto"/>
            <w:noWrap/>
            <w:vAlign w:val="bottom"/>
            <w:hideMark/>
          </w:tcPr>
          <w:p w14:paraId="5C40AA8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324.2</w:t>
            </w:r>
          </w:p>
        </w:tc>
        <w:tc>
          <w:tcPr>
            <w:tcW w:w="784" w:type="dxa"/>
            <w:tcBorders>
              <w:top w:val="nil"/>
              <w:left w:val="nil"/>
              <w:bottom w:val="nil"/>
              <w:right w:val="single" w:sz="8" w:space="0" w:color="auto"/>
            </w:tcBorders>
            <w:shd w:val="clear" w:color="auto" w:fill="auto"/>
            <w:noWrap/>
            <w:vAlign w:val="bottom"/>
            <w:hideMark/>
          </w:tcPr>
          <w:p w14:paraId="37DAD5C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330.4</w:t>
            </w:r>
          </w:p>
        </w:tc>
      </w:tr>
      <w:tr w:rsidR="003656FA" w:rsidRPr="003656FA" w14:paraId="4D5F510A"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07C9E9F7"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Luxembourg</w:t>
            </w:r>
          </w:p>
        </w:tc>
        <w:tc>
          <w:tcPr>
            <w:tcW w:w="784" w:type="dxa"/>
            <w:tcBorders>
              <w:top w:val="nil"/>
              <w:left w:val="single" w:sz="8" w:space="0" w:color="auto"/>
              <w:bottom w:val="nil"/>
              <w:right w:val="single" w:sz="8" w:space="0" w:color="auto"/>
            </w:tcBorders>
            <w:shd w:val="clear" w:color="auto" w:fill="auto"/>
            <w:noWrap/>
            <w:vAlign w:val="bottom"/>
            <w:hideMark/>
          </w:tcPr>
          <w:p w14:paraId="68214AF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244.2</w:t>
            </w:r>
          </w:p>
        </w:tc>
        <w:tc>
          <w:tcPr>
            <w:tcW w:w="784" w:type="dxa"/>
            <w:tcBorders>
              <w:top w:val="nil"/>
              <w:left w:val="nil"/>
              <w:bottom w:val="nil"/>
              <w:right w:val="nil"/>
            </w:tcBorders>
            <w:shd w:val="clear" w:color="auto" w:fill="auto"/>
            <w:noWrap/>
            <w:vAlign w:val="bottom"/>
            <w:hideMark/>
          </w:tcPr>
          <w:p w14:paraId="60460CA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252.3</w:t>
            </w:r>
          </w:p>
        </w:tc>
        <w:tc>
          <w:tcPr>
            <w:tcW w:w="784" w:type="dxa"/>
            <w:tcBorders>
              <w:top w:val="nil"/>
              <w:left w:val="single" w:sz="8" w:space="0" w:color="auto"/>
              <w:bottom w:val="nil"/>
              <w:right w:val="single" w:sz="8" w:space="0" w:color="auto"/>
            </w:tcBorders>
            <w:shd w:val="clear" w:color="auto" w:fill="auto"/>
            <w:noWrap/>
            <w:vAlign w:val="bottom"/>
            <w:hideMark/>
          </w:tcPr>
          <w:p w14:paraId="7A60F0A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263</w:t>
            </w:r>
          </w:p>
        </w:tc>
        <w:tc>
          <w:tcPr>
            <w:tcW w:w="784" w:type="dxa"/>
            <w:tcBorders>
              <w:top w:val="nil"/>
              <w:left w:val="nil"/>
              <w:bottom w:val="nil"/>
              <w:right w:val="nil"/>
            </w:tcBorders>
            <w:shd w:val="clear" w:color="auto" w:fill="auto"/>
            <w:noWrap/>
            <w:vAlign w:val="bottom"/>
            <w:hideMark/>
          </w:tcPr>
          <w:p w14:paraId="73FC61F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261.9</w:t>
            </w:r>
          </w:p>
        </w:tc>
        <w:tc>
          <w:tcPr>
            <w:tcW w:w="784" w:type="dxa"/>
            <w:tcBorders>
              <w:top w:val="nil"/>
              <w:left w:val="single" w:sz="8" w:space="0" w:color="auto"/>
              <w:bottom w:val="nil"/>
              <w:right w:val="single" w:sz="8" w:space="0" w:color="auto"/>
            </w:tcBorders>
            <w:shd w:val="clear" w:color="auto" w:fill="auto"/>
            <w:noWrap/>
            <w:vAlign w:val="bottom"/>
            <w:hideMark/>
          </w:tcPr>
          <w:p w14:paraId="34486A4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254.6</w:t>
            </w:r>
          </w:p>
        </w:tc>
        <w:tc>
          <w:tcPr>
            <w:tcW w:w="784" w:type="dxa"/>
            <w:tcBorders>
              <w:top w:val="nil"/>
              <w:left w:val="nil"/>
              <w:bottom w:val="nil"/>
              <w:right w:val="nil"/>
            </w:tcBorders>
            <w:shd w:val="clear" w:color="auto" w:fill="auto"/>
            <w:noWrap/>
            <w:vAlign w:val="bottom"/>
            <w:hideMark/>
          </w:tcPr>
          <w:p w14:paraId="5920E16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255.2</w:t>
            </w:r>
          </w:p>
        </w:tc>
        <w:tc>
          <w:tcPr>
            <w:tcW w:w="784" w:type="dxa"/>
            <w:tcBorders>
              <w:top w:val="nil"/>
              <w:left w:val="single" w:sz="8" w:space="0" w:color="auto"/>
              <w:bottom w:val="nil"/>
              <w:right w:val="single" w:sz="8" w:space="0" w:color="auto"/>
            </w:tcBorders>
            <w:shd w:val="clear" w:color="auto" w:fill="auto"/>
            <w:noWrap/>
            <w:vAlign w:val="bottom"/>
            <w:hideMark/>
          </w:tcPr>
          <w:p w14:paraId="5D74298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260.8</w:t>
            </w:r>
          </w:p>
        </w:tc>
        <w:tc>
          <w:tcPr>
            <w:tcW w:w="784" w:type="dxa"/>
            <w:tcBorders>
              <w:top w:val="nil"/>
              <w:left w:val="nil"/>
              <w:bottom w:val="nil"/>
              <w:right w:val="single" w:sz="8" w:space="0" w:color="auto"/>
            </w:tcBorders>
            <w:shd w:val="clear" w:color="auto" w:fill="auto"/>
            <w:noWrap/>
            <w:vAlign w:val="bottom"/>
            <w:hideMark/>
          </w:tcPr>
          <w:p w14:paraId="4C6AC6B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246.1</w:t>
            </w:r>
          </w:p>
        </w:tc>
        <w:tc>
          <w:tcPr>
            <w:tcW w:w="784" w:type="dxa"/>
            <w:tcBorders>
              <w:top w:val="nil"/>
              <w:left w:val="nil"/>
              <w:bottom w:val="nil"/>
              <w:right w:val="single" w:sz="8" w:space="0" w:color="auto"/>
            </w:tcBorders>
            <w:shd w:val="clear" w:color="auto" w:fill="auto"/>
            <w:noWrap/>
            <w:vAlign w:val="bottom"/>
            <w:hideMark/>
          </w:tcPr>
          <w:p w14:paraId="3757033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265.5</w:t>
            </w:r>
          </w:p>
        </w:tc>
        <w:tc>
          <w:tcPr>
            <w:tcW w:w="784" w:type="dxa"/>
            <w:tcBorders>
              <w:top w:val="nil"/>
              <w:left w:val="nil"/>
              <w:bottom w:val="nil"/>
              <w:right w:val="single" w:sz="8" w:space="0" w:color="auto"/>
            </w:tcBorders>
            <w:shd w:val="clear" w:color="auto" w:fill="auto"/>
            <w:noWrap/>
            <w:vAlign w:val="bottom"/>
            <w:hideMark/>
          </w:tcPr>
          <w:p w14:paraId="20227A6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262.7</w:t>
            </w:r>
          </w:p>
        </w:tc>
        <w:tc>
          <w:tcPr>
            <w:tcW w:w="784" w:type="dxa"/>
            <w:tcBorders>
              <w:top w:val="nil"/>
              <w:left w:val="nil"/>
              <w:bottom w:val="nil"/>
              <w:right w:val="single" w:sz="8" w:space="0" w:color="auto"/>
            </w:tcBorders>
            <w:shd w:val="clear" w:color="auto" w:fill="auto"/>
            <w:noWrap/>
            <w:vAlign w:val="bottom"/>
            <w:hideMark/>
          </w:tcPr>
          <w:p w14:paraId="65BE376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267.6</w:t>
            </w:r>
          </w:p>
        </w:tc>
      </w:tr>
      <w:tr w:rsidR="003656FA" w:rsidRPr="003656FA" w14:paraId="5C42ED45"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5CB4CD70"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Hong Kong</w:t>
            </w:r>
          </w:p>
        </w:tc>
        <w:tc>
          <w:tcPr>
            <w:tcW w:w="784" w:type="dxa"/>
            <w:tcBorders>
              <w:top w:val="nil"/>
              <w:left w:val="single" w:sz="8" w:space="0" w:color="auto"/>
              <w:bottom w:val="nil"/>
              <w:right w:val="single" w:sz="8" w:space="0" w:color="auto"/>
            </w:tcBorders>
            <w:shd w:val="clear" w:color="auto" w:fill="auto"/>
            <w:noWrap/>
            <w:vAlign w:val="bottom"/>
            <w:hideMark/>
          </w:tcPr>
          <w:p w14:paraId="1F3A359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252.2</w:t>
            </w:r>
          </w:p>
        </w:tc>
        <w:tc>
          <w:tcPr>
            <w:tcW w:w="784" w:type="dxa"/>
            <w:tcBorders>
              <w:top w:val="nil"/>
              <w:left w:val="nil"/>
              <w:bottom w:val="nil"/>
              <w:right w:val="nil"/>
            </w:tcBorders>
            <w:shd w:val="clear" w:color="auto" w:fill="auto"/>
            <w:noWrap/>
            <w:vAlign w:val="bottom"/>
            <w:hideMark/>
          </w:tcPr>
          <w:p w14:paraId="17272EB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242.5</w:t>
            </w:r>
          </w:p>
        </w:tc>
        <w:tc>
          <w:tcPr>
            <w:tcW w:w="784" w:type="dxa"/>
            <w:tcBorders>
              <w:top w:val="nil"/>
              <w:left w:val="single" w:sz="8" w:space="0" w:color="auto"/>
              <w:bottom w:val="nil"/>
              <w:right w:val="single" w:sz="8" w:space="0" w:color="auto"/>
            </w:tcBorders>
            <w:shd w:val="clear" w:color="auto" w:fill="auto"/>
            <w:noWrap/>
            <w:vAlign w:val="bottom"/>
            <w:hideMark/>
          </w:tcPr>
          <w:p w14:paraId="5537C6D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243.6</w:t>
            </w:r>
          </w:p>
        </w:tc>
        <w:tc>
          <w:tcPr>
            <w:tcW w:w="784" w:type="dxa"/>
            <w:tcBorders>
              <w:top w:val="nil"/>
              <w:left w:val="nil"/>
              <w:bottom w:val="nil"/>
              <w:right w:val="nil"/>
            </w:tcBorders>
            <w:shd w:val="clear" w:color="auto" w:fill="auto"/>
            <w:noWrap/>
            <w:vAlign w:val="bottom"/>
            <w:hideMark/>
          </w:tcPr>
          <w:p w14:paraId="57D343C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249.7</w:t>
            </w:r>
          </w:p>
        </w:tc>
        <w:tc>
          <w:tcPr>
            <w:tcW w:w="784" w:type="dxa"/>
            <w:tcBorders>
              <w:top w:val="nil"/>
              <w:left w:val="single" w:sz="8" w:space="0" w:color="auto"/>
              <w:bottom w:val="nil"/>
              <w:right w:val="single" w:sz="8" w:space="0" w:color="auto"/>
            </w:tcBorders>
            <w:shd w:val="clear" w:color="auto" w:fill="auto"/>
            <w:noWrap/>
            <w:vAlign w:val="bottom"/>
            <w:hideMark/>
          </w:tcPr>
          <w:p w14:paraId="5EDCDD5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249.7</w:t>
            </w:r>
          </w:p>
        </w:tc>
        <w:tc>
          <w:tcPr>
            <w:tcW w:w="784" w:type="dxa"/>
            <w:tcBorders>
              <w:top w:val="nil"/>
              <w:left w:val="nil"/>
              <w:bottom w:val="nil"/>
              <w:right w:val="nil"/>
            </w:tcBorders>
            <w:shd w:val="clear" w:color="auto" w:fill="auto"/>
            <w:noWrap/>
            <w:vAlign w:val="bottom"/>
            <w:hideMark/>
          </w:tcPr>
          <w:p w14:paraId="5A23886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253</w:t>
            </w:r>
          </w:p>
        </w:tc>
        <w:tc>
          <w:tcPr>
            <w:tcW w:w="784" w:type="dxa"/>
            <w:tcBorders>
              <w:top w:val="nil"/>
              <w:left w:val="single" w:sz="8" w:space="0" w:color="auto"/>
              <w:bottom w:val="nil"/>
              <w:right w:val="single" w:sz="8" w:space="0" w:color="auto"/>
            </w:tcBorders>
            <w:shd w:val="clear" w:color="auto" w:fill="auto"/>
            <w:noWrap/>
            <w:vAlign w:val="bottom"/>
            <w:hideMark/>
          </w:tcPr>
          <w:p w14:paraId="20359E2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268.4</w:t>
            </w:r>
          </w:p>
        </w:tc>
        <w:tc>
          <w:tcPr>
            <w:tcW w:w="784" w:type="dxa"/>
            <w:tcBorders>
              <w:top w:val="nil"/>
              <w:left w:val="nil"/>
              <w:bottom w:val="nil"/>
              <w:right w:val="single" w:sz="8" w:space="0" w:color="auto"/>
            </w:tcBorders>
            <w:shd w:val="clear" w:color="auto" w:fill="auto"/>
            <w:noWrap/>
            <w:vAlign w:val="bottom"/>
            <w:hideMark/>
          </w:tcPr>
          <w:p w14:paraId="440229B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256</w:t>
            </w:r>
          </w:p>
        </w:tc>
        <w:tc>
          <w:tcPr>
            <w:tcW w:w="784" w:type="dxa"/>
            <w:tcBorders>
              <w:top w:val="nil"/>
              <w:left w:val="nil"/>
              <w:bottom w:val="nil"/>
              <w:right w:val="single" w:sz="8" w:space="0" w:color="auto"/>
            </w:tcBorders>
            <w:shd w:val="clear" w:color="auto" w:fill="auto"/>
            <w:noWrap/>
            <w:vAlign w:val="bottom"/>
            <w:hideMark/>
          </w:tcPr>
          <w:p w14:paraId="22075DF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259.4</w:t>
            </w:r>
          </w:p>
        </w:tc>
        <w:tc>
          <w:tcPr>
            <w:tcW w:w="784" w:type="dxa"/>
            <w:tcBorders>
              <w:top w:val="nil"/>
              <w:left w:val="nil"/>
              <w:bottom w:val="nil"/>
              <w:right w:val="single" w:sz="8" w:space="0" w:color="auto"/>
            </w:tcBorders>
            <w:shd w:val="clear" w:color="auto" w:fill="auto"/>
            <w:noWrap/>
            <w:vAlign w:val="bottom"/>
            <w:hideMark/>
          </w:tcPr>
          <w:p w14:paraId="0FACE30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269</w:t>
            </w:r>
          </w:p>
        </w:tc>
        <w:tc>
          <w:tcPr>
            <w:tcW w:w="784" w:type="dxa"/>
            <w:tcBorders>
              <w:top w:val="nil"/>
              <w:left w:val="nil"/>
              <w:bottom w:val="nil"/>
              <w:right w:val="single" w:sz="8" w:space="0" w:color="auto"/>
            </w:tcBorders>
            <w:shd w:val="clear" w:color="auto" w:fill="auto"/>
            <w:noWrap/>
            <w:vAlign w:val="bottom"/>
            <w:hideMark/>
          </w:tcPr>
          <w:p w14:paraId="768EB85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266.4</w:t>
            </w:r>
          </w:p>
        </w:tc>
      </w:tr>
      <w:tr w:rsidR="003656FA" w:rsidRPr="003656FA" w14:paraId="69D82C7B"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0E95601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Brazil</w:t>
            </w:r>
          </w:p>
        </w:tc>
        <w:tc>
          <w:tcPr>
            <w:tcW w:w="784" w:type="dxa"/>
            <w:tcBorders>
              <w:top w:val="nil"/>
              <w:left w:val="single" w:sz="8" w:space="0" w:color="auto"/>
              <w:bottom w:val="nil"/>
              <w:right w:val="single" w:sz="8" w:space="0" w:color="auto"/>
            </w:tcBorders>
            <w:shd w:val="clear" w:color="auto" w:fill="auto"/>
            <w:noWrap/>
            <w:vAlign w:val="bottom"/>
            <w:hideMark/>
          </w:tcPr>
          <w:p w14:paraId="1393F4A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313.4</w:t>
            </w:r>
          </w:p>
        </w:tc>
        <w:tc>
          <w:tcPr>
            <w:tcW w:w="784" w:type="dxa"/>
            <w:tcBorders>
              <w:top w:val="nil"/>
              <w:left w:val="nil"/>
              <w:bottom w:val="nil"/>
              <w:right w:val="nil"/>
            </w:tcBorders>
            <w:shd w:val="clear" w:color="auto" w:fill="auto"/>
            <w:noWrap/>
            <w:vAlign w:val="bottom"/>
            <w:hideMark/>
          </w:tcPr>
          <w:p w14:paraId="2E1E4BA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303</w:t>
            </w:r>
          </w:p>
        </w:tc>
        <w:tc>
          <w:tcPr>
            <w:tcW w:w="784" w:type="dxa"/>
            <w:tcBorders>
              <w:top w:val="nil"/>
              <w:left w:val="single" w:sz="8" w:space="0" w:color="auto"/>
              <w:bottom w:val="nil"/>
              <w:right w:val="single" w:sz="8" w:space="0" w:color="auto"/>
            </w:tcBorders>
            <w:shd w:val="clear" w:color="auto" w:fill="auto"/>
            <w:noWrap/>
            <w:vAlign w:val="bottom"/>
            <w:hideMark/>
          </w:tcPr>
          <w:p w14:paraId="5B49A92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298.5</w:t>
            </w:r>
          </w:p>
        </w:tc>
        <w:tc>
          <w:tcPr>
            <w:tcW w:w="784" w:type="dxa"/>
            <w:tcBorders>
              <w:top w:val="nil"/>
              <w:left w:val="nil"/>
              <w:bottom w:val="nil"/>
              <w:right w:val="nil"/>
            </w:tcBorders>
            <w:shd w:val="clear" w:color="auto" w:fill="auto"/>
            <w:noWrap/>
            <w:vAlign w:val="bottom"/>
            <w:hideMark/>
          </w:tcPr>
          <w:p w14:paraId="33EB025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293.3</w:t>
            </w:r>
          </w:p>
        </w:tc>
        <w:tc>
          <w:tcPr>
            <w:tcW w:w="784" w:type="dxa"/>
            <w:tcBorders>
              <w:top w:val="nil"/>
              <w:left w:val="single" w:sz="8" w:space="0" w:color="auto"/>
              <w:bottom w:val="nil"/>
              <w:right w:val="single" w:sz="8" w:space="0" w:color="auto"/>
            </w:tcBorders>
            <w:shd w:val="clear" w:color="auto" w:fill="auto"/>
            <w:noWrap/>
            <w:vAlign w:val="bottom"/>
            <w:hideMark/>
          </w:tcPr>
          <w:p w14:paraId="59C51D1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281.8</w:t>
            </w:r>
          </w:p>
        </w:tc>
        <w:tc>
          <w:tcPr>
            <w:tcW w:w="784" w:type="dxa"/>
            <w:tcBorders>
              <w:top w:val="nil"/>
              <w:left w:val="nil"/>
              <w:bottom w:val="nil"/>
              <w:right w:val="nil"/>
            </w:tcBorders>
            <w:shd w:val="clear" w:color="auto" w:fill="auto"/>
            <w:noWrap/>
            <w:vAlign w:val="bottom"/>
            <w:hideMark/>
          </w:tcPr>
          <w:p w14:paraId="79F9ED9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283.3</w:t>
            </w:r>
          </w:p>
        </w:tc>
        <w:tc>
          <w:tcPr>
            <w:tcW w:w="784" w:type="dxa"/>
            <w:tcBorders>
              <w:top w:val="nil"/>
              <w:left w:val="single" w:sz="8" w:space="0" w:color="auto"/>
              <w:bottom w:val="nil"/>
              <w:right w:val="single" w:sz="8" w:space="0" w:color="auto"/>
            </w:tcBorders>
            <w:shd w:val="clear" w:color="auto" w:fill="auto"/>
            <w:noWrap/>
            <w:vAlign w:val="bottom"/>
            <w:hideMark/>
          </w:tcPr>
          <w:p w14:paraId="041DC6A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285.9</w:t>
            </w:r>
          </w:p>
        </w:tc>
        <w:tc>
          <w:tcPr>
            <w:tcW w:w="784" w:type="dxa"/>
            <w:tcBorders>
              <w:top w:val="nil"/>
              <w:left w:val="nil"/>
              <w:bottom w:val="nil"/>
              <w:right w:val="single" w:sz="8" w:space="0" w:color="auto"/>
            </w:tcBorders>
            <w:shd w:val="clear" w:color="auto" w:fill="auto"/>
            <w:noWrap/>
            <w:vAlign w:val="bottom"/>
            <w:hideMark/>
          </w:tcPr>
          <w:p w14:paraId="055BB37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264.4</w:t>
            </w:r>
          </w:p>
        </w:tc>
        <w:tc>
          <w:tcPr>
            <w:tcW w:w="784" w:type="dxa"/>
            <w:tcBorders>
              <w:top w:val="nil"/>
              <w:left w:val="nil"/>
              <w:bottom w:val="nil"/>
              <w:right w:val="single" w:sz="8" w:space="0" w:color="auto"/>
            </w:tcBorders>
            <w:shd w:val="clear" w:color="auto" w:fill="auto"/>
            <w:noWrap/>
            <w:vAlign w:val="bottom"/>
            <w:hideMark/>
          </w:tcPr>
          <w:p w14:paraId="2A0197A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259.5</w:t>
            </w:r>
          </w:p>
        </w:tc>
        <w:tc>
          <w:tcPr>
            <w:tcW w:w="784" w:type="dxa"/>
            <w:tcBorders>
              <w:top w:val="nil"/>
              <w:left w:val="nil"/>
              <w:bottom w:val="nil"/>
              <w:right w:val="single" w:sz="8" w:space="0" w:color="auto"/>
            </w:tcBorders>
            <w:shd w:val="clear" w:color="auto" w:fill="auto"/>
            <w:noWrap/>
            <w:vAlign w:val="bottom"/>
            <w:hideMark/>
          </w:tcPr>
          <w:p w14:paraId="1A24BCD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264.4</w:t>
            </w:r>
          </w:p>
        </w:tc>
        <w:tc>
          <w:tcPr>
            <w:tcW w:w="784" w:type="dxa"/>
            <w:tcBorders>
              <w:top w:val="nil"/>
              <w:left w:val="nil"/>
              <w:bottom w:val="nil"/>
              <w:right w:val="single" w:sz="8" w:space="0" w:color="auto"/>
            </w:tcBorders>
            <w:shd w:val="clear" w:color="auto" w:fill="auto"/>
            <w:noWrap/>
            <w:vAlign w:val="bottom"/>
            <w:hideMark/>
          </w:tcPr>
          <w:p w14:paraId="0E6C3FC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264.1</w:t>
            </w:r>
          </w:p>
        </w:tc>
      </w:tr>
      <w:tr w:rsidR="003656FA" w:rsidRPr="003656FA" w14:paraId="6AF53853"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252F4D7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Switzerland</w:t>
            </w:r>
          </w:p>
        </w:tc>
        <w:tc>
          <w:tcPr>
            <w:tcW w:w="784" w:type="dxa"/>
            <w:tcBorders>
              <w:top w:val="nil"/>
              <w:left w:val="single" w:sz="8" w:space="0" w:color="auto"/>
              <w:bottom w:val="nil"/>
              <w:right w:val="single" w:sz="8" w:space="0" w:color="auto"/>
            </w:tcBorders>
            <w:shd w:val="clear" w:color="auto" w:fill="auto"/>
            <w:noWrap/>
            <w:vAlign w:val="bottom"/>
            <w:hideMark/>
          </w:tcPr>
          <w:p w14:paraId="22BAAAF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233</w:t>
            </w:r>
          </w:p>
        </w:tc>
        <w:tc>
          <w:tcPr>
            <w:tcW w:w="784" w:type="dxa"/>
            <w:tcBorders>
              <w:top w:val="nil"/>
              <w:left w:val="nil"/>
              <w:bottom w:val="nil"/>
              <w:right w:val="nil"/>
            </w:tcBorders>
            <w:shd w:val="clear" w:color="auto" w:fill="auto"/>
            <w:noWrap/>
            <w:vAlign w:val="bottom"/>
            <w:hideMark/>
          </w:tcPr>
          <w:p w14:paraId="6E3D811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231.1</w:t>
            </w:r>
          </w:p>
        </w:tc>
        <w:tc>
          <w:tcPr>
            <w:tcW w:w="784" w:type="dxa"/>
            <w:tcBorders>
              <w:top w:val="nil"/>
              <w:left w:val="single" w:sz="8" w:space="0" w:color="auto"/>
              <w:bottom w:val="nil"/>
              <w:right w:val="single" w:sz="8" w:space="0" w:color="auto"/>
            </w:tcBorders>
            <w:shd w:val="clear" w:color="auto" w:fill="auto"/>
            <w:noWrap/>
            <w:vAlign w:val="bottom"/>
            <w:hideMark/>
          </w:tcPr>
          <w:p w14:paraId="488D8A5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233.2</w:t>
            </w:r>
          </w:p>
        </w:tc>
        <w:tc>
          <w:tcPr>
            <w:tcW w:w="784" w:type="dxa"/>
            <w:tcBorders>
              <w:top w:val="nil"/>
              <w:left w:val="nil"/>
              <w:bottom w:val="nil"/>
              <w:right w:val="nil"/>
            </w:tcBorders>
            <w:shd w:val="clear" w:color="auto" w:fill="auto"/>
            <w:noWrap/>
            <w:vAlign w:val="bottom"/>
            <w:hideMark/>
          </w:tcPr>
          <w:p w14:paraId="7901471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233.4</w:t>
            </w:r>
          </w:p>
        </w:tc>
        <w:tc>
          <w:tcPr>
            <w:tcW w:w="784" w:type="dxa"/>
            <w:tcBorders>
              <w:top w:val="nil"/>
              <w:left w:val="single" w:sz="8" w:space="0" w:color="auto"/>
              <w:bottom w:val="nil"/>
              <w:right w:val="single" w:sz="8" w:space="0" w:color="auto"/>
            </w:tcBorders>
            <w:shd w:val="clear" w:color="auto" w:fill="auto"/>
            <w:noWrap/>
            <w:vAlign w:val="bottom"/>
            <w:hideMark/>
          </w:tcPr>
          <w:p w14:paraId="4110C6C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237.5</w:t>
            </w:r>
          </w:p>
        </w:tc>
        <w:tc>
          <w:tcPr>
            <w:tcW w:w="784" w:type="dxa"/>
            <w:tcBorders>
              <w:top w:val="nil"/>
              <w:left w:val="nil"/>
              <w:bottom w:val="nil"/>
              <w:right w:val="nil"/>
            </w:tcBorders>
            <w:shd w:val="clear" w:color="auto" w:fill="auto"/>
            <w:noWrap/>
            <w:vAlign w:val="bottom"/>
            <w:hideMark/>
          </w:tcPr>
          <w:p w14:paraId="3BA755C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238.1</w:t>
            </w:r>
          </w:p>
        </w:tc>
        <w:tc>
          <w:tcPr>
            <w:tcW w:w="784" w:type="dxa"/>
            <w:tcBorders>
              <w:top w:val="nil"/>
              <w:left w:val="single" w:sz="8" w:space="0" w:color="auto"/>
              <w:bottom w:val="nil"/>
              <w:right w:val="single" w:sz="8" w:space="0" w:color="auto"/>
            </w:tcBorders>
            <w:shd w:val="clear" w:color="auto" w:fill="auto"/>
            <w:noWrap/>
            <w:vAlign w:val="bottom"/>
            <w:hideMark/>
          </w:tcPr>
          <w:p w14:paraId="1D91983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243.7</w:t>
            </w:r>
          </w:p>
        </w:tc>
        <w:tc>
          <w:tcPr>
            <w:tcW w:w="784" w:type="dxa"/>
            <w:tcBorders>
              <w:top w:val="nil"/>
              <w:left w:val="nil"/>
              <w:bottom w:val="nil"/>
              <w:right w:val="single" w:sz="8" w:space="0" w:color="auto"/>
            </w:tcBorders>
            <w:shd w:val="clear" w:color="auto" w:fill="auto"/>
            <w:noWrap/>
            <w:vAlign w:val="bottom"/>
            <w:hideMark/>
          </w:tcPr>
          <w:p w14:paraId="758869C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244.6</w:t>
            </w:r>
          </w:p>
        </w:tc>
        <w:tc>
          <w:tcPr>
            <w:tcW w:w="784" w:type="dxa"/>
            <w:tcBorders>
              <w:top w:val="nil"/>
              <w:left w:val="nil"/>
              <w:bottom w:val="nil"/>
              <w:right w:val="single" w:sz="8" w:space="0" w:color="auto"/>
            </w:tcBorders>
            <w:shd w:val="clear" w:color="auto" w:fill="auto"/>
            <w:noWrap/>
            <w:vAlign w:val="bottom"/>
            <w:hideMark/>
          </w:tcPr>
          <w:p w14:paraId="0D4F49F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241.3</w:t>
            </w:r>
          </w:p>
        </w:tc>
        <w:tc>
          <w:tcPr>
            <w:tcW w:w="784" w:type="dxa"/>
            <w:tcBorders>
              <w:top w:val="nil"/>
              <w:left w:val="nil"/>
              <w:bottom w:val="nil"/>
              <w:right w:val="single" w:sz="8" w:space="0" w:color="auto"/>
            </w:tcBorders>
            <w:shd w:val="clear" w:color="auto" w:fill="auto"/>
            <w:noWrap/>
            <w:vAlign w:val="bottom"/>
            <w:hideMark/>
          </w:tcPr>
          <w:p w14:paraId="35D6666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243.1</w:t>
            </w:r>
          </w:p>
        </w:tc>
        <w:tc>
          <w:tcPr>
            <w:tcW w:w="784" w:type="dxa"/>
            <w:tcBorders>
              <w:top w:val="nil"/>
              <w:left w:val="nil"/>
              <w:bottom w:val="nil"/>
              <w:right w:val="single" w:sz="8" w:space="0" w:color="auto"/>
            </w:tcBorders>
            <w:shd w:val="clear" w:color="auto" w:fill="auto"/>
            <w:noWrap/>
            <w:vAlign w:val="bottom"/>
            <w:hideMark/>
          </w:tcPr>
          <w:p w14:paraId="7D240C3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247.4</w:t>
            </w:r>
          </w:p>
        </w:tc>
      </w:tr>
      <w:tr w:rsidR="003656FA" w:rsidRPr="003656FA" w14:paraId="59007627"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5C7EB7B8"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Cayman Islands</w:t>
            </w:r>
          </w:p>
        </w:tc>
        <w:tc>
          <w:tcPr>
            <w:tcW w:w="784" w:type="dxa"/>
            <w:tcBorders>
              <w:top w:val="nil"/>
              <w:left w:val="single" w:sz="8" w:space="0" w:color="auto"/>
              <w:bottom w:val="nil"/>
              <w:right w:val="single" w:sz="8" w:space="0" w:color="auto"/>
            </w:tcBorders>
            <w:shd w:val="clear" w:color="auto" w:fill="auto"/>
            <w:noWrap/>
            <w:vAlign w:val="bottom"/>
            <w:hideMark/>
          </w:tcPr>
          <w:p w14:paraId="045AF98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248.8</w:t>
            </w:r>
          </w:p>
        </w:tc>
        <w:tc>
          <w:tcPr>
            <w:tcW w:w="784" w:type="dxa"/>
            <w:tcBorders>
              <w:top w:val="nil"/>
              <w:left w:val="nil"/>
              <w:bottom w:val="nil"/>
              <w:right w:val="nil"/>
            </w:tcBorders>
            <w:shd w:val="clear" w:color="auto" w:fill="auto"/>
            <w:noWrap/>
            <w:vAlign w:val="bottom"/>
            <w:hideMark/>
          </w:tcPr>
          <w:p w14:paraId="3123177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250.9</w:t>
            </w:r>
          </w:p>
        </w:tc>
        <w:tc>
          <w:tcPr>
            <w:tcW w:w="784" w:type="dxa"/>
            <w:tcBorders>
              <w:top w:val="nil"/>
              <w:left w:val="single" w:sz="8" w:space="0" w:color="auto"/>
              <w:bottom w:val="nil"/>
              <w:right w:val="single" w:sz="8" w:space="0" w:color="auto"/>
            </w:tcBorders>
            <w:shd w:val="clear" w:color="auto" w:fill="auto"/>
            <w:noWrap/>
            <w:vAlign w:val="bottom"/>
            <w:hideMark/>
          </w:tcPr>
          <w:p w14:paraId="2A481A4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236.8</w:t>
            </w:r>
          </w:p>
        </w:tc>
        <w:tc>
          <w:tcPr>
            <w:tcW w:w="784" w:type="dxa"/>
            <w:tcBorders>
              <w:top w:val="nil"/>
              <w:left w:val="nil"/>
              <w:bottom w:val="nil"/>
              <w:right w:val="nil"/>
            </w:tcBorders>
            <w:shd w:val="clear" w:color="auto" w:fill="auto"/>
            <w:noWrap/>
            <w:vAlign w:val="bottom"/>
            <w:hideMark/>
          </w:tcPr>
          <w:p w14:paraId="2B240A4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234.2</w:t>
            </w:r>
          </w:p>
        </w:tc>
        <w:tc>
          <w:tcPr>
            <w:tcW w:w="784" w:type="dxa"/>
            <w:tcBorders>
              <w:top w:val="nil"/>
              <w:left w:val="single" w:sz="8" w:space="0" w:color="auto"/>
              <w:bottom w:val="nil"/>
              <w:right w:val="single" w:sz="8" w:space="0" w:color="auto"/>
            </w:tcBorders>
            <w:shd w:val="clear" w:color="auto" w:fill="auto"/>
            <w:noWrap/>
            <w:vAlign w:val="bottom"/>
            <w:hideMark/>
          </w:tcPr>
          <w:p w14:paraId="20AB176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238.2</w:t>
            </w:r>
          </w:p>
        </w:tc>
        <w:tc>
          <w:tcPr>
            <w:tcW w:w="784" w:type="dxa"/>
            <w:tcBorders>
              <w:top w:val="nil"/>
              <w:left w:val="nil"/>
              <w:bottom w:val="nil"/>
              <w:right w:val="nil"/>
            </w:tcBorders>
            <w:shd w:val="clear" w:color="auto" w:fill="auto"/>
            <w:noWrap/>
            <w:vAlign w:val="bottom"/>
            <w:hideMark/>
          </w:tcPr>
          <w:p w14:paraId="5EAD29B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225.1</w:t>
            </w:r>
          </w:p>
        </w:tc>
        <w:tc>
          <w:tcPr>
            <w:tcW w:w="784" w:type="dxa"/>
            <w:tcBorders>
              <w:top w:val="nil"/>
              <w:left w:val="single" w:sz="8" w:space="0" w:color="auto"/>
              <w:bottom w:val="nil"/>
              <w:right w:val="single" w:sz="8" w:space="0" w:color="auto"/>
            </w:tcBorders>
            <w:shd w:val="clear" w:color="auto" w:fill="auto"/>
            <w:noWrap/>
            <w:vAlign w:val="bottom"/>
            <w:hideMark/>
          </w:tcPr>
          <w:p w14:paraId="34277D1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228.2</w:t>
            </w:r>
          </w:p>
        </w:tc>
        <w:tc>
          <w:tcPr>
            <w:tcW w:w="784" w:type="dxa"/>
            <w:tcBorders>
              <w:top w:val="nil"/>
              <w:left w:val="nil"/>
              <w:bottom w:val="nil"/>
              <w:right w:val="single" w:sz="8" w:space="0" w:color="auto"/>
            </w:tcBorders>
            <w:shd w:val="clear" w:color="auto" w:fill="auto"/>
            <w:noWrap/>
            <w:vAlign w:val="bottom"/>
            <w:hideMark/>
          </w:tcPr>
          <w:p w14:paraId="69F6F37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209.4</w:t>
            </w:r>
          </w:p>
        </w:tc>
        <w:tc>
          <w:tcPr>
            <w:tcW w:w="784" w:type="dxa"/>
            <w:tcBorders>
              <w:top w:val="nil"/>
              <w:left w:val="nil"/>
              <w:bottom w:val="nil"/>
              <w:right w:val="single" w:sz="8" w:space="0" w:color="auto"/>
            </w:tcBorders>
            <w:shd w:val="clear" w:color="auto" w:fill="auto"/>
            <w:noWrap/>
            <w:vAlign w:val="bottom"/>
            <w:hideMark/>
          </w:tcPr>
          <w:p w14:paraId="41E6C55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213.1</w:t>
            </w:r>
          </w:p>
        </w:tc>
        <w:tc>
          <w:tcPr>
            <w:tcW w:w="784" w:type="dxa"/>
            <w:tcBorders>
              <w:top w:val="nil"/>
              <w:left w:val="nil"/>
              <w:bottom w:val="nil"/>
              <w:right w:val="single" w:sz="8" w:space="0" w:color="auto"/>
            </w:tcBorders>
            <w:shd w:val="clear" w:color="auto" w:fill="auto"/>
            <w:noWrap/>
            <w:vAlign w:val="bottom"/>
            <w:hideMark/>
          </w:tcPr>
          <w:p w14:paraId="4D2E764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216.7</w:t>
            </w:r>
          </w:p>
        </w:tc>
        <w:tc>
          <w:tcPr>
            <w:tcW w:w="784" w:type="dxa"/>
            <w:tcBorders>
              <w:top w:val="nil"/>
              <w:left w:val="nil"/>
              <w:bottom w:val="nil"/>
              <w:right w:val="single" w:sz="8" w:space="0" w:color="auto"/>
            </w:tcBorders>
            <w:shd w:val="clear" w:color="auto" w:fill="auto"/>
            <w:noWrap/>
            <w:vAlign w:val="bottom"/>
            <w:hideMark/>
          </w:tcPr>
          <w:p w14:paraId="0A7C2E1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222</w:t>
            </w:r>
          </w:p>
        </w:tc>
      </w:tr>
      <w:tr w:rsidR="003656FA" w:rsidRPr="003656FA" w14:paraId="6F9E0DAF"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01C19B8D"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Belgium</w:t>
            </w:r>
          </w:p>
        </w:tc>
        <w:tc>
          <w:tcPr>
            <w:tcW w:w="784" w:type="dxa"/>
            <w:tcBorders>
              <w:top w:val="nil"/>
              <w:left w:val="single" w:sz="8" w:space="0" w:color="auto"/>
              <w:bottom w:val="nil"/>
              <w:right w:val="single" w:sz="8" w:space="0" w:color="auto"/>
            </w:tcBorders>
            <w:shd w:val="clear" w:color="auto" w:fill="auto"/>
            <w:noWrap/>
            <w:vAlign w:val="bottom"/>
            <w:hideMark/>
          </w:tcPr>
          <w:p w14:paraId="7B791A7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215</w:t>
            </w:r>
          </w:p>
        </w:tc>
        <w:tc>
          <w:tcPr>
            <w:tcW w:w="784" w:type="dxa"/>
            <w:tcBorders>
              <w:top w:val="nil"/>
              <w:left w:val="nil"/>
              <w:bottom w:val="nil"/>
              <w:right w:val="nil"/>
            </w:tcBorders>
            <w:shd w:val="clear" w:color="auto" w:fill="auto"/>
            <w:noWrap/>
            <w:vAlign w:val="bottom"/>
            <w:hideMark/>
          </w:tcPr>
          <w:p w14:paraId="6FF9CB9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215.5</w:t>
            </w:r>
          </w:p>
        </w:tc>
        <w:tc>
          <w:tcPr>
            <w:tcW w:w="784" w:type="dxa"/>
            <w:tcBorders>
              <w:top w:val="nil"/>
              <w:left w:val="single" w:sz="8" w:space="0" w:color="auto"/>
              <w:bottom w:val="nil"/>
              <w:right w:val="single" w:sz="8" w:space="0" w:color="auto"/>
            </w:tcBorders>
            <w:shd w:val="clear" w:color="auto" w:fill="auto"/>
            <w:noWrap/>
            <w:vAlign w:val="bottom"/>
            <w:hideMark/>
          </w:tcPr>
          <w:p w14:paraId="5D04F1D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205.6</w:t>
            </w:r>
          </w:p>
        </w:tc>
        <w:tc>
          <w:tcPr>
            <w:tcW w:w="784" w:type="dxa"/>
            <w:tcBorders>
              <w:top w:val="nil"/>
              <w:left w:val="nil"/>
              <w:bottom w:val="nil"/>
              <w:right w:val="nil"/>
            </w:tcBorders>
            <w:shd w:val="clear" w:color="auto" w:fill="auto"/>
            <w:noWrap/>
            <w:vAlign w:val="bottom"/>
            <w:hideMark/>
          </w:tcPr>
          <w:p w14:paraId="21BFB58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202.4</w:t>
            </w:r>
          </w:p>
        </w:tc>
        <w:tc>
          <w:tcPr>
            <w:tcW w:w="784" w:type="dxa"/>
            <w:tcBorders>
              <w:top w:val="nil"/>
              <w:left w:val="single" w:sz="8" w:space="0" w:color="auto"/>
              <w:bottom w:val="nil"/>
              <w:right w:val="single" w:sz="8" w:space="0" w:color="auto"/>
            </w:tcBorders>
            <w:shd w:val="clear" w:color="auto" w:fill="auto"/>
            <w:noWrap/>
            <w:vAlign w:val="bottom"/>
            <w:hideMark/>
          </w:tcPr>
          <w:p w14:paraId="52A3DAC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207.4</w:t>
            </w:r>
          </w:p>
        </w:tc>
        <w:tc>
          <w:tcPr>
            <w:tcW w:w="784" w:type="dxa"/>
            <w:tcBorders>
              <w:top w:val="nil"/>
              <w:left w:val="nil"/>
              <w:bottom w:val="nil"/>
              <w:right w:val="nil"/>
            </w:tcBorders>
            <w:shd w:val="clear" w:color="auto" w:fill="auto"/>
            <w:noWrap/>
            <w:vAlign w:val="bottom"/>
            <w:hideMark/>
          </w:tcPr>
          <w:p w14:paraId="730BE85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206.5</w:t>
            </w:r>
          </w:p>
        </w:tc>
        <w:tc>
          <w:tcPr>
            <w:tcW w:w="784" w:type="dxa"/>
            <w:tcBorders>
              <w:top w:val="nil"/>
              <w:left w:val="single" w:sz="8" w:space="0" w:color="auto"/>
              <w:bottom w:val="nil"/>
              <w:right w:val="single" w:sz="8" w:space="0" w:color="auto"/>
            </w:tcBorders>
            <w:shd w:val="clear" w:color="auto" w:fill="auto"/>
            <w:noWrap/>
            <w:vAlign w:val="bottom"/>
            <w:hideMark/>
          </w:tcPr>
          <w:p w14:paraId="2ADE383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218</w:t>
            </w:r>
          </w:p>
        </w:tc>
        <w:tc>
          <w:tcPr>
            <w:tcW w:w="784" w:type="dxa"/>
            <w:tcBorders>
              <w:top w:val="nil"/>
              <w:left w:val="nil"/>
              <w:bottom w:val="nil"/>
              <w:right w:val="single" w:sz="8" w:space="0" w:color="auto"/>
            </w:tcBorders>
            <w:shd w:val="clear" w:color="auto" w:fill="auto"/>
            <w:noWrap/>
            <w:vAlign w:val="bottom"/>
            <w:hideMark/>
          </w:tcPr>
          <w:p w14:paraId="2A1F565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206.1</w:t>
            </w:r>
          </w:p>
        </w:tc>
        <w:tc>
          <w:tcPr>
            <w:tcW w:w="784" w:type="dxa"/>
            <w:tcBorders>
              <w:top w:val="nil"/>
              <w:left w:val="nil"/>
              <w:bottom w:val="nil"/>
              <w:right w:val="single" w:sz="8" w:space="0" w:color="auto"/>
            </w:tcBorders>
            <w:shd w:val="clear" w:color="auto" w:fill="auto"/>
            <w:noWrap/>
            <w:vAlign w:val="bottom"/>
            <w:hideMark/>
          </w:tcPr>
          <w:p w14:paraId="0F4048E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210.2</w:t>
            </w:r>
          </w:p>
        </w:tc>
        <w:tc>
          <w:tcPr>
            <w:tcW w:w="784" w:type="dxa"/>
            <w:tcBorders>
              <w:top w:val="nil"/>
              <w:left w:val="nil"/>
              <w:bottom w:val="nil"/>
              <w:right w:val="single" w:sz="8" w:space="0" w:color="auto"/>
            </w:tcBorders>
            <w:shd w:val="clear" w:color="auto" w:fill="auto"/>
            <w:noWrap/>
            <w:vAlign w:val="bottom"/>
            <w:hideMark/>
          </w:tcPr>
          <w:p w14:paraId="303ABFE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212.1</w:t>
            </w:r>
          </w:p>
        </w:tc>
        <w:tc>
          <w:tcPr>
            <w:tcW w:w="784" w:type="dxa"/>
            <w:tcBorders>
              <w:top w:val="nil"/>
              <w:left w:val="nil"/>
              <w:bottom w:val="nil"/>
              <w:right w:val="single" w:sz="8" w:space="0" w:color="auto"/>
            </w:tcBorders>
            <w:shd w:val="clear" w:color="auto" w:fill="auto"/>
            <w:noWrap/>
            <w:vAlign w:val="bottom"/>
            <w:hideMark/>
          </w:tcPr>
          <w:p w14:paraId="58E1F5C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218.7</w:t>
            </w:r>
          </w:p>
        </w:tc>
      </w:tr>
      <w:tr w:rsidR="003656FA" w:rsidRPr="003656FA" w14:paraId="5186E905"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1D7FD63B"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Taiwan</w:t>
            </w:r>
          </w:p>
        </w:tc>
        <w:tc>
          <w:tcPr>
            <w:tcW w:w="784" w:type="dxa"/>
            <w:tcBorders>
              <w:top w:val="nil"/>
              <w:left w:val="single" w:sz="8" w:space="0" w:color="auto"/>
              <w:bottom w:val="nil"/>
              <w:right w:val="single" w:sz="8" w:space="0" w:color="auto"/>
            </w:tcBorders>
            <w:shd w:val="clear" w:color="auto" w:fill="auto"/>
            <w:noWrap/>
            <w:vAlign w:val="bottom"/>
            <w:hideMark/>
          </w:tcPr>
          <w:p w14:paraId="4C4A5F6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185.9</w:t>
            </w:r>
          </w:p>
        </w:tc>
        <w:tc>
          <w:tcPr>
            <w:tcW w:w="784" w:type="dxa"/>
            <w:tcBorders>
              <w:top w:val="nil"/>
              <w:left w:val="nil"/>
              <w:bottom w:val="nil"/>
              <w:right w:val="nil"/>
            </w:tcBorders>
            <w:shd w:val="clear" w:color="auto" w:fill="auto"/>
            <w:noWrap/>
            <w:vAlign w:val="bottom"/>
            <w:hideMark/>
          </w:tcPr>
          <w:p w14:paraId="5C3A3D8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189</w:t>
            </w:r>
          </w:p>
        </w:tc>
        <w:tc>
          <w:tcPr>
            <w:tcW w:w="784" w:type="dxa"/>
            <w:tcBorders>
              <w:top w:val="nil"/>
              <w:left w:val="single" w:sz="8" w:space="0" w:color="auto"/>
              <w:bottom w:val="nil"/>
              <w:right w:val="single" w:sz="8" w:space="0" w:color="auto"/>
            </w:tcBorders>
            <w:shd w:val="clear" w:color="auto" w:fill="auto"/>
            <w:noWrap/>
            <w:vAlign w:val="bottom"/>
            <w:hideMark/>
          </w:tcPr>
          <w:p w14:paraId="4156E80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191.2</w:t>
            </w:r>
          </w:p>
        </w:tc>
        <w:tc>
          <w:tcPr>
            <w:tcW w:w="784" w:type="dxa"/>
            <w:tcBorders>
              <w:top w:val="nil"/>
              <w:left w:val="nil"/>
              <w:bottom w:val="nil"/>
              <w:right w:val="nil"/>
            </w:tcBorders>
            <w:shd w:val="clear" w:color="auto" w:fill="auto"/>
            <w:noWrap/>
            <w:vAlign w:val="bottom"/>
            <w:hideMark/>
          </w:tcPr>
          <w:p w14:paraId="3E0FACF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188.6</w:t>
            </w:r>
          </w:p>
        </w:tc>
        <w:tc>
          <w:tcPr>
            <w:tcW w:w="784" w:type="dxa"/>
            <w:tcBorders>
              <w:top w:val="nil"/>
              <w:left w:val="single" w:sz="8" w:space="0" w:color="auto"/>
              <w:bottom w:val="nil"/>
              <w:right w:val="single" w:sz="8" w:space="0" w:color="auto"/>
            </w:tcBorders>
            <w:shd w:val="clear" w:color="auto" w:fill="auto"/>
            <w:noWrap/>
            <w:vAlign w:val="bottom"/>
            <w:hideMark/>
          </w:tcPr>
          <w:p w14:paraId="7A6BF69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193.1</w:t>
            </w:r>
          </w:p>
        </w:tc>
        <w:tc>
          <w:tcPr>
            <w:tcW w:w="784" w:type="dxa"/>
            <w:tcBorders>
              <w:top w:val="nil"/>
              <w:left w:val="nil"/>
              <w:bottom w:val="nil"/>
              <w:right w:val="nil"/>
            </w:tcBorders>
            <w:shd w:val="clear" w:color="auto" w:fill="auto"/>
            <w:noWrap/>
            <w:vAlign w:val="bottom"/>
            <w:hideMark/>
          </w:tcPr>
          <w:p w14:paraId="1AE0F8A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199.2</w:t>
            </w:r>
          </w:p>
        </w:tc>
        <w:tc>
          <w:tcPr>
            <w:tcW w:w="784" w:type="dxa"/>
            <w:tcBorders>
              <w:top w:val="nil"/>
              <w:left w:val="single" w:sz="8" w:space="0" w:color="auto"/>
              <w:bottom w:val="nil"/>
              <w:right w:val="single" w:sz="8" w:space="0" w:color="auto"/>
            </w:tcBorders>
            <w:shd w:val="clear" w:color="auto" w:fill="auto"/>
            <w:noWrap/>
            <w:vAlign w:val="bottom"/>
            <w:hideMark/>
          </w:tcPr>
          <w:p w14:paraId="43AFA57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201.9</w:t>
            </w:r>
          </w:p>
        </w:tc>
        <w:tc>
          <w:tcPr>
            <w:tcW w:w="784" w:type="dxa"/>
            <w:tcBorders>
              <w:top w:val="nil"/>
              <w:left w:val="nil"/>
              <w:bottom w:val="nil"/>
              <w:right w:val="single" w:sz="8" w:space="0" w:color="auto"/>
            </w:tcBorders>
            <w:shd w:val="clear" w:color="auto" w:fill="auto"/>
            <w:noWrap/>
            <w:vAlign w:val="bottom"/>
            <w:hideMark/>
          </w:tcPr>
          <w:p w14:paraId="446C743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205</w:t>
            </w:r>
          </w:p>
        </w:tc>
        <w:tc>
          <w:tcPr>
            <w:tcW w:w="784" w:type="dxa"/>
            <w:tcBorders>
              <w:top w:val="nil"/>
              <w:left w:val="nil"/>
              <w:bottom w:val="nil"/>
              <w:right w:val="single" w:sz="8" w:space="0" w:color="auto"/>
            </w:tcBorders>
            <w:shd w:val="clear" w:color="auto" w:fill="auto"/>
            <w:noWrap/>
            <w:vAlign w:val="bottom"/>
            <w:hideMark/>
          </w:tcPr>
          <w:p w14:paraId="0FB2561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201.7</w:t>
            </w:r>
          </w:p>
        </w:tc>
        <w:tc>
          <w:tcPr>
            <w:tcW w:w="784" w:type="dxa"/>
            <w:tcBorders>
              <w:top w:val="nil"/>
              <w:left w:val="nil"/>
              <w:bottom w:val="nil"/>
              <w:right w:val="single" w:sz="8" w:space="0" w:color="auto"/>
            </w:tcBorders>
            <w:shd w:val="clear" w:color="auto" w:fill="auto"/>
            <w:noWrap/>
            <w:vAlign w:val="bottom"/>
            <w:hideMark/>
          </w:tcPr>
          <w:p w14:paraId="479D857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199.2</w:t>
            </w:r>
          </w:p>
        </w:tc>
        <w:tc>
          <w:tcPr>
            <w:tcW w:w="784" w:type="dxa"/>
            <w:tcBorders>
              <w:top w:val="nil"/>
              <w:left w:val="nil"/>
              <w:bottom w:val="nil"/>
              <w:right w:val="single" w:sz="8" w:space="0" w:color="auto"/>
            </w:tcBorders>
            <w:shd w:val="clear" w:color="auto" w:fill="auto"/>
            <w:noWrap/>
            <w:vAlign w:val="bottom"/>
            <w:hideMark/>
          </w:tcPr>
          <w:p w14:paraId="011659F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204.6</w:t>
            </w:r>
          </w:p>
        </w:tc>
      </w:tr>
      <w:tr w:rsidR="003656FA" w:rsidRPr="003656FA" w14:paraId="1902B8F1"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3FA641CE"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India</w:t>
            </w:r>
          </w:p>
        </w:tc>
        <w:tc>
          <w:tcPr>
            <w:tcW w:w="784" w:type="dxa"/>
            <w:tcBorders>
              <w:top w:val="nil"/>
              <w:left w:val="single" w:sz="8" w:space="0" w:color="auto"/>
              <w:bottom w:val="nil"/>
              <w:right w:val="single" w:sz="8" w:space="0" w:color="auto"/>
            </w:tcBorders>
            <w:shd w:val="clear" w:color="auto" w:fill="auto"/>
            <w:noWrap/>
            <w:vAlign w:val="bottom"/>
            <w:hideMark/>
          </w:tcPr>
          <w:p w14:paraId="68374ABC"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162.2</w:t>
            </w:r>
          </w:p>
        </w:tc>
        <w:tc>
          <w:tcPr>
            <w:tcW w:w="784" w:type="dxa"/>
            <w:tcBorders>
              <w:top w:val="nil"/>
              <w:left w:val="nil"/>
              <w:bottom w:val="nil"/>
              <w:right w:val="nil"/>
            </w:tcBorders>
            <w:shd w:val="clear" w:color="auto" w:fill="auto"/>
            <w:noWrap/>
            <w:vAlign w:val="bottom"/>
            <w:hideMark/>
          </w:tcPr>
          <w:p w14:paraId="2C3AF267"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160.7</w:t>
            </w:r>
          </w:p>
        </w:tc>
        <w:tc>
          <w:tcPr>
            <w:tcW w:w="784" w:type="dxa"/>
            <w:tcBorders>
              <w:top w:val="nil"/>
              <w:left w:val="single" w:sz="8" w:space="0" w:color="auto"/>
              <w:bottom w:val="nil"/>
              <w:right w:val="single" w:sz="8" w:space="0" w:color="auto"/>
            </w:tcBorders>
            <w:shd w:val="clear" w:color="auto" w:fill="auto"/>
            <w:noWrap/>
            <w:vAlign w:val="bottom"/>
            <w:hideMark/>
          </w:tcPr>
          <w:p w14:paraId="6C7226AB"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161.4</w:t>
            </w:r>
          </w:p>
        </w:tc>
        <w:tc>
          <w:tcPr>
            <w:tcW w:w="784" w:type="dxa"/>
            <w:tcBorders>
              <w:top w:val="nil"/>
              <w:left w:val="nil"/>
              <w:bottom w:val="nil"/>
              <w:right w:val="nil"/>
            </w:tcBorders>
            <w:shd w:val="clear" w:color="auto" w:fill="auto"/>
            <w:noWrap/>
            <w:vAlign w:val="bottom"/>
            <w:hideMark/>
          </w:tcPr>
          <w:p w14:paraId="7242525F"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159.2</w:t>
            </w:r>
          </w:p>
        </w:tc>
        <w:tc>
          <w:tcPr>
            <w:tcW w:w="784" w:type="dxa"/>
            <w:tcBorders>
              <w:top w:val="nil"/>
              <w:left w:val="single" w:sz="8" w:space="0" w:color="auto"/>
              <w:bottom w:val="nil"/>
              <w:right w:val="single" w:sz="8" w:space="0" w:color="auto"/>
            </w:tcBorders>
            <w:shd w:val="clear" w:color="auto" w:fill="auto"/>
            <w:noWrap/>
            <w:vAlign w:val="bottom"/>
            <w:hideMark/>
          </w:tcPr>
          <w:p w14:paraId="755F0836"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162</w:t>
            </w:r>
          </w:p>
        </w:tc>
        <w:tc>
          <w:tcPr>
            <w:tcW w:w="784" w:type="dxa"/>
            <w:tcBorders>
              <w:top w:val="nil"/>
              <w:left w:val="nil"/>
              <w:bottom w:val="nil"/>
              <w:right w:val="nil"/>
            </w:tcBorders>
            <w:shd w:val="clear" w:color="auto" w:fill="auto"/>
            <w:noWrap/>
            <w:vAlign w:val="bottom"/>
            <w:hideMark/>
          </w:tcPr>
          <w:p w14:paraId="59CAE9A4"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164.3</w:t>
            </w:r>
          </w:p>
        </w:tc>
        <w:tc>
          <w:tcPr>
            <w:tcW w:w="784" w:type="dxa"/>
            <w:tcBorders>
              <w:top w:val="nil"/>
              <w:left w:val="single" w:sz="8" w:space="0" w:color="auto"/>
              <w:bottom w:val="nil"/>
              <w:right w:val="single" w:sz="8" w:space="0" w:color="auto"/>
            </w:tcBorders>
            <w:shd w:val="clear" w:color="auto" w:fill="auto"/>
            <w:noWrap/>
            <w:vAlign w:val="bottom"/>
            <w:hideMark/>
          </w:tcPr>
          <w:p w14:paraId="58721351"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177.5</w:t>
            </w:r>
          </w:p>
        </w:tc>
        <w:tc>
          <w:tcPr>
            <w:tcW w:w="784" w:type="dxa"/>
            <w:tcBorders>
              <w:top w:val="nil"/>
              <w:left w:val="nil"/>
              <w:bottom w:val="nil"/>
              <w:right w:val="single" w:sz="8" w:space="0" w:color="auto"/>
            </w:tcBorders>
            <w:shd w:val="clear" w:color="auto" w:fill="auto"/>
            <w:noWrap/>
            <w:vAlign w:val="bottom"/>
            <w:hideMark/>
          </w:tcPr>
          <w:p w14:paraId="2B5BE2FE"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156.5</w:t>
            </w:r>
          </w:p>
        </w:tc>
        <w:tc>
          <w:tcPr>
            <w:tcW w:w="784" w:type="dxa"/>
            <w:tcBorders>
              <w:top w:val="nil"/>
              <w:left w:val="nil"/>
              <w:bottom w:val="nil"/>
              <w:right w:val="single" w:sz="8" w:space="0" w:color="auto"/>
            </w:tcBorders>
            <w:shd w:val="clear" w:color="auto" w:fill="auto"/>
            <w:noWrap/>
            <w:vAlign w:val="bottom"/>
            <w:hideMark/>
          </w:tcPr>
          <w:p w14:paraId="7F1FF892"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157.4</w:t>
            </w:r>
          </w:p>
        </w:tc>
        <w:tc>
          <w:tcPr>
            <w:tcW w:w="784" w:type="dxa"/>
            <w:tcBorders>
              <w:top w:val="nil"/>
              <w:left w:val="nil"/>
              <w:bottom w:val="nil"/>
              <w:right w:val="single" w:sz="8" w:space="0" w:color="auto"/>
            </w:tcBorders>
            <w:shd w:val="clear" w:color="auto" w:fill="auto"/>
            <w:noWrap/>
            <w:vAlign w:val="bottom"/>
            <w:hideMark/>
          </w:tcPr>
          <w:p w14:paraId="088FF220"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169.9</w:t>
            </w:r>
          </w:p>
        </w:tc>
        <w:tc>
          <w:tcPr>
            <w:tcW w:w="784" w:type="dxa"/>
            <w:tcBorders>
              <w:top w:val="nil"/>
              <w:left w:val="nil"/>
              <w:bottom w:val="nil"/>
              <w:right w:val="single" w:sz="8" w:space="0" w:color="auto"/>
            </w:tcBorders>
            <w:shd w:val="clear" w:color="auto" w:fill="auto"/>
            <w:noWrap/>
            <w:vAlign w:val="bottom"/>
            <w:hideMark/>
          </w:tcPr>
          <w:p w14:paraId="15487D7C" w14:textId="77777777" w:rsidR="003656FA" w:rsidRPr="003656FA" w:rsidRDefault="003656FA" w:rsidP="003656FA">
            <w:pPr>
              <w:jc w:val="right"/>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182.7</w:t>
            </w:r>
          </w:p>
        </w:tc>
      </w:tr>
      <w:tr w:rsidR="003656FA" w:rsidRPr="003656FA" w14:paraId="4C99512B"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187DC68D"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Singapore</w:t>
            </w:r>
          </w:p>
        </w:tc>
        <w:tc>
          <w:tcPr>
            <w:tcW w:w="784" w:type="dxa"/>
            <w:tcBorders>
              <w:top w:val="nil"/>
              <w:left w:val="single" w:sz="8" w:space="0" w:color="auto"/>
              <w:bottom w:val="nil"/>
              <w:right w:val="single" w:sz="8" w:space="0" w:color="auto"/>
            </w:tcBorders>
            <w:shd w:val="clear" w:color="auto" w:fill="auto"/>
            <w:noWrap/>
            <w:vAlign w:val="bottom"/>
            <w:hideMark/>
          </w:tcPr>
          <w:p w14:paraId="2C36D04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145.5</w:t>
            </w:r>
          </w:p>
        </w:tc>
        <w:tc>
          <w:tcPr>
            <w:tcW w:w="784" w:type="dxa"/>
            <w:tcBorders>
              <w:top w:val="nil"/>
              <w:left w:val="nil"/>
              <w:bottom w:val="nil"/>
              <w:right w:val="nil"/>
            </w:tcBorders>
            <w:shd w:val="clear" w:color="auto" w:fill="auto"/>
            <w:noWrap/>
            <w:vAlign w:val="bottom"/>
            <w:hideMark/>
          </w:tcPr>
          <w:p w14:paraId="4DE0674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141.8</w:t>
            </w:r>
          </w:p>
        </w:tc>
        <w:tc>
          <w:tcPr>
            <w:tcW w:w="784" w:type="dxa"/>
            <w:tcBorders>
              <w:top w:val="nil"/>
              <w:left w:val="single" w:sz="8" w:space="0" w:color="auto"/>
              <w:bottom w:val="nil"/>
              <w:right w:val="single" w:sz="8" w:space="0" w:color="auto"/>
            </w:tcBorders>
            <w:shd w:val="clear" w:color="auto" w:fill="auto"/>
            <w:noWrap/>
            <w:vAlign w:val="bottom"/>
            <w:hideMark/>
          </w:tcPr>
          <w:p w14:paraId="34E770A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138.8</w:t>
            </w:r>
          </w:p>
        </w:tc>
        <w:tc>
          <w:tcPr>
            <w:tcW w:w="784" w:type="dxa"/>
            <w:tcBorders>
              <w:top w:val="nil"/>
              <w:left w:val="nil"/>
              <w:bottom w:val="nil"/>
              <w:right w:val="nil"/>
            </w:tcBorders>
            <w:shd w:val="clear" w:color="auto" w:fill="auto"/>
            <w:noWrap/>
            <w:vAlign w:val="bottom"/>
            <w:hideMark/>
          </w:tcPr>
          <w:p w14:paraId="2DD895C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150.6</w:t>
            </w:r>
          </w:p>
        </w:tc>
        <w:tc>
          <w:tcPr>
            <w:tcW w:w="784" w:type="dxa"/>
            <w:tcBorders>
              <w:top w:val="nil"/>
              <w:left w:val="single" w:sz="8" w:space="0" w:color="auto"/>
              <w:bottom w:val="nil"/>
              <w:right w:val="single" w:sz="8" w:space="0" w:color="auto"/>
            </w:tcBorders>
            <w:shd w:val="clear" w:color="auto" w:fill="auto"/>
            <w:noWrap/>
            <w:vAlign w:val="bottom"/>
            <w:hideMark/>
          </w:tcPr>
          <w:p w14:paraId="68F78D9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147.9</w:t>
            </w:r>
          </w:p>
        </w:tc>
        <w:tc>
          <w:tcPr>
            <w:tcW w:w="784" w:type="dxa"/>
            <w:tcBorders>
              <w:top w:val="nil"/>
              <w:left w:val="nil"/>
              <w:bottom w:val="nil"/>
              <w:right w:val="nil"/>
            </w:tcBorders>
            <w:shd w:val="clear" w:color="auto" w:fill="auto"/>
            <w:noWrap/>
            <w:vAlign w:val="bottom"/>
            <w:hideMark/>
          </w:tcPr>
          <w:p w14:paraId="7C00F6C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160.7</w:t>
            </w:r>
          </w:p>
        </w:tc>
        <w:tc>
          <w:tcPr>
            <w:tcW w:w="784" w:type="dxa"/>
            <w:tcBorders>
              <w:top w:val="nil"/>
              <w:left w:val="single" w:sz="8" w:space="0" w:color="auto"/>
              <w:bottom w:val="nil"/>
              <w:right w:val="single" w:sz="8" w:space="0" w:color="auto"/>
            </w:tcBorders>
            <w:shd w:val="clear" w:color="auto" w:fill="auto"/>
            <w:noWrap/>
            <w:vAlign w:val="bottom"/>
            <w:hideMark/>
          </w:tcPr>
          <w:p w14:paraId="4C0857A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165.4</w:t>
            </w:r>
          </w:p>
        </w:tc>
        <w:tc>
          <w:tcPr>
            <w:tcW w:w="784" w:type="dxa"/>
            <w:tcBorders>
              <w:top w:val="nil"/>
              <w:left w:val="nil"/>
              <w:bottom w:val="nil"/>
              <w:right w:val="single" w:sz="8" w:space="0" w:color="auto"/>
            </w:tcBorders>
            <w:shd w:val="clear" w:color="auto" w:fill="auto"/>
            <w:noWrap/>
            <w:vAlign w:val="bottom"/>
            <w:hideMark/>
          </w:tcPr>
          <w:p w14:paraId="7718A65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151.5</w:t>
            </w:r>
          </w:p>
        </w:tc>
        <w:tc>
          <w:tcPr>
            <w:tcW w:w="784" w:type="dxa"/>
            <w:tcBorders>
              <w:top w:val="nil"/>
              <w:left w:val="nil"/>
              <w:bottom w:val="nil"/>
              <w:right w:val="single" w:sz="8" w:space="0" w:color="auto"/>
            </w:tcBorders>
            <w:shd w:val="clear" w:color="auto" w:fill="auto"/>
            <w:noWrap/>
            <w:vAlign w:val="bottom"/>
            <w:hideMark/>
          </w:tcPr>
          <w:p w14:paraId="07B1782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146.1</w:t>
            </w:r>
          </w:p>
        </w:tc>
        <w:tc>
          <w:tcPr>
            <w:tcW w:w="784" w:type="dxa"/>
            <w:tcBorders>
              <w:top w:val="nil"/>
              <w:left w:val="nil"/>
              <w:bottom w:val="nil"/>
              <w:right w:val="single" w:sz="8" w:space="0" w:color="auto"/>
            </w:tcBorders>
            <w:shd w:val="clear" w:color="auto" w:fill="auto"/>
            <w:noWrap/>
            <w:vAlign w:val="bottom"/>
            <w:hideMark/>
          </w:tcPr>
          <w:p w14:paraId="3E5B140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142.1</w:t>
            </w:r>
          </w:p>
        </w:tc>
        <w:tc>
          <w:tcPr>
            <w:tcW w:w="784" w:type="dxa"/>
            <w:tcBorders>
              <w:top w:val="nil"/>
              <w:left w:val="nil"/>
              <w:bottom w:val="nil"/>
              <w:right w:val="single" w:sz="8" w:space="0" w:color="auto"/>
            </w:tcBorders>
            <w:shd w:val="clear" w:color="auto" w:fill="auto"/>
            <w:noWrap/>
            <w:vAlign w:val="bottom"/>
            <w:hideMark/>
          </w:tcPr>
          <w:p w14:paraId="471D5D8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150.5</w:t>
            </w:r>
          </w:p>
        </w:tc>
      </w:tr>
      <w:tr w:rsidR="003656FA" w:rsidRPr="003656FA" w14:paraId="61C82C5B"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30CBABA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France</w:t>
            </w:r>
          </w:p>
        </w:tc>
        <w:tc>
          <w:tcPr>
            <w:tcW w:w="784" w:type="dxa"/>
            <w:tcBorders>
              <w:top w:val="nil"/>
              <w:left w:val="single" w:sz="8" w:space="0" w:color="auto"/>
              <w:bottom w:val="nil"/>
              <w:right w:val="single" w:sz="8" w:space="0" w:color="auto"/>
            </w:tcBorders>
            <w:shd w:val="clear" w:color="auto" w:fill="auto"/>
            <w:noWrap/>
            <w:vAlign w:val="bottom"/>
            <w:hideMark/>
          </w:tcPr>
          <w:p w14:paraId="1084CEA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134</w:t>
            </w:r>
          </w:p>
        </w:tc>
        <w:tc>
          <w:tcPr>
            <w:tcW w:w="784" w:type="dxa"/>
            <w:tcBorders>
              <w:top w:val="nil"/>
              <w:left w:val="nil"/>
              <w:bottom w:val="nil"/>
              <w:right w:val="nil"/>
            </w:tcBorders>
            <w:shd w:val="clear" w:color="auto" w:fill="auto"/>
            <w:noWrap/>
            <w:vAlign w:val="bottom"/>
            <w:hideMark/>
          </w:tcPr>
          <w:p w14:paraId="51F8C43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132.2</w:t>
            </w:r>
          </w:p>
        </w:tc>
        <w:tc>
          <w:tcPr>
            <w:tcW w:w="784" w:type="dxa"/>
            <w:tcBorders>
              <w:top w:val="nil"/>
              <w:left w:val="single" w:sz="8" w:space="0" w:color="auto"/>
              <w:bottom w:val="nil"/>
              <w:right w:val="single" w:sz="8" w:space="0" w:color="auto"/>
            </w:tcBorders>
            <w:shd w:val="clear" w:color="auto" w:fill="auto"/>
            <w:noWrap/>
            <w:vAlign w:val="bottom"/>
            <w:hideMark/>
          </w:tcPr>
          <w:p w14:paraId="4F8C733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133.4</w:t>
            </w:r>
          </w:p>
        </w:tc>
        <w:tc>
          <w:tcPr>
            <w:tcW w:w="784" w:type="dxa"/>
            <w:tcBorders>
              <w:top w:val="nil"/>
              <w:left w:val="nil"/>
              <w:bottom w:val="nil"/>
              <w:right w:val="nil"/>
            </w:tcBorders>
            <w:shd w:val="clear" w:color="auto" w:fill="auto"/>
            <w:noWrap/>
            <w:vAlign w:val="bottom"/>
            <w:hideMark/>
          </w:tcPr>
          <w:p w14:paraId="5A2D84E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123</w:t>
            </w:r>
          </w:p>
        </w:tc>
        <w:tc>
          <w:tcPr>
            <w:tcW w:w="784" w:type="dxa"/>
            <w:tcBorders>
              <w:top w:val="nil"/>
              <w:left w:val="single" w:sz="8" w:space="0" w:color="auto"/>
              <w:bottom w:val="nil"/>
              <w:right w:val="single" w:sz="8" w:space="0" w:color="auto"/>
            </w:tcBorders>
            <w:shd w:val="clear" w:color="auto" w:fill="auto"/>
            <w:noWrap/>
            <w:vAlign w:val="bottom"/>
            <w:hideMark/>
          </w:tcPr>
          <w:p w14:paraId="1F51B13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127.7</w:t>
            </w:r>
          </w:p>
        </w:tc>
        <w:tc>
          <w:tcPr>
            <w:tcW w:w="784" w:type="dxa"/>
            <w:tcBorders>
              <w:top w:val="nil"/>
              <w:left w:val="nil"/>
              <w:bottom w:val="nil"/>
              <w:right w:val="nil"/>
            </w:tcBorders>
            <w:shd w:val="clear" w:color="auto" w:fill="auto"/>
            <w:noWrap/>
            <w:vAlign w:val="bottom"/>
            <w:hideMark/>
          </w:tcPr>
          <w:p w14:paraId="1C09915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134</w:t>
            </w:r>
          </w:p>
        </w:tc>
        <w:tc>
          <w:tcPr>
            <w:tcW w:w="784" w:type="dxa"/>
            <w:tcBorders>
              <w:top w:val="nil"/>
              <w:left w:val="single" w:sz="8" w:space="0" w:color="auto"/>
              <w:bottom w:val="nil"/>
              <w:right w:val="single" w:sz="8" w:space="0" w:color="auto"/>
            </w:tcBorders>
            <w:shd w:val="clear" w:color="auto" w:fill="auto"/>
            <w:noWrap/>
            <w:vAlign w:val="bottom"/>
            <w:hideMark/>
          </w:tcPr>
          <w:p w14:paraId="361A373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147.6</w:t>
            </w:r>
          </w:p>
        </w:tc>
        <w:tc>
          <w:tcPr>
            <w:tcW w:w="784" w:type="dxa"/>
            <w:tcBorders>
              <w:top w:val="nil"/>
              <w:left w:val="nil"/>
              <w:bottom w:val="nil"/>
              <w:right w:val="single" w:sz="8" w:space="0" w:color="auto"/>
            </w:tcBorders>
            <w:shd w:val="clear" w:color="auto" w:fill="auto"/>
            <w:noWrap/>
            <w:vAlign w:val="bottom"/>
            <w:hideMark/>
          </w:tcPr>
          <w:p w14:paraId="26C5D73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156</w:t>
            </w:r>
          </w:p>
        </w:tc>
        <w:tc>
          <w:tcPr>
            <w:tcW w:w="784" w:type="dxa"/>
            <w:tcBorders>
              <w:top w:val="nil"/>
              <w:left w:val="nil"/>
              <w:bottom w:val="nil"/>
              <w:right w:val="single" w:sz="8" w:space="0" w:color="auto"/>
            </w:tcBorders>
            <w:shd w:val="clear" w:color="auto" w:fill="auto"/>
            <w:noWrap/>
            <w:vAlign w:val="bottom"/>
            <w:hideMark/>
          </w:tcPr>
          <w:p w14:paraId="0EDDE10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137.7</w:t>
            </w:r>
          </w:p>
        </w:tc>
        <w:tc>
          <w:tcPr>
            <w:tcW w:w="784" w:type="dxa"/>
            <w:tcBorders>
              <w:top w:val="nil"/>
              <w:left w:val="nil"/>
              <w:bottom w:val="nil"/>
              <w:right w:val="single" w:sz="8" w:space="0" w:color="auto"/>
            </w:tcBorders>
            <w:shd w:val="clear" w:color="auto" w:fill="auto"/>
            <w:noWrap/>
            <w:vAlign w:val="bottom"/>
            <w:hideMark/>
          </w:tcPr>
          <w:p w14:paraId="710D812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130.5</w:t>
            </w:r>
          </w:p>
        </w:tc>
        <w:tc>
          <w:tcPr>
            <w:tcW w:w="784" w:type="dxa"/>
            <w:tcBorders>
              <w:top w:val="nil"/>
              <w:left w:val="nil"/>
              <w:bottom w:val="nil"/>
              <w:right w:val="single" w:sz="8" w:space="0" w:color="auto"/>
            </w:tcBorders>
            <w:shd w:val="clear" w:color="auto" w:fill="auto"/>
            <w:noWrap/>
            <w:vAlign w:val="bottom"/>
            <w:hideMark/>
          </w:tcPr>
          <w:p w14:paraId="2E21CD2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144.2</w:t>
            </w:r>
          </w:p>
        </w:tc>
      </w:tr>
      <w:tr w:rsidR="003656FA" w:rsidRPr="003656FA" w14:paraId="389FF611"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575A7B12"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Canada</w:t>
            </w:r>
          </w:p>
        </w:tc>
        <w:tc>
          <w:tcPr>
            <w:tcW w:w="784" w:type="dxa"/>
            <w:tcBorders>
              <w:top w:val="nil"/>
              <w:left w:val="single" w:sz="8" w:space="0" w:color="auto"/>
              <w:bottom w:val="nil"/>
              <w:right w:val="single" w:sz="8" w:space="0" w:color="auto"/>
            </w:tcBorders>
            <w:shd w:val="clear" w:color="auto" w:fill="auto"/>
            <w:noWrap/>
            <w:vAlign w:val="bottom"/>
            <w:hideMark/>
          </w:tcPr>
          <w:p w14:paraId="45303D7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157.8</w:t>
            </w:r>
          </w:p>
        </w:tc>
        <w:tc>
          <w:tcPr>
            <w:tcW w:w="784" w:type="dxa"/>
            <w:tcBorders>
              <w:top w:val="nil"/>
              <w:left w:val="nil"/>
              <w:bottom w:val="nil"/>
              <w:right w:val="nil"/>
            </w:tcBorders>
            <w:shd w:val="clear" w:color="auto" w:fill="auto"/>
            <w:noWrap/>
            <w:vAlign w:val="bottom"/>
            <w:hideMark/>
          </w:tcPr>
          <w:p w14:paraId="66B3464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153.4</w:t>
            </w:r>
          </w:p>
        </w:tc>
        <w:tc>
          <w:tcPr>
            <w:tcW w:w="784" w:type="dxa"/>
            <w:tcBorders>
              <w:top w:val="nil"/>
              <w:left w:val="single" w:sz="8" w:space="0" w:color="auto"/>
              <w:bottom w:val="nil"/>
              <w:right w:val="single" w:sz="8" w:space="0" w:color="auto"/>
            </w:tcBorders>
            <w:shd w:val="clear" w:color="auto" w:fill="auto"/>
            <w:noWrap/>
            <w:vAlign w:val="bottom"/>
            <w:hideMark/>
          </w:tcPr>
          <w:p w14:paraId="069C5DF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157.1</w:t>
            </w:r>
          </w:p>
        </w:tc>
        <w:tc>
          <w:tcPr>
            <w:tcW w:w="784" w:type="dxa"/>
            <w:tcBorders>
              <w:top w:val="nil"/>
              <w:left w:val="nil"/>
              <w:bottom w:val="nil"/>
              <w:right w:val="nil"/>
            </w:tcBorders>
            <w:shd w:val="clear" w:color="auto" w:fill="auto"/>
            <w:noWrap/>
            <w:vAlign w:val="bottom"/>
            <w:hideMark/>
          </w:tcPr>
          <w:p w14:paraId="37CDF22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155.2</w:t>
            </w:r>
          </w:p>
        </w:tc>
        <w:tc>
          <w:tcPr>
            <w:tcW w:w="784" w:type="dxa"/>
            <w:tcBorders>
              <w:top w:val="nil"/>
              <w:left w:val="single" w:sz="8" w:space="0" w:color="auto"/>
              <w:bottom w:val="nil"/>
              <w:right w:val="single" w:sz="8" w:space="0" w:color="auto"/>
            </w:tcBorders>
            <w:shd w:val="clear" w:color="auto" w:fill="auto"/>
            <w:noWrap/>
            <w:vAlign w:val="bottom"/>
            <w:hideMark/>
          </w:tcPr>
          <w:p w14:paraId="72D05E3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143.3</w:t>
            </w:r>
          </w:p>
        </w:tc>
        <w:tc>
          <w:tcPr>
            <w:tcW w:w="784" w:type="dxa"/>
            <w:tcBorders>
              <w:top w:val="nil"/>
              <w:left w:val="nil"/>
              <w:bottom w:val="nil"/>
              <w:right w:val="nil"/>
            </w:tcBorders>
            <w:shd w:val="clear" w:color="auto" w:fill="auto"/>
            <w:noWrap/>
            <w:vAlign w:val="bottom"/>
            <w:hideMark/>
          </w:tcPr>
          <w:p w14:paraId="3EBB7B3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157.9</w:t>
            </w:r>
          </w:p>
        </w:tc>
        <w:tc>
          <w:tcPr>
            <w:tcW w:w="784" w:type="dxa"/>
            <w:tcBorders>
              <w:top w:val="nil"/>
              <w:left w:val="single" w:sz="8" w:space="0" w:color="auto"/>
              <w:bottom w:val="nil"/>
              <w:right w:val="single" w:sz="8" w:space="0" w:color="auto"/>
            </w:tcBorders>
            <w:shd w:val="clear" w:color="auto" w:fill="auto"/>
            <w:noWrap/>
            <w:vAlign w:val="bottom"/>
            <w:hideMark/>
          </w:tcPr>
          <w:p w14:paraId="3971A93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148.3</w:t>
            </w:r>
          </w:p>
        </w:tc>
        <w:tc>
          <w:tcPr>
            <w:tcW w:w="784" w:type="dxa"/>
            <w:tcBorders>
              <w:top w:val="nil"/>
              <w:left w:val="nil"/>
              <w:bottom w:val="nil"/>
              <w:right w:val="single" w:sz="8" w:space="0" w:color="auto"/>
            </w:tcBorders>
            <w:shd w:val="clear" w:color="auto" w:fill="auto"/>
            <w:noWrap/>
            <w:vAlign w:val="bottom"/>
            <w:hideMark/>
          </w:tcPr>
          <w:p w14:paraId="5874A4F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131.5</w:t>
            </w:r>
          </w:p>
        </w:tc>
        <w:tc>
          <w:tcPr>
            <w:tcW w:w="784" w:type="dxa"/>
            <w:tcBorders>
              <w:top w:val="nil"/>
              <w:left w:val="nil"/>
              <w:bottom w:val="nil"/>
              <w:right w:val="single" w:sz="8" w:space="0" w:color="auto"/>
            </w:tcBorders>
            <w:shd w:val="clear" w:color="auto" w:fill="auto"/>
            <w:noWrap/>
            <w:vAlign w:val="bottom"/>
            <w:hideMark/>
          </w:tcPr>
          <w:p w14:paraId="0DE8EA8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136.3</w:t>
            </w:r>
          </w:p>
        </w:tc>
        <w:tc>
          <w:tcPr>
            <w:tcW w:w="784" w:type="dxa"/>
            <w:tcBorders>
              <w:top w:val="nil"/>
              <w:left w:val="nil"/>
              <w:bottom w:val="nil"/>
              <w:right w:val="single" w:sz="8" w:space="0" w:color="auto"/>
            </w:tcBorders>
            <w:shd w:val="clear" w:color="auto" w:fill="auto"/>
            <w:noWrap/>
            <w:vAlign w:val="bottom"/>
            <w:hideMark/>
          </w:tcPr>
          <w:p w14:paraId="3B7AE8C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129.9</w:t>
            </w:r>
          </w:p>
        </w:tc>
        <w:tc>
          <w:tcPr>
            <w:tcW w:w="784" w:type="dxa"/>
            <w:tcBorders>
              <w:top w:val="nil"/>
              <w:left w:val="nil"/>
              <w:bottom w:val="nil"/>
              <w:right w:val="single" w:sz="8" w:space="0" w:color="auto"/>
            </w:tcBorders>
            <w:shd w:val="clear" w:color="auto" w:fill="auto"/>
            <w:noWrap/>
            <w:vAlign w:val="bottom"/>
            <w:hideMark/>
          </w:tcPr>
          <w:p w14:paraId="7540238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127.5</w:t>
            </w:r>
          </w:p>
        </w:tc>
      </w:tr>
      <w:tr w:rsidR="003656FA" w:rsidRPr="003656FA" w14:paraId="2D584D7D"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6BAFC61C"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Saudi Arabia</w:t>
            </w:r>
          </w:p>
        </w:tc>
        <w:tc>
          <w:tcPr>
            <w:tcW w:w="784" w:type="dxa"/>
            <w:tcBorders>
              <w:top w:val="nil"/>
              <w:left w:val="single" w:sz="8" w:space="0" w:color="auto"/>
              <w:bottom w:val="nil"/>
              <w:right w:val="single" w:sz="8" w:space="0" w:color="auto"/>
            </w:tcBorders>
            <w:shd w:val="clear" w:color="auto" w:fill="auto"/>
            <w:noWrap/>
            <w:vAlign w:val="bottom"/>
            <w:hideMark/>
          </w:tcPr>
          <w:p w14:paraId="51501B8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183.8</w:t>
            </w:r>
          </w:p>
        </w:tc>
        <w:tc>
          <w:tcPr>
            <w:tcW w:w="784" w:type="dxa"/>
            <w:tcBorders>
              <w:top w:val="nil"/>
              <w:left w:val="nil"/>
              <w:bottom w:val="nil"/>
              <w:right w:val="nil"/>
            </w:tcBorders>
            <w:shd w:val="clear" w:color="auto" w:fill="auto"/>
            <w:noWrap/>
            <w:vAlign w:val="bottom"/>
            <w:hideMark/>
          </w:tcPr>
          <w:p w14:paraId="093BFD1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181.5</w:t>
            </w:r>
          </w:p>
        </w:tc>
        <w:tc>
          <w:tcPr>
            <w:tcW w:w="784" w:type="dxa"/>
            <w:tcBorders>
              <w:top w:val="nil"/>
              <w:left w:val="single" w:sz="8" w:space="0" w:color="auto"/>
              <w:bottom w:val="nil"/>
              <w:right w:val="single" w:sz="8" w:space="0" w:color="auto"/>
            </w:tcBorders>
            <w:shd w:val="clear" w:color="auto" w:fill="auto"/>
            <w:noWrap/>
            <w:vAlign w:val="bottom"/>
            <w:hideMark/>
          </w:tcPr>
          <w:p w14:paraId="5D69B51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178.9</w:t>
            </w:r>
          </w:p>
        </w:tc>
        <w:tc>
          <w:tcPr>
            <w:tcW w:w="784" w:type="dxa"/>
            <w:tcBorders>
              <w:top w:val="nil"/>
              <w:left w:val="nil"/>
              <w:bottom w:val="nil"/>
              <w:right w:val="nil"/>
            </w:tcBorders>
            <w:shd w:val="clear" w:color="auto" w:fill="auto"/>
            <w:noWrap/>
            <w:vAlign w:val="bottom"/>
            <w:hideMark/>
          </w:tcPr>
          <w:p w14:paraId="3B55541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179.7</w:t>
            </w:r>
          </w:p>
        </w:tc>
        <w:tc>
          <w:tcPr>
            <w:tcW w:w="784" w:type="dxa"/>
            <w:tcBorders>
              <w:top w:val="nil"/>
              <w:left w:val="single" w:sz="8" w:space="0" w:color="auto"/>
              <w:bottom w:val="nil"/>
              <w:right w:val="single" w:sz="8" w:space="0" w:color="auto"/>
            </w:tcBorders>
            <w:shd w:val="clear" w:color="auto" w:fill="auto"/>
            <w:noWrap/>
            <w:vAlign w:val="bottom"/>
            <w:hideMark/>
          </w:tcPr>
          <w:p w14:paraId="53874E7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179.8</w:t>
            </w:r>
          </w:p>
        </w:tc>
        <w:tc>
          <w:tcPr>
            <w:tcW w:w="784" w:type="dxa"/>
            <w:tcBorders>
              <w:top w:val="nil"/>
              <w:left w:val="nil"/>
              <w:bottom w:val="nil"/>
              <w:right w:val="nil"/>
            </w:tcBorders>
            <w:shd w:val="clear" w:color="auto" w:fill="auto"/>
            <w:noWrap/>
            <w:vAlign w:val="bottom"/>
            <w:hideMark/>
          </w:tcPr>
          <w:p w14:paraId="08DB1FB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182.9</w:t>
            </w:r>
          </w:p>
        </w:tc>
        <w:tc>
          <w:tcPr>
            <w:tcW w:w="784" w:type="dxa"/>
            <w:tcBorders>
              <w:top w:val="nil"/>
              <w:left w:val="single" w:sz="8" w:space="0" w:color="auto"/>
              <w:bottom w:val="nil"/>
              <w:right w:val="single" w:sz="8" w:space="0" w:color="auto"/>
            </w:tcBorders>
            <w:shd w:val="clear" w:color="auto" w:fill="auto"/>
            <w:noWrap/>
            <w:vAlign w:val="bottom"/>
            <w:hideMark/>
          </w:tcPr>
          <w:p w14:paraId="595BED6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184.4</w:t>
            </w:r>
          </w:p>
        </w:tc>
        <w:tc>
          <w:tcPr>
            <w:tcW w:w="784" w:type="dxa"/>
            <w:tcBorders>
              <w:top w:val="nil"/>
              <w:left w:val="nil"/>
              <w:bottom w:val="nil"/>
              <w:right w:val="single" w:sz="8" w:space="0" w:color="auto"/>
            </w:tcBorders>
            <w:shd w:val="clear" w:color="auto" w:fill="auto"/>
            <w:noWrap/>
            <w:vAlign w:val="bottom"/>
            <w:hideMark/>
          </w:tcPr>
          <w:p w14:paraId="36AF0D9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159.1</w:t>
            </w:r>
          </w:p>
        </w:tc>
        <w:tc>
          <w:tcPr>
            <w:tcW w:w="784" w:type="dxa"/>
            <w:tcBorders>
              <w:top w:val="nil"/>
              <w:left w:val="nil"/>
              <w:bottom w:val="nil"/>
              <w:right w:val="single" w:sz="8" w:space="0" w:color="auto"/>
            </w:tcBorders>
            <w:shd w:val="clear" w:color="auto" w:fill="auto"/>
            <w:noWrap/>
            <w:vAlign w:val="bottom"/>
            <w:hideMark/>
          </w:tcPr>
          <w:p w14:paraId="74A921C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125.3</w:t>
            </w:r>
          </w:p>
        </w:tc>
        <w:tc>
          <w:tcPr>
            <w:tcW w:w="784" w:type="dxa"/>
            <w:tcBorders>
              <w:top w:val="nil"/>
              <w:left w:val="nil"/>
              <w:bottom w:val="nil"/>
              <w:right w:val="single" w:sz="8" w:space="0" w:color="auto"/>
            </w:tcBorders>
            <w:shd w:val="clear" w:color="auto" w:fill="auto"/>
            <w:noWrap/>
            <w:vAlign w:val="bottom"/>
            <w:hideMark/>
          </w:tcPr>
          <w:p w14:paraId="1782043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123.5</w:t>
            </w:r>
          </w:p>
        </w:tc>
        <w:tc>
          <w:tcPr>
            <w:tcW w:w="784" w:type="dxa"/>
            <w:tcBorders>
              <w:top w:val="nil"/>
              <w:left w:val="nil"/>
              <w:bottom w:val="nil"/>
              <w:right w:val="single" w:sz="8" w:space="0" w:color="auto"/>
            </w:tcBorders>
            <w:shd w:val="clear" w:color="auto" w:fill="auto"/>
            <w:noWrap/>
            <w:vAlign w:val="bottom"/>
            <w:hideMark/>
          </w:tcPr>
          <w:p w14:paraId="71E9B1D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124.9</w:t>
            </w:r>
          </w:p>
        </w:tc>
      </w:tr>
      <w:tr w:rsidR="003656FA" w:rsidRPr="003656FA" w14:paraId="7C08CC48"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2FA179DF"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Korea</w:t>
            </w:r>
          </w:p>
        </w:tc>
        <w:tc>
          <w:tcPr>
            <w:tcW w:w="784" w:type="dxa"/>
            <w:tcBorders>
              <w:top w:val="nil"/>
              <w:left w:val="single" w:sz="8" w:space="0" w:color="auto"/>
              <w:bottom w:val="nil"/>
              <w:right w:val="single" w:sz="8" w:space="0" w:color="auto"/>
            </w:tcBorders>
            <w:shd w:val="clear" w:color="auto" w:fill="auto"/>
            <w:noWrap/>
            <w:vAlign w:val="bottom"/>
            <w:hideMark/>
          </w:tcPr>
          <w:p w14:paraId="60CD221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117.8</w:t>
            </w:r>
          </w:p>
        </w:tc>
        <w:tc>
          <w:tcPr>
            <w:tcW w:w="784" w:type="dxa"/>
            <w:tcBorders>
              <w:top w:val="nil"/>
              <w:left w:val="nil"/>
              <w:bottom w:val="nil"/>
              <w:right w:val="nil"/>
            </w:tcBorders>
            <w:shd w:val="clear" w:color="auto" w:fill="auto"/>
            <w:noWrap/>
            <w:vAlign w:val="bottom"/>
            <w:hideMark/>
          </w:tcPr>
          <w:p w14:paraId="38A1FAD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118.5</w:t>
            </w:r>
          </w:p>
        </w:tc>
        <w:tc>
          <w:tcPr>
            <w:tcW w:w="784" w:type="dxa"/>
            <w:tcBorders>
              <w:top w:val="nil"/>
              <w:left w:val="single" w:sz="8" w:space="0" w:color="auto"/>
              <w:bottom w:val="nil"/>
              <w:right w:val="single" w:sz="8" w:space="0" w:color="auto"/>
            </w:tcBorders>
            <w:shd w:val="clear" w:color="auto" w:fill="auto"/>
            <w:noWrap/>
            <w:vAlign w:val="bottom"/>
            <w:hideMark/>
          </w:tcPr>
          <w:p w14:paraId="3921CBB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117.1</w:t>
            </w:r>
          </w:p>
        </w:tc>
        <w:tc>
          <w:tcPr>
            <w:tcW w:w="784" w:type="dxa"/>
            <w:tcBorders>
              <w:top w:val="nil"/>
              <w:left w:val="nil"/>
              <w:bottom w:val="nil"/>
              <w:right w:val="nil"/>
            </w:tcBorders>
            <w:shd w:val="clear" w:color="auto" w:fill="auto"/>
            <w:noWrap/>
            <w:vAlign w:val="bottom"/>
            <w:hideMark/>
          </w:tcPr>
          <w:p w14:paraId="60905C9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117.2</w:t>
            </w:r>
          </w:p>
        </w:tc>
        <w:tc>
          <w:tcPr>
            <w:tcW w:w="784" w:type="dxa"/>
            <w:tcBorders>
              <w:top w:val="nil"/>
              <w:left w:val="single" w:sz="8" w:space="0" w:color="auto"/>
              <w:bottom w:val="nil"/>
              <w:right w:val="single" w:sz="8" w:space="0" w:color="auto"/>
            </w:tcBorders>
            <w:shd w:val="clear" w:color="auto" w:fill="auto"/>
            <w:noWrap/>
            <w:vAlign w:val="bottom"/>
            <w:hideMark/>
          </w:tcPr>
          <w:p w14:paraId="1D3C8FB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121.9</w:t>
            </w:r>
          </w:p>
        </w:tc>
        <w:tc>
          <w:tcPr>
            <w:tcW w:w="784" w:type="dxa"/>
            <w:tcBorders>
              <w:top w:val="nil"/>
              <w:left w:val="nil"/>
              <w:bottom w:val="nil"/>
              <w:right w:val="nil"/>
            </w:tcBorders>
            <w:shd w:val="clear" w:color="auto" w:fill="auto"/>
            <w:noWrap/>
            <w:vAlign w:val="bottom"/>
            <w:hideMark/>
          </w:tcPr>
          <w:p w14:paraId="3761C27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121.1</w:t>
            </w:r>
          </w:p>
        </w:tc>
        <w:tc>
          <w:tcPr>
            <w:tcW w:w="784" w:type="dxa"/>
            <w:tcBorders>
              <w:top w:val="nil"/>
              <w:left w:val="single" w:sz="8" w:space="0" w:color="auto"/>
              <w:bottom w:val="nil"/>
              <w:right w:val="single" w:sz="8" w:space="0" w:color="auto"/>
            </w:tcBorders>
            <w:shd w:val="clear" w:color="auto" w:fill="auto"/>
            <w:noWrap/>
            <w:vAlign w:val="bottom"/>
            <w:hideMark/>
          </w:tcPr>
          <w:p w14:paraId="3C6EDD9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116.1</w:t>
            </w:r>
          </w:p>
        </w:tc>
        <w:tc>
          <w:tcPr>
            <w:tcW w:w="784" w:type="dxa"/>
            <w:tcBorders>
              <w:top w:val="nil"/>
              <w:left w:val="nil"/>
              <w:bottom w:val="nil"/>
              <w:right w:val="single" w:sz="8" w:space="0" w:color="auto"/>
            </w:tcBorders>
            <w:shd w:val="clear" w:color="auto" w:fill="auto"/>
            <w:noWrap/>
            <w:vAlign w:val="bottom"/>
            <w:hideMark/>
          </w:tcPr>
          <w:p w14:paraId="043711A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110.8</w:t>
            </w:r>
          </w:p>
        </w:tc>
        <w:tc>
          <w:tcPr>
            <w:tcW w:w="784" w:type="dxa"/>
            <w:tcBorders>
              <w:top w:val="nil"/>
              <w:left w:val="nil"/>
              <w:bottom w:val="nil"/>
              <w:right w:val="single" w:sz="8" w:space="0" w:color="auto"/>
            </w:tcBorders>
            <w:shd w:val="clear" w:color="auto" w:fill="auto"/>
            <w:noWrap/>
            <w:vAlign w:val="bottom"/>
            <w:hideMark/>
          </w:tcPr>
          <w:p w14:paraId="4FAD889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120</w:t>
            </w:r>
          </w:p>
        </w:tc>
        <w:tc>
          <w:tcPr>
            <w:tcW w:w="784" w:type="dxa"/>
            <w:tcBorders>
              <w:top w:val="nil"/>
              <w:left w:val="nil"/>
              <w:bottom w:val="nil"/>
              <w:right w:val="single" w:sz="8" w:space="0" w:color="auto"/>
            </w:tcBorders>
            <w:shd w:val="clear" w:color="auto" w:fill="auto"/>
            <w:noWrap/>
            <w:vAlign w:val="bottom"/>
            <w:hideMark/>
          </w:tcPr>
          <w:p w14:paraId="4F5ED16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117.3</w:t>
            </w:r>
          </w:p>
        </w:tc>
        <w:tc>
          <w:tcPr>
            <w:tcW w:w="784" w:type="dxa"/>
            <w:tcBorders>
              <w:top w:val="nil"/>
              <w:left w:val="nil"/>
              <w:bottom w:val="nil"/>
              <w:right w:val="single" w:sz="8" w:space="0" w:color="auto"/>
            </w:tcBorders>
            <w:shd w:val="clear" w:color="auto" w:fill="auto"/>
            <w:noWrap/>
            <w:vAlign w:val="bottom"/>
            <w:hideMark/>
          </w:tcPr>
          <w:p w14:paraId="0394BC4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122.7</w:t>
            </w:r>
          </w:p>
        </w:tc>
      </w:tr>
      <w:tr w:rsidR="003656FA" w:rsidRPr="003656FA" w14:paraId="679A8093"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7891DF1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Norway</w:t>
            </w:r>
          </w:p>
        </w:tc>
        <w:tc>
          <w:tcPr>
            <w:tcW w:w="784" w:type="dxa"/>
            <w:tcBorders>
              <w:top w:val="nil"/>
              <w:left w:val="single" w:sz="8" w:space="0" w:color="auto"/>
              <w:bottom w:val="nil"/>
              <w:right w:val="single" w:sz="8" w:space="0" w:color="auto"/>
            </w:tcBorders>
            <w:shd w:val="clear" w:color="auto" w:fill="auto"/>
            <w:noWrap/>
            <w:vAlign w:val="bottom"/>
            <w:hideMark/>
          </w:tcPr>
          <w:p w14:paraId="0F2855C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101</w:t>
            </w:r>
          </w:p>
        </w:tc>
        <w:tc>
          <w:tcPr>
            <w:tcW w:w="784" w:type="dxa"/>
            <w:tcBorders>
              <w:top w:val="nil"/>
              <w:left w:val="nil"/>
              <w:bottom w:val="nil"/>
              <w:right w:val="nil"/>
            </w:tcBorders>
            <w:shd w:val="clear" w:color="auto" w:fill="auto"/>
            <w:noWrap/>
            <w:vAlign w:val="bottom"/>
            <w:hideMark/>
          </w:tcPr>
          <w:p w14:paraId="196FF78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99.2</w:t>
            </w:r>
          </w:p>
        </w:tc>
        <w:tc>
          <w:tcPr>
            <w:tcW w:w="784" w:type="dxa"/>
            <w:tcBorders>
              <w:top w:val="nil"/>
              <w:left w:val="single" w:sz="8" w:space="0" w:color="auto"/>
              <w:bottom w:val="nil"/>
              <w:right w:val="single" w:sz="8" w:space="0" w:color="auto"/>
            </w:tcBorders>
            <w:shd w:val="clear" w:color="auto" w:fill="auto"/>
            <w:noWrap/>
            <w:vAlign w:val="bottom"/>
            <w:hideMark/>
          </w:tcPr>
          <w:p w14:paraId="7777EB6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100.3</w:t>
            </w:r>
          </w:p>
        </w:tc>
        <w:tc>
          <w:tcPr>
            <w:tcW w:w="784" w:type="dxa"/>
            <w:tcBorders>
              <w:top w:val="nil"/>
              <w:left w:val="nil"/>
              <w:bottom w:val="nil"/>
              <w:right w:val="nil"/>
            </w:tcBorders>
            <w:shd w:val="clear" w:color="auto" w:fill="auto"/>
            <w:noWrap/>
            <w:vAlign w:val="bottom"/>
            <w:hideMark/>
          </w:tcPr>
          <w:p w14:paraId="4E8DD34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96</w:t>
            </w:r>
          </w:p>
        </w:tc>
        <w:tc>
          <w:tcPr>
            <w:tcW w:w="784" w:type="dxa"/>
            <w:tcBorders>
              <w:top w:val="nil"/>
              <w:left w:val="single" w:sz="8" w:space="0" w:color="auto"/>
              <w:bottom w:val="nil"/>
              <w:right w:val="single" w:sz="8" w:space="0" w:color="auto"/>
            </w:tcBorders>
            <w:shd w:val="clear" w:color="auto" w:fill="auto"/>
            <w:noWrap/>
            <w:vAlign w:val="bottom"/>
            <w:hideMark/>
          </w:tcPr>
          <w:p w14:paraId="31F06D4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90.1</w:t>
            </w:r>
          </w:p>
        </w:tc>
        <w:tc>
          <w:tcPr>
            <w:tcW w:w="784" w:type="dxa"/>
            <w:tcBorders>
              <w:top w:val="nil"/>
              <w:left w:val="nil"/>
              <w:bottom w:val="nil"/>
              <w:right w:val="nil"/>
            </w:tcBorders>
            <w:shd w:val="clear" w:color="auto" w:fill="auto"/>
            <w:noWrap/>
            <w:vAlign w:val="bottom"/>
            <w:hideMark/>
          </w:tcPr>
          <w:p w14:paraId="6F9CB54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97.7</w:t>
            </w:r>
          </w:p>
        </w:tc>
        <w:tc>
          <w:tcPr>
            <w:tcW w:w="784" w:type="dxa"/>
            <w:tcBorders>
              <w:top w:val="nil"/>
              <w:left w:val="single" w:sz="8" w:space="0" w:color="auto"/>
              <w:bottom w:val="nil"/>
              <w:right w:val="single" w:sz="8" w:space="0" w:color="auto"/>
            </w:tcBorders>
            <w:shd w:val="clear" w:color="auto" w:fill="auto"/>
            <w:noWrap/>
            <w:vAlign w:val="bottom"/>
            <w:hideMark/>
          </w:tcPr>
          <w:p w14:paraId="69E41E8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103.3</w:t>
            </w:r>
          </w:p>
        </w:tc>
        <w:tc>
          <w:tcPr>
            <w:tcW w:w="784" w:type="dxa"/>
            <w:tcBorders>
              <w:top w:val="nil"/>
              <w:left w:val="nil"/>
              <w:bottom w:val="nil"/>
              <w:right w:val="single" w:sz="8" w:space="0" w:color="auto"/>
            </w:tcBorders>
            <w:shd w:val="clear" w:color="auto" w:fill="auto"/>
            <w:noWrap/>
            <w:vAlign w:val="bottom"/>
            <w:hideMark/>
          </w:tcPr>
          <w:p w14:paraId="6F739C2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98</w:t>
            </w:r>
          </w:p>
        </w:tc>
        <w:tc>
          <w:tcPr>
            <w:tcW w:w="784" w:type="dxa"/>
            <w:tcBorders>
              <w:top w:val="nil"/>
              <w:left w:val="nil"/>
              <w:bottom w:val="nil"/>
              <w:right w:val="single" w:sz="8" w:space="0" w:color="auto"/>
            </w:tcBorders>
            <w:shd w:val="clear" w:color="auto" w:fill="auto"/>
            <w:noWrap/>
            <w:vAlign w:val="bottom"/>
            <w:hideMark/>
          </w:tcPr>
          <w:p w14:paraId="413B253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93.2</w:t>
            </w:r>
          </w:p>
        </w:tc>
        <w:tc>
          <w:tcPr>
            <w:tcW w:w="784" w:type="dxa"/>
            <w:tcBorders>
              <w:top w:val="nil"/>
              <w:left w:val="nil"/>
              <w:bottom w:val="nil"/>
              <w:right w:val="single" w:sz="8" w:space="0" w:color="auto"/>
            </w:tcBorders>
            <w:shd w:val="clear" w:color="auto" w:fill="auto"/>
            <w:noWrap/>
            <w:vAlign w:val="bottom"/>
            <w:hideMark/>
          </w:tcPr>
          <w:p w14:paraId="15108CA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87.6</w:t>
            </w:r>
          </w:p>
        </w:tc>
        <w:tc>
          <w:tcPr>
            <w:tcW w:w="784" w:type="dxa"/>
            <w:tcBorders>
              <w:top w:val="nil"/>
              <w:left w:val="nil"/>
              <w:bottom w:val="nil"/>
              <w:right w:val="single" w:sz="8" w:space="0" w:color="auto"/>
            </w:tcBorders>
            <w:shd w:val="clear" w:color="auto" w:fill="auto"/>
            <w:noWrap/>
            <w:vAlign w:val="bottom"/>
            <w:hideMark/>
          </w:tcPr>
          <w:p w14:paraId="36F1717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89.5</w:t>
            </w:r>
          </w:p>
        </w:tc>
      </w:tr>
      <w:tr w:rsidR="003656FA" w:rsidRPr="003656FA" w14:paraId="2A71F732"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2D4376E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Thailand</w:t>
            </w:r>
          </w:p>
        </w:tc>
        <w:tc>
          <w:tcPr>
            <w:tcW w:w="784" w:type="dxa"/>
            <w:tcBorders>
              <w:top w:val="nil"/>
              <w:left w:val="single" w:sz="8" w:space="0" w:color="auto"/>
              <w:bottom w:val="nil"/>
              <w:right w:val="single" w:sz="8" w:space="0" w:color="auto"/>
            </w:tcBorders>
            <w:shd w:val="clear" w:color="auto" w:fill="auto"/>
            <w:noWrap/>
            <w:vAlign w:val="bottom"/>
            <w:hideMark/>
          </w:tcPr>
          <w:p w14:paraId="103513D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94.1</w:t>
            </w:r>
          </w:p>
        </w:tc>
        <w:tc>
          <w:tcPr>
            <w:tcW w:w="784" w:type="dxa"/>
            <w:tcBorders>
              <w:top w:val="nil"/>
              <w:left w:val="nil"/>
              <w:bottom w:val="nil"/>
              <w:right w:val="nil"/>
            </w:tcBorders>
            <w:shd w:val="clear" w:color="auto" w:fill="auto"/>
            <w:noWrap/>
            <w:vAlign w:val="bottom"/>
            <w:hideMark/>
          </w:tcPr>
          <w:p w14:paraId="5F4636F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93.5</w:t>
            </w:r>
          </w:p>
        </w:tc>
        <w:tc>
          <w:tcPr>
            <w:tcW w:w="784" w:type="dxa"/>
            <w:tcBorders>
              <w:top w:val="nil"/>
              <w:left w:val="single" w:sz="8" w:space="0" w:color="auto"/>
              <w:bottom w:val="nil"/>
              <w:right w:val="single" w:sz="8" w:space="0" w:color="auto"/>
            </w:tcBorders>
            <w:shd w:val="clear" w:color="auto" w:fill="auto"/>
            <w:noWrap/>
            <w:vAlign w:val="bottom"/>
            <w:hideMark/>
          </w:tcPr>
          <w:p w14:paraId="23B71C6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95.2</w:t>
            </w:r>
          </w:p>
        </w:tc>
        <w:tc>
          <w:tcPr>
            <w:tcW w:w="784" w:type="dxa"/>
            <w:tcBorders>
              <w:top w:val="nil"/>
              <w:left w:val="nil"/>
              <w:bottom w:val="nil"/>
              <w:right w:val="nil"/>
            </w:tcBorders>
            <w:shd w:val="clear" w:color="auto" w:fill="auto"/>
            <w:noWrap/>
            <w:vAlign w:val="bottom"/>
            <w:hideMark/>
          </w:tcPr>
          <w:p w14:paraId="42C9C5F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91.2</w:t>
            </w:r>
          </w:p>
        </w:tc>
        <w:tc>
          <w:tcPr>
            <w:tcW w:w="784" w:type="dxa"/>
            <w:tcBorders>
              <w:top w:val="nil"/>
              <w:left w:val="single" w:sz="8" w:space="0" w:color="auto"/>
              <w:bottom w:val="nil"/>
              <w:right w:val="single" w:sz="8" w:space="0" w:color="auto"/>
            </w:tcBorders>
            <w:shd w:val="clear" w:color="auto" w:fill="auto"/>
            <w:noWrap/>
            <w:vAlign w:val="bottom"/>
            <w:hideMark/>
          </w:tcPr>
          <w:p w14:paraId="51BC0B5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90.5</w:t>
            </w:r>
          </w:p>
        </w:tc>
        <w:tc>
          <w:tcPr>
            <w:tcW w:w="784" w:type="dxa"/>
            <w:tcBorders>
              <w:top w:val="nil"/>
              <w:left w:val="nil"/>
              <w:bottom w:val="nil"/>
              <w:right w:val="nil"/>
            </w:tcBorders>
            <w:shd w:val="clear" w:color="auto" w:fill="auto"/>
            <w:noWrap/>
            <w:vAlign w:val="bottom"/>
            <w:hideMark/>
          </w:tcPr>
          <w:p w14:paraId="360CD3F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96</w:t>
            </w:r>
          </w:p>
        </w:tc>
        <w:tc>
          <w:tcPr>
            <w:tcW w:w="784" w:type="dxa"/>
            <w:tcBorders>
              <w:top w:val="nil"/>
              <w:left w:val="single" w:sz="8" w:space="0" w:color="auto"/>
              <w:bottom w:val="nil"/>
              <w:right w:val="single" w:sz="8" w:space="0" w:color="auto"/>
            </w:tcBorders>
            <w:shd w:val="clear" w:color="auto" w:fill="auto"/>
            <w:noWrap/>
            <w:vAlign w:val="bottom"/>
            <w:hideMark/>
          </w:tcPr>
          <w:p w14:paraId="252B804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91.3</w:t>
            </w:r>
          </w:p>
        </w:tc>
        <w:tc>
          <w:tcPr>
            <w:tcW w:w="784" w:type="dxa"/>
            <w:tcBorders>
              <w:top w:val="nil"/>
              <w:left w:val="nil"/>
              <w:bottom w:val="nil"/>
              <w:right w:val="single" w:sz="8" w:space="0" w:color="auto"/>
            </w:tcBorders>
            <w:shd w:val="clear" w:color="auto" w:fill="auto"/>
            <w:noWrap/>
            <w:vAlign w:val="bottom"/>
            <w:hideMark/>
          </w:tcPr>
          <w:p w14:paraId="10E4A7F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81.8</w:t>
            </w:r>
          </w:p>
        </w:tc>
        <w:tc>
          <w:tcPr>
            <w:tcW w:w="784" w:type="dxa"/>
            <w:tcBorders>
              <w:top w:val="nil"/>
              <w:left w:val="nil"/>
              <w:bottom w:val="nil"/>
              <w:right w:val="single" w:sz="8" w:space="0" w:color="auto"/>
            </w:tcBorders>
            <w:shd w:val="clear" w:color="auto" w:fill="auto"/>
            <w:noWrap/>
            <w:vAlign w:val="bottom"/>
            <w:hideMark/>
          </w:tcPr>
          <w:p w14:paraId="2F0D755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80.5</w:t>
            </w:r>
          </w:p>
        </w:tc>
        <w:tc>
          <w:tcPr>
            <w:tcW w:w="784" w:type="dxa"/>
            <w:tcBorders>
              <w:top w:val="nil"/>
              <w:left w:val="nil"/>
              <w:bottom w:val="nil"/>
              <w:right w:val="single" w:sz="8" w:space="0" w:color="auto"/>
            </w:tcBorders>
            <w:shd w:val="clear" w:color="auto" w:fill="auto"/>
            <w:noWrap/>
            <w:vAlign w:val="bottom"/>
            <w:hideMark/>
          </w:tcPr>
          <w:p w14:paraId="325B820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85.8</w:t>
            </w:r>
          </w:p>
        </w:tc>
        <w:tc>
          <w:tcPr>
            <w:tcW w:w="784" w:type="dxa"/>
            <w:tcBorders>
              <w:top w:val="nil"/>
              <w:left w:val="nil"/>
              <w:bottom w:val="nil"/>
              <w:right w:val="single" w:sz="8" w:space="0" w:color="auto"/>
            </w:tcBorders>
            <w:shd w:val="clear" w:color="auto" w:fill="auto"/>
            <w:noWrap/>
            <w:vAlign w:val="bottom"/>
            <w:hideMark/>
          </w:tcPr>
          <w:p w14:paraId="7B98A80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85.5</w:t>
            </w:r>
          </w:p>
        </w:tc>
      </w:tr>
      <w:tr w:rsidR="003656FA" w:rsidRPr="003656FA" w14:paraId="1F687FB6"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712501EB"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Germany</w:t>
            </w:r>
          </w:p>
        </w:tc>
        <w:tc>
          <w:tcPr>
            <w:tcW w:w="784" w:type="dxa"/>
            <w:tcBorders>
              <w:top w:val="nil"/>
              <w:left w:val="single" w:sz="8" w:space="0" w:color="auto"/>
              <w:bottom w:val="nil"/>
              <w:right w:val="single" w:sz="8" w:space="0" w:color="auto"/>
            </w:tcBorders>
            <w:shd w:val="clear" w:color="auto" w:fill="auto"/>
            <w:noWrap/>
            <w:vAlign w:val="bottom"/>
            <w:hideMark/>
          </w:tcPr>
          <w:p w14:paraId="33C77C8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86.4</w:t>
            </w:r>
          </w:p>
        </w:tc>
        <w:tc>
          <w:tcPr>
            <w:tcW w:w="784" w:type="dxa"/>
            <w:tcBorders>
              <w:top w:val="nil"/>
              <w:left w:val="nil"/>
              <w:bottom w:val="nil"/>
              <w:right w:val="nil"/>
            </w:tcBorders>
            <w:shd w:val="clear" w:color="auto" w:fill="auto"/>
            <w:noWrap/>
            <w:vAlign w:val="bottom"/>
            <w:hideMark/>
          </w:tcPr>
          <w:p w14:paraId="0700E6B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84.9</w:t>
            </w:r>
          </w:p>
        </w:tc>
        <w:tc>
          <w:tcPr>
            <w:tcW w:w="784" w:type="dxa"/>
            <w:tcBorders>
              <w:top w:val="nil"/>
              <w:left w:val="single" w:sz="8" w:space="0" w:color="auto"/>
              <w:bottom w:val="nil"/>
              <w:right w:val="single" w:sz="8" w:space="0" w:color="auto"/>
            </w:tcBorders>
            <w:shd w:val="clear" w:color="auto" w:fill="auto"/>
            <w:noWrap/>
            <w:vAlign w:val="bottom"/>
            <w:hideMark/>
          </w:tcPr>
          <w:p w14:paraId="48A0B42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84</w:t>
            </w:r>
          </w:p>
        </w:tc>
        <w:tc>
          <w:tcPr>
            <w:tcW w:w="784" w:type="dxa"/>
            <w:tcBorders>
              <w:top w:val="nil"/>
              <w:left w:val="nil"/>
              <w:bottom w:val="nil"/>
              <w:right w:val="nil"/>
            </w:tcBorders>
            <w:shd w:val="clear" w:color="auto" w:fill="auto"/>
            <w:noWrap/>
            <w:vAlign w:val="bottom"/>
            <w:hideMark/>
          </w:tcPr>
          <w:p w14:paraId="582B3D2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79.9</w:t>
            </w:r>
          </w:p>
        </w:tc>
        <w:tc>
          <w:tcPr>
            <w:tcW w:w="784" w:type="dxa"/>
            <w:tcBorders>
              <w:top w:val="nil"/>
              <w:left w:val="single" w:sz="8" w:space="0" w:color="auto"/>
              <w:bottom w:val="nil"/>
              <w:right w:val="single" w:sz="8" w:space="0" w:color="auto"/>
            </w:tcBorders>
            <w:shd w:val="clear" w:color="auto" w:fill="auto"/>
            <w:noWrap/>
            <w:vAlign w:val="bottom"/>
            <w:hideMark/>
          </w:tcPr>
          <w:p w14:paraId="0DD652A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78.3</w:t>
            </w:r>
          </w:p>
        </w:tc>
        <w:tc>
          <w:tcPr>
            <w:tcW w:w="784" w:type="dxa"/>
            <w:tcBorders>
              <w:top w:val="nil"/>
              <w:left w:val="nil"/>
              <w:bottom w:val="nil"/>
              <w:right w:val="nil"/>
            </w:tcBorders>
            <w:shd w:val="clear" w:color="auto" w:fill="auto"/>
            <w:noWrap/>
            <w:vAlign w:val="bottom"/>
            <w:hideMark/>
          </w:tcPr>
          <w:p w14:paraId="722E3ED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83.7</w:t>
            </w:r>
          </w:p>
        </w:tc>
        <w:tc>
          <w:tcPr>
            <w:tcW w:w="784" w:type="dxa"/>
            <w:tcBorders>
              <w:top w:val="nil"/>
              <w:left w:val="single" w:sz="8" w:space="0" w:color="auto"/>
              <w:bottom w:val="nil"/>
              <w:right w:val="single" w:sz="8" w:space="0" w:color="auto"/>
            </w:tcBorders>
            <w:shd w:val="clear" w:color="auto" w:fill="auto"/>
            <w:noWrap/>
            <w:vAlign w:val="bottom"/>
            <w:hideMark/>
          </w:tcPr>
          <w:p w14:paraId="732E8ED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86</w:t>
            </w:r>
          </w:p>
        </w:tc>
        <w:tc>
          <w:tcPr>
            <w:tcW w:w="784" w:type="dxa"/>
            <w:tcBorders>
              <w:top w:val="nil"/>
              <w:left w:val="nil"/>
              <w:bottom w:val="nil"/>
              <w:right w:val="single" w:sz="8" w:space="0" w:color="auto"/>
            </w:tcBorders>
            <w:shd w:val="clear" w:color="auto" w:fill="auto"/>
            <w:noWrap/>
            <w:vAlign w:val="bottom"/>
            <w:hideMark/>
          </w:tcPr>
          <w:p w14:paraId="5C2A669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77.3</w:t>
            </w:r>
          </w:p>
        </w:tc>
        <w:tc>
          <w:tcPr>
            <w:tcW w:w="784" w:type="dxa"/>
            <w:tcBorders>
              <w:top w:val="nil"/>
              <w:left w:val="nil"/>
              <w:bottom w:val="nil"/>
              <w:right w:val="single" w:sz="8" w:space="0" w:color="auto"/>
            </w:tcBorders>
            <w:shd w:val="clear" w:color="auto" w:fill="auto"/>
            <w:noWrap/>
            <w:vAlign w:val="bottom"/>
            <w:hideMark/>
          </w:tcPr>
          <w:p w14:paraId="61AF316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77.7</w:t>
            </w:r>
          </w:p>
        </w:tc>
        <w:tc>
          <w:tcPr>
            <w:tcW w:w="784" w:type="dxa"/>
            <w:tcBorders>
              <w:top w:val="nil"/>
              <w:left w:val="nil"/>
              <w:bottom w:val="nil"/>
              <w:right w:val="single" w:sz="8" w:space="0" w:color="auto"/>
            </w:tcBorders>
            <w:shd w:val="clear" w:color="auto" w:fill="auto"/>
            <w:noWrap/>
            <w:vAlign w:val="bottom"/>
            <w:hideMark/>
          </w:tcPr>
          <w:p w14:paraId="1908431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80.6</w:t>
            </w:r>
          </w:p>
        </w:tc>
        <w:tc>
          <w:tcPr>
            <w:tcW w:w="784" w:type="dxa"/>
            <w:tcBorders>
              <w:top w:val="nil"/>
              <w:left w:val="nil"/>
              <w:bottom w:val="nil"/>
              <w:right w:val="single" w:sz="8" w:space="0" w:color="auto"/>
            </w:tcBorders>
            <w:shd w:val="clear" w:color="auto" w:fill="auto"/>
            <w:noWrap/>
            <w:vAlign w:val="bottom"/>
            <w:hideMark/>
          </w:tcPr>
          <w:p w14:paraId="6D02CC6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79.5</w:t>
            </w:r>
          </w:p>
        </w:tc>
      </w:tr>
      <w:tr w:rsidR="003656FA" w:rsidRPr="003656FA" w14:paraId="30BAE591"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06F81900"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Netherlands</w:t>
            </w:r>
          </w:p>
        </w:tc>
        <w:tc>
          <w:tcPr>
            <w:tcW w:w="784" w:type="dxa"/>
            <w:tcBorders>
              <w:top w:val="nil"/>
              <w:left w:val="single" w:sz="8" w:space="0" w:color="auto"/>
              <w:bottom w:val="nil"/>
              <w:right w:val="single" w:sz="8" w:space="0" w:color="auto"/>
            </w:tcBorders>
            <w:shd w:val="clear" w:color="auto" w:fill="auto"/>
            <w:noWrap/>
            <w:vAlign w:val="bottom"/>
            <w:hideMark/>
          </w:tcPr>
          <w:p w14:paraId="76E3CB1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63.9</w:t>
            </w:r>
          </w:p>
        </w:tc>
        <w:tc>
          <w:tcPr>
            <w:tcW w:w="784" w:type="dxa"/>
            <w:tcBorders>
              <w:top w:val="nil"/>
              <w:left w:val="nil"/>
              <w:bottom w:val="nil"/>
              <w:right w:val="nil"/>
            </w:tcBorders>
            <w:shd w:val="clear" w:color="auto" w:fill="auto"/>
            <w:noWrap/>
            <w:vAlign w:val="bottom"/>
            <w:hideMark/>
          </w:tcPr>
          <w:p w14:paraId="1BF35D7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62.1</w:t>
            </w:r>
          </w:p>
        </w:tc>
        <w:tc>
          <w:tcPr>
            <w:tcW w:w="784" w:type="dxa"/>
            <w:tcBorders>
              <w:top w:val="nil"/>
              <w:left w:val="single" w:sz="8" w:space="0" w:color="auto"/>
              <w:bottom w:val="nil"/>
              <w:right w:val="single" w:sz="8" w:space="0" w:color="auto"/>
            </w:tcBorders>
            <w:shd w:val="clear" w:color="auto" w:fill="auto"/>
            <w:noWrap/>
            <w:vAlign w:val="bottom"/>
            <w:hideMark/>
          </w:tcPr>
          <w:p w14:paraId="625580E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61.7</w:t>
            </w:r>
          </w:p>
        </w:tc>
        <w:tc>
          <w:tcPr>
            <w:tcW w:w="784" w:type="dxa"/>
            <w:tcBorders>
              <w:top w:val="nil"/>
              <w:left w:val="nil"/>
              <w:bottom w:val="nil"/>
              <w:right w:val="nil"/>
            </w:tcBorders>
            <w:shd w:val="clear" w:color="auto" w:fill="auto"/>
            <w:noWrap/>
            <w:vAlign w:val="bottom"/>
            <w:hideMark/>
          </w:tcPr>
          <w:p w14:paraId="053F4CF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62.2</w:t>
            </w:r>
          </w:p>
        </w:tc>
        <w:tc>
          <w:tcPr>
            <w:tcW w:w="784" w:type="dxa"/>
            <w:tcBorders>
              <w:top w:val="nil"/>
              <w:left w:val="single" w:sz="8" w:space="0" w:color="auto"/>
              <w:bottom w:val="nil"/>
              <w:right w:val="single" w:sz="8" w:space="0" w:color="auto"/>
            </w:tcBorders>
            <w:shd w:val="clear" w:color="auto" w:fill="auto"/>
            <w:noWrap/>
            <w:vAlign w:val="bottom"/>
            <w:hideMark/>
          </w:tcPr>
          <w:p w14:paraId="6877EC1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65.1</w:t>
            </w:r>
          </w:p>
        </w:tc>
        <w:tc>
          <w:tcPr>
            <w:tcW w:w="784" w:type="dxa"/>
            <w:tcBorders>
              <w:top w:val="nil"/>
              <w:left w:val="nil"/>
              <w:bottom w:val="nil"/>
              <w:right w:val="nil"/>
            </w:tcBorders>
            <w:shd w:val="clear" w:color="auto" w:fill="auto"/>
            <w:noWrap/>
            <w:vAlign w:val="bottom"/>
            <w:hideMark/>
          </w:tcPr>
          <w:p w14:paraId="5BA99BE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67.7</w:t>
            </w:r>
          </w:p>
        </w:tc>
        <w:tc>
          <w:tcPr>
            <w:tcW w:w="784" w:type="dxa"/>
            <w:tcBorders>
              <w:top w:val="nil"/>
              <w:left w:val="single" w:sz="8" w:space="0" w:color="auto"/>
              <w:bottom w:val="nil"/>
              <w:right w:val="single" w:sz="8" w:space="0" w:color="auto"/>
            </w:tcBorders>
            <w:shd w:val="clear" w:color="auto" w:fill="auto"/>
            <w:noWrap/>
            <w:vAlign w:val="bottom"/>
            <w:hideMark/>
          </w:tcPr>
          <w:p w14:paraId="14CDD8F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70.9</w:t>
            </w:r>
          </w:p>
        </w:tc>
        <w:tc>
          <w:tcPr>
            <w:tcW w:w="784" w:type="dxa"/>
            <w:tcBorders>
              <w:top w:val="nil"/>
              <w:left w:val="nil"/>
              <w:bottom w:val="nil"/>
              <w:right w:val="single" w:sz="8" w:space="0" w:color="auto"/>
            </w:tcBorders>
            <w:shd w:val="clear" w:color="auto" w:fill="auto"/>
            <w:noWrap/>
            <w:vAlign w:val="bottom"/>
            <w:hideMark/>
          </w:tcPr>
          <w:p w14:paraId="38082CA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69.1</w:t>
            </w:r>
          </w:p>
        </w:tc>
        <w:tc>
          <w:tcPr>
            <w:tcW w:w="784" w:type="dxa"/>
            <w:tcBorders>
              <w:top w:val="nil"/>
              <w:left w:val="nil"/>
              <w:bottom w:val="nil"/>
              <w:right w:val="single" w:sz="8" w:space="0" w:color="auto"/>
            </w:tcBorders>
            <w:shd w:val="clear" w:color="auto" w:fill="auto"/>
            <w:noWrap/>
            <w:vAlign w:val="bottom"/>
            <w:hideMark/>
          </w:tcPr>
          <w:p w14:paraId="2CA4F43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66.2</w:t>
            </w:r>
          </w:p>
        </w:tc>
        <w:tc>
          <w:tcPr>
            <w:tcW w:w="784" w:type="dxa"/>
            <w:tcBorders>
              <w:top w:val="nil"/>
              <w:left w:val="nil"/>
              <w:bottom w:val="nil"/>
              <w:right w:val="single" w:sz="8" w:space="0" w:color="auto"/>
            </w:tcBorders>
            <w:shd w:val="clear" w:color="auto" w:fill="auto"/>
            <w:noWrap/>
            <w:vAlign w:val="bottom"/>
            <w:hideMark/>
          </w:tcPr>
          <w:p w14:paraId="4F3A49C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67.9</w:t>
            </w:r>
          </w:p>
        </w:tc>
        <w:tc>
          <w:tcPr>
            <w:tcW w:w="784" w:type="dxa"/>
            <w:tcBorders>
              <w:top w:val="nil"/>
              <w:left w:val="nil"/>
              <w:bottom w:val="nil"/>
              <w:right w:val="single" w:sz="8" w:space="0" w:color="auto"/>
            </w:tcBorders>
            <w:shd w:val="clear" w:color="auto" w:fill="auto"/>
            <w:noWrap/>
            <w:vAlign w:val="bottom"/>
            <w:hideMark/>
          </w:tcPr>
          <w:p w14:paraId="0A2E63E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69.4</w:t>
            </w:r>
          </w:p>
        </w:tc>
      </w:tr>
      <w:tr w:rsidR="003656FA" w:rsidRPr="003656FA" w14:paraId="1E27501A"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0D05A6F3"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Bermuda</w:t>
            </w:r>
          </w:p>
        </w:tc>
        <w:tc>
          <w:tcPr>
            <w:tcW w:w="784" w:type="dxa"/>
            <w:tcBorders>
              <w:top w:val="nil"/>
              <w:left w:val="single" w:sz="8" w:space="0" w:color="auto"/>
              <w:bottom w:val="nil"/>
              <w:right w:val="single" w:sz="8" w:space="0" w:color="auto"/>
            </w:tcBorders>
            <w:shd w:val="clear" w:color="auto" w:fill="auto"/>
            <w:noWrap/>
            <w:vAlign w:val="bottom"/>
            <w:hideMark/>
          </w:tcPr>
          <w:p w14:paraId="2CE25F6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74.4</w:t>
            </w:r>
          </w:p>
        </w:tc>
        <w:tc>
          <w:tcPr>
            <w:tcW w:w="784" w:type="dxa"/>
            <w:tcBorders>
              <w:top w:val="nil"/>
              <w:left w:val="nil"/>
              <w:bottom w:val="nil"/>
              <w:right w:val="nil"/>
            </w:tcBorders>
            <w:shd w:val="clear" w:color="auto" w:fill="auto"/>
            <w:noWrap/>
            <w:vAlign w:val="bottom"/>
            <w:hideMark/>
          </w:tcPr>
          <w:p w14:paraId="0372522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69.6</w:t>
            </w:r>
          </w:p>
        </w:tc>
        <w:tc>
          <w:tcPr>
            <w:tcW w:w="784" w:type="dxa"/>
            <w:tcBorders>
              <w:top w:val="nil"/>
              <w:left w:val="single" w:sz="8" w:space="0" w:color="auto"/>
              <w:bottom w:val="nil"/>
              <w:right w:val="single" w:sz="8" w:space="0" w:color="auto"/>
            </w:tcBorders>
            <w:shd w:val="clear" w:color="auto" w:fill="auto"/>
            <w:noWrap/>
            <w:vAlign w:val="bottom"/>
            <w:hideMark/>
          </w:tcPr>
          <w:p w14:paraId="53C5647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65.4</w:t>
            </w:r>
          </w:p>
        </w:tc>
        <w:tc>
          <w:tcPr>
            <w:tcW w:w="784" w:type="dxa"/>
            <w:tcBorders>
              <w:top w:val="nil"/>
              <w:left w:val="nil"/>
              <w:bottom w:val="nil"/>
              <w:right w:val="nil"/>
            </w:tcBorders>
            <w:shd w:val="clear" w:color="auto" w:fill="auto"/>
            <w:noWrap/>
            <w:vAlign w:val="bottom"/>
            <w:hideMark/>
          </w:tcPr>
          <w:p w14:paraId="56AB6CE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68.2</w:t>
            </w:r>
          </w:p>
        </w:tc>
        <w:tc>
          <w:tcPr>
            <w:tcW w:w="784" w:type="dxa"/>
            <w:tcBorders>
              <w:top w:val="nil"/>
              <w:left w:val="single" w:sz="8" w:space="0" w:color="auto"/>
              <w:bottom w:val="nil"/>
              <w:right w:val="single" w:sz="8" w:space="0" w:color="auto"/>
            </w:tcBorders>
            <w:shd w:val="clear" w:color="auto" w:fill="auto"/>
            <w:noWrap/>
            <w:vAlign w:val="bottom"/>
            <w:hideMark/>
          </w:tcPr>
          <w:p w14:paraId="097E1E6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71.3</w:t>
            </w:r>
          </w:p>
        </w:tc>
        <w:tc>
          <w:tcPr>
            <w:tcW w:w="784" w:type="dxa"/>
            <w:tcBorders>
              <w:top w:val="nil"/>
              <w:left w:val="nil"/>
              <w:bottom w:val="nil"/>
              <w:right w:val="nil"/>
            </w:tcBorders>
            <w:shd w:val="clear" w:color="auto" w:fill="auto"/>
            <w:noWrap/>
            <w:vAlign w:val="bottom"/>
            <w:hideMark/>
          </w:tcPr>
          <w:p w14:paraId="4660531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64.8</w:t>
            </w:r>
          </w:p>
        </w:tc>
        <w:tc>
          <w:tcPr>
            <w:tcW w:w="784" w:type="dxa"/>
            <w:tcBorders>
              <w:top w:val="nil"/>
              <w:left w:val="single" w:sz="8" w:space="0" w:color="auto"/>
              <w:bottom w:val="nil"/>
              <w:right w:val="single" w:sz="8" w:space="0" w:color="auto"/>
            </w:tcBorders>
            <w:shd w:val="clear" w:color="auto" w:fill="auto"/>
            <w:noWrap/>
            <w:vAlign w:val="bottom"/>
            <w:hideMark/>
          </w:tcPr>
          <w:p w14:paraId="7861849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65.9</w:t>
            </w:r>
          </w:p>
        </w:tc>
        <w:tc>
          <w:tcPr>
            <w:tcW w:w="784" w:type="dxa"/>
            <w:tcBorders>
              <w:top w:val="nil"/>
              <w:left w:val="nil"/>
              <w:bottom w:val="nil"/>
              <w:right w:val="single" w:sz="8" w:space="0" w:color="auto"/>
            </w:tcBorders>
            <w:shd w:val="clear" w:color="auto" w:fill="auto"/>
            <w:noWrap/>
            <w:vAlign w:val="bottom"/>
            <w:hideMark/>
          </w:tcPr>
          <w:p w14:paraId="50291EE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64.2</w:t>
            </w:r>
          </w:p>
        </w:tc>
        <w:tc>
          <w:tcPr>
            <w:tcW w:w="784" w:type="dxa"/>
            <w:tcBorders>
              <w:top w:val="nil"/>
              <w:left w:val="nil"/>
              <w:bottom w:val="nil"/>
              <w:right w:val="single" w:sz="8" w:space="0" w:color="auto"/>
            </w:tcBorders>
            <w:shd w:val="clear" w:color="auto" w:fill="auto"/>
            <w:noWrap/>
            <w:vAlign w:val="bottom"/>
            <w:hideMark/>
          </w:tcPr>
          <w:p w14:paraId="5494443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65.5</w:t>
            </w:r>
          </w:p>
        </w:tc>
        <w:tc>
          <w:tcPr>
            <w:tcW w:w="784" w:type="dxa"/>
            <w:tcBorders>
              <w:top w:val="nil"/>
              <w:left w:val="nil"/>
              <w:bottom w:val="nil"/>
              <w:right w:val="single" w:sz="8" w:space="0" w:color="auto"/>
            </w:tcBorders>
            <w:shd w:val="clear" w:color="auto" w:fill="auto"/>
            <w:noWrap/>
            <w:vAlign w:val="bottom"/>
            <w:hideMark/>
          </w:tcPr>
          <w:p w14:paraId="570A9F5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63.9</w:t>
            </w:r>
          </w:p>
        </w:tc>
        <w:tc>
          <w:tcPr>
            <w:tcW w:w="784" w:type="dxa"/>
            <w:tcBorders>
              <w:top w:val="nil"/>
              <w:left w:val="nil"/>
              <w:bottom w:val="nil"/>
              <w:right w:val="single" w:sz="8" w:space="0" w:color="auto"/>
            </w:tcBorders>
            <w:shd w:val="clear" w:color="auto" w:fill="auto"/>
            <w:noWrap/>
            <w:vAlign w:val="bottom"/>
            <w:hideMark/>
          </w:tcPr>
          <w:p w14:paraId="4D8FBBE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66.8</w:t>
            </w:r>
          </w:p>
        </w:tc>
      </w:tr>
      <w:tr w:rsidR="003656FA" w:rsidRPr="003656FA" w14:paraId="0AB6166C"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6538B31C"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Israel</w:t>
            </w:r>
          </w:p>
        </w:tc>
        <w:tc>
          <w:tcPr>
            <w:tcW w:w="784" w:type="dxa"/>
            <w:tcBorders>
              <w:top w:val="nil"/>
              <w:left w:val="single" w:sz="8" w:space="0" w:color="auto"/>
              <w:bottom w:val="nil"/>
              <w:right w:val="single" w:sz="8" w:space="0" w:color="auto"/>
            </w:tcBorders>
            <w:shd w:val="clear" w:color="auto" w:fill="auto"/>
            <w:noWrap/>
            <w:vAlign w:val="bottom"/>
            <w:hideMark/>
          </w:tcPr>
          <w:p w14:paraId="4B3C25D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42.9</w:t>
            </w:r>
          </w:p>
        </w:tc>
        <w:tc>
          <w:tcPr>
            <w:tcW w:w="784" w:type="dxa"/>
            <w:tcBorders>
              <w:top w:val="nil"/>
              <w:left w:val="nil"/>
              <w:bottom w:val="nil"/>
              <w:right w:val="nil"/>
            </w:tcBorders>
            <w:shd w:val="clear" w:color="auto" w:fill="auto"/>
            <w:noWrap/>
            <w:vAlign w:val="bottom"/>
            <w:hideMark/>
          </w:tcPr>
          <w:p w14:paraId="5D83AB4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w:t>
            </w:r>
          </w:p>
        </w:tc>
        <w:tc>
          <w:tcPr>
            <w:tcW w:w="784" w:type="dxa"/>
            <w:tcBorders>
              <w:top w:val="nil"/>
              <w:left w:val="single" w:sz="8" w:space="0" w:color="auto"/>
              <w:bottom w:val="nil"/>
              <w:right w:val="single" w:sz="8" w:space="0" w:color="auto"/>
            </w:tcBorders>
            <w:shd w:val="clear" w:color="auto" w:fill="auto"/>
            <w:noWrap/>
            <w:vAlign w:val="bottom"/>
            <w:hideMark/>
          </w:tcPr>
          <w:p w14:paraId="1F4F83C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45.4</w:t>
            </w:r>
          </w:p>
        </w:tc>
        <w:tc>
          <w:tcPr>
            <w:tcW w:w="784" w:type="dxa"/>
            <w:tcBorders>
              <w:top w:val="nil"/>
              <w:left w:val="nil"/>
              <w:bottom w:val="nil"/>
              <w:right w:val="nil"/>
            </w:tcBorders>
            <w:shd w:val="clear" w:color="auto" w:fill="auto"/>
            <w:noWrap/>
            <w:vAlign w:val="bottom"/>
            <w:hideMark/>
          </w:tcPr>
          <w:p w14:paraId="487F958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45.6</w:t>
            </w:r>
          </w:p>
        </w:tc>
        <w:tc>
          <w:tcPr>
            <w:tcW w:w="784" w:type="dxa"/>
            <w:tcBorders>
              <w:top w:val="nil"/>
              <w:left w:val="single" w:sz="8" w:space="0" w:color="auto"/>
              <w:bottom w:val="nil"/>
              <w:right w:val="single" w:sz="8" w:space="0" w:color="auto"/>
            </w:tcBorders>
            <w:shd w:val="clear" w:color="auto" w:fill="auto"/>
            <w:noWrap/>
            <w:vAlign w:val="bottom"/>
            <w:hideMark/>
          </w:tcPr>
          <w:p w14:paraId="619932C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43.1</w:t>
            </w:r>
          </w:p>
        </w:tc>
        <w:tc>
          <w:tcPr>
            <w:tcW w:w="784" w:type="dxa"/>
            <w:tcBorders>
              <w:top w:val="nil"/>
              <w:left w:val="nil"/>
              <w:bottom w:val="nil"/>
              <w:right w:val="nil"/>
            </w:tcBorders>
            <w:shd w:val="clear" w:color="auto" w:fill="auto"/>
            <w:noWrap/>
            <w:vAlign w:val="bottom"/>
            <w:hideMark/>
          </w:tcPr>
          <w:p w14:paraId="4D3D5C4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45.6</w:t>
            </w:r>
          </w:p>
        </w:tc>
        <w:tc>
          <w:tcPr>
            <w:tcW w:w="784" w:type="dxa"/>
            <w:tcBorders>
              <w:top w:val="nil"/>
              <w:left w:val="single" w:sz="8" w:space="0" w:color="auto"/>
              <w:bottom w:val="nil"/>
              <w:right w:val="single" w:sz="8" w:space="0" w:color="auto"/>
            </w:tcBorders>
            <w:shd w:val="clear" w:color="auto" w:fill="auto"/>
            <w:noWrap/>
            <w:vAlign w:val="bottom"/>
            <w:hideMark/>
          </w:tcPr>
          <w:p w14:paraId="460ABA4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45.1</w:t>
            </w:r>
          </w:p>
        </w:tc>
        <w:tc>
          <w:tcPr>
            <w:tcW w:w="784" w:type="dxa"/>
            <w:tcBorders>
              <w:top w:val="nil"/>
              <w:left w:val="nil"/>
              <w:bottom w:val="nil"/>
              <w:right w:val="single" w:sz="8" w:space="0" w:color="auto"/>
            </w:tcBorders>
            <w:shd w:val="clear" w:color="auto" w:fill="auto"/>
            <w:noWrap/>
            <w:vAlign w:val="bottom"/>
            <w:hideMark/>
          </w:tcPr>
          <w:p w14:paraId="249A355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41.1</w:t>
            </w:r>
          </w:p>
        </w:tc>
        <w:tc>
          <w:tcPr>
            <w:tcW w:w="784" w:type="dxa"/>
            <w:tcBorders>
              <w:top w:val="nil"/>
              <w:left w:val="nil"/>
              <w:bottom w:val="nil"/>
              <w:right w:val="single" w:sz="8" w:space="0" w:color="auto"/>
            </w:tcBorders>
            <w:shd w:val="clear" w:color="auto" w:fill="auto"/>
            <w:noWrap/>
            <w:vAlign w:val="bottom"/>
            <w:hideMark/>
          </w:tcPr>
          <w:p w14:paraId="4AFD909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43.2</w:t>
            </w:r>
          </w:p>
        </w:tc>
        <w:tc>
          <w:tcPr>
            <w:tcW w:w="784" w:type="dxa"/>
            <w:tcBorders>
              <w:top w:val="nil"/>
              <w:left w:val="nil"/>
              <w:bottom w:val="nil"/>
              <w:right w:val="single" w:sz="8" w:space="0" w:color="auto"/>
            </w:tcBorders>
            <w:shd w:val="clear" w:color="auto" w:fill="auto"/>
            <w:noWrap/>
            <w:vAlign w:val="bottom"/>
            <w:hideMark/>
          </w:tcPr>
          <w:p w14:paraId="7C9FE07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46.8</w:t>
            </w:r>
          </w:p>
        </w:tc>
        <w:tc>
          <w:tcPr>
            <w:tcW w:w="784" w:type="dxa"/>
            <w:tcBorders>
              <w:top w:val="nil"/>
              <w:left w:val="nil"/>
              <w:bottom w:val="nil"/>
              <w:right w:val="single" w:sz="8" w:space="0" w:color="auto"/>
            </w:tcBorders>
            <w:shd w:val="clear" w:color="auto" w:fill="auto"/>
            <w:noWrap/>
            <w:vAlign w:val="bottom"/>
            <w:hideMark/>
          </w:tcPr>
          <w:p w14:paraId="1C73349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47.6</w:t>
            </w:r>
          </w:p>
        </w:tc>
      </w:tr>
      <w:tr w:rsidR="003656FA" w:rsidRPr="003656FA" w14:paraId="55637062"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0686E73C"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Mexico</w:t>
            </w:r>
          </w:p>
        </w:tc>
        <w:tc>
          <w:tcPr>
            <w:tcW w:w="784" w:type="dxa"/>
            <w:tcBorders>
              <w:top w:val="nil"/>
              <w:left w:val="single" w:sz="8" w:space="0" w:color="auto"/>
              <w:bottom w:val="nil"/>
              <w:right w:val="single" w:sz="8" w:space="0" w:color="auto"/>
            </w:tcBorders>
            <w:shd w:val="clear" w:color="auto" w:fill="auto"/>
            <w:noWrap/>
            <w:vAlign w:val="bottom"/>
            <w:hideMark/>
          </w:tcPr>
          <w:p w14:paraId="00618C8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53</w:t>
            </w:r>
          </w:p>
        </w:tc>
        <w:tc>
          <w:tcPr>
            <w:tcW w:w="784" w:type="dxa"/>
            <w:tcBorders>
              <w:top w:val="nil"/>
              <w:left w:val="nil"/>
              <w:bottom w:val="nil"/>
              <w:right w:val="nil"/>
            </w:tcBorders>
            <w:shd w:val="clear" w:color="auto" w:fill="auto"/>
            <w:noWrap/>
            <w:vAlign w:val="bottom"/>
            <w:hideMark/>
          </w:tcPr>
          <w:p w14:paraId="3959564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51.5</w:t>
            </w:r>
          </w:p>
        </w:tc>
        <w:tc>
          <w:tcPr>
            <w:tcW w:w="784" w:type="dxa"/>
            <w:tcBorders>
              <w:top w:val="nil"/>
              <w:left w:val="single" w:sz="8" w:space="0" w:color="auto"/>
              <w:bottom w:val="nil"/>
              <w:right w:val="single" w:sz="8" w:space="0" w:color="auto"/>
            </w:tcBorders>
            <w:shd w:val="clear" w:color="auto" w:fill="auto"/>
            <w:noWrap/>
            <w:vAlign w:val="bottom"/>
            <w:hideMark/>
          </w:tcPr>
          <w:p w14:paraId="334F10C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49.1</w:t>
            </w:r>
          </w:p>
        </w:tc>
        <w:tc>
          <w:tcPr>
            <w:tcW w:w="784" w:type="dxa"/>
            <w:tcBorders>
              <w:top w:val="nil"/>
              <w:left w:val="nil"/>
              <w:bottom w:val="nil"/>
              <w:right w:val="nil"/>
            </w:tcBorders>
            <w:shd w:val="clear" w:color="auto" w:fill="auto"/>
            <w:noWrap/>
            <w:vAlign w:val="bottom"/>
            <w:hideMark/>
          </w:tcPr>
          <w:p w14:paraId="7B443CC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49.1</w:t>
            </w:r>
          </w:p>
        </w:tc>
        <w:tc>
          <w:tcPr>
            <w:tcW w:w="784" w:type="dxa"/>
            <w:tcBorders>
              <w:top w:val="nil"/>
              <w:left w:val="single" w:sz="8" w:space="0" w:color="auto"/>
              <w:bottom w:val="nil"/>
              <w:right w:val="single" w:sz="8" w:space="0" w:color="auto"/>
            </w:tcBorders>
            <w:shd w:val="clear" w:color="auto" w:fill="auto"/>
            <w:noWrap/>
            <w:vAlign w:val="bottom"/>
            <w:hideMark/>
          </w:tcPr>
          <w:p w14:paraId="03DC498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45.3</w:t>
            </w:r>
          </w:p>
        </w:tc>
        <w:tc>
          <w:tcPr>
            <w:tcW w:w="784" w:type="dxa"/>
            <w:tcBorders>
              <w:top w:val="nil"/>
              <w:left w:val="nil"/>
              <w:bottom w:val="nil"/>
              <w:right w:val="nil"/>
            </w:tcBorders>
            <w:shd w:val="clear" w:color="auto" w:fill="auto"/>
            <w:noWrap/>
            <w:vAlign w:val="bottom"/>
            <w:hideMark/>
          </w:tcPr>
          <w:p w14:paraId="34FD928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45.8</w:t>
            </w:r>
          </w:p>
        </w:tc>
        <w:tc>
          <w:tcPr>
            <w:tcW w:w="784" w:type="dxa"/>
            <w:tcBorders>
              <w:top w:val="nil"/>
              <w:left w:val="single" w:sz="8" w:space="0" w:color="auto"/>
              <w:bottom w:val="nil"/>
              <w:right w:val="single" w:sz="8" w:space="0" w:color="auto"/>
            </w:tcBorders>
            <w:shd w:val="clear" w:color="auto" w:fill="auto"/>
            <w:noWrap/>
            <w:vAlign w:val="bottom"/>
            <w:hideMark/>
          </w:tcPr>
          <w:p w14:paraId="7EEB917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47.5</w:t>
            </w:r>
          </w:p>
        </w:tc>
        <w:tc>
          <w:tcPr>
            <w:tcW w:w="784" w:type="dxa"/>
            <w:tcBorders>
              <w:top w:val="nil"/>
              <w:left w:val="nil"/>
              <w:bottom w:val="nil"/>
              <w:right w:val="single" w:sz="8" w:space="0" w:color="auto"/>
            </w:tcBorders>
            <w:shd w:val="clear" w:color="auto" w:fill="auto"/>
            <w:noWrap/>
            <w:vAlign w:val="bottom"/>
            <w:hideMark/>
          </w:tcPr>
          <w:p w14:paraId="2E37B00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40.9</w:t>
            </w:r>
          </w:p>
        </w:tc>
        <w:tc>
          <w:tcPr>
            <w:tcW w:w="784" w:type="dxa"/>
            <w:tcBorders>
              <w:top w:val="nil"/>
              <w:left w:val="nil"/>
              <w:bottom w:val="nil"/>
              <w:right w:val="single" w:sz="8" w:space="0" w:color="auto"/>
            </w:tcBorders>
            <w:shd w:val="clear" w:color="auto" w:fill="auto"/>
            <w:noWrap/>
            <w:vAlign w:val="bottom"/>
            <w:hideMark/>
          </w:tcPr>
          <w:p w14:paraId="2969193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45.4</w:t>
            </w:r>
          </w:p>
        </w:tc>
        <w:tc>
          <w:tcPr>
            <w:tcW w:w="784" w:type="dxa"/>
            <w:tcBorders>
              <w:top w:val="nil"/>
              <w:left w:val="nil"/>
              <w:bottom w:val="nil"/>
              <w:right w:val="single" w:sz="8" w:space="0" w:color="auto"/>
            </w:tcBorders>
            <w:shd w:val="clear" w:color="auto" w:fill="auto"/>
            <w:noWrap/>
            <w:vAlign w:val="bottom"/>
            <w:hideMark/>
          </w:tcPr>
          <w:p w14:paraId="3FF94BE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47.4</w:t>
            </w:r>
          </w:p>
        </w:tc>
        <w:tc>
          <w:tcPr>
            <w:tcW w:w="784" w:type="dxa"/>
            <w:tcBorders>
              <w:top w:val="nil"/>
              <w:left w:val="nil"/>
              <w:bottom w:val="nil"/>
              <w:right w:val="single" w:sz="8" w:space="0" w:color="auto"/>
            </w:tcBorders>
            <w:shd w:val="clear" w:color="auto" w:fill="auto"/>
            <w:noWrap/>
            <w:vAlign w:val="bottom"/>
            <w:hideMark/>
          </w:tcPr>
          <w:p w14:paraId="59E2304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w:t>
            </w:r>
          </w:p>
        </w:tc>
      </w:tr>
      <w:tr w:rsidR="003656FA" w:rsidRPr="003656FA" w14:paraId="273E5F76"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62DB2FD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Kuwait</w:t>
            </w:r>
          </w:p>
        </w:tc>
        <w:tc>
          <w:tcPr>
            <w:tcW w:w="784" w:type="dxa"/>
            <w:tcBorders>
              <w:top w:val="nil"/>
              <w:left w:val="single" w:sz="8" w:space="0" w:color="auto"/>
              <w:bottom w:val="nil"/>
              <w:right w:val="single" w:sz="8" w:space="0" w:color="auto"/>
            </w:tcBorders>
            <w:shd w:val="clear" w:color="auto" w:fill="auto"/>
            <w:noWrap/>
            <w:vAlign w:val="bottom"/>
            <w:hideMark/>
          </w:tcPr>
          <w:p w14:paraId="0DC7864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44.1</w:t>
            </w:r>
          </w:p>
        </w:tc>
        <w:tc>
          <w:tcPr>
            <w:tcW w:w="784" w:type="dxa"/>
            <w:tcBorders>
              <w:top w:val="nil"/>
              <w:left w:val="nil"/>
              <w:bottom w:val="nil"/>
              <w:right w:val="nil"/>
            </w:tcBorders>
            <w:shd w:val="clear" w:color="auto" w:fill="auto"/>
            <w:noWrap/>
            <w:vAlign w:val="bottom"/>
            <w:hideMark/>
          </w:tcPr>
          <w:p w14:paraId="3A77219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44.1</w:t>
            </w:r>
          </w:p>
        </w:tc>
        <w:tc>
          <w:tcPr>
            <w:tcW w:w="784" w:type="dxa"/>
            <w:tcBorders>
              <w:top w:val="nil"/>
              <w:left w:val="single" w:sz="8" w:space="0" w:color="auto"/>
              <w:bottom w:val="nil"/>
              <w:right w:val="single" w:sz="8" w:space="0" w:color="auto"/>
            </w:tcBorders>
            <w:shd w:val="clear" w:color="auto" w:fill="auto"/>
            <w:noWrap/>
            <w:vAlign w:val="bottom"/>
            <w:hideMark/>
          </w:tcPr>
          <w:p w14:paraId="075088D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43.8</w:t>
            </w:r>
          </w:p>
        </w:tc>
        <w:tc>
          <w:tcPr>
            <w:tcW w:w="784" w:type="dxa"/>
            <w:tcBorders>
              <w:top w:val="nil"/>
              <w:left w:val="nil"/>
              <w:bottom w:val="nil"/>
              <w:right w:val="nil"/>
            </w:tcBorders>
            <w:shd w:val="clear" w:color="auto" w:fill="auto"/>
            <w:noWrap/>
            <w:vAlign w:val="bottom"/>
            <w:hideMark/>
          </w:tcPr>
          <w:p w14:paraId="379EFBB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w:t>
            </w:r>
          </w:p>
        </w:tc>
        <w:tc>
          <w:tcPr>
            <w:tcW w:w="784" w:type="dxa"/>
            <w:tcBorders>
              <w:top w:val="nil"/>
              <w:left w:val="single" w:sz="8" w:space="0" w:color="auto"/>
              <w:bottom w:val="nil"/>
              <w:right w:val="single" w:sz="8" w:space="0" w:color="auto"/>
            </w:tcBorders>
            <w:shd w:val="clear" w:color="auto" w:fill="auto"/>
            <w:noWrap/>
            <w:vAlign w:val="bottom"/>
            <w:hideMark/>
          </w:tcPr>
          <w:p w14:paraId="692BAA9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43.3</w:t>
            </w:r>
          </w:p>
        </w:tc>
        <w:tc>
          <w:tcPr>
            <w:tcW w:w="784" w:type="dxa"/>
            <w:tcBorders>
              <w:top w:val="nil"/>
              <w:left w:val="nil"/>
              <w:bottom w:val="nil"/>
              <w:right w:val="nil"/>
            </w:tcBorders>
            <w:shd w:val="clear" w:color="auto" w:fill="auto"/>
            <w:noWrap/>
            <w:vAlign w:val="bottom"/>
            <w:hideMark/>
          </w:tcPr>
          <w:p w14:paraId="4B3C608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41.9</w:t>
            </w:r>
          </w:p>
        </w:tc>
        <w:tc>
          <w:tcPr>
            <w:tcW w:w="784" w:type="dxa"/>
            <w:tcBorders>
              <w:top w:val="nil"/>
              <w:left w:val="single" w:sz="8" w:space="0" w:color="auto"/>
              <w:bottom w:val="nil"/>
              <w:right w:val="single" w:sz="8" w:space="0" w:color="auto"/>
            </w:tcBorders>
            <w:shd w:val="clear" w:color="auto" w:fill="auto"/>
            <w:noWrap/>
            <w:vAlign w:val="bottom"/>
            <w:hideMark/>
          </w:tcPr>
          <w:p w14:paraId="664F4C8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43.6</w:t>
            </w:r>
          </w:p>
        </w:tc>
        <w:tc>
          <w:tcPr>
            <w:tcW w:w="784" w:type="dxa"/>
            <w:tcBorders>
              <w:top w:val="nil"/>
              <w:left w:val="nil"/>
              <w:bottom w:val="nil"/>
              <w:right w:val="single" w:sz="8" w:space="0" w:color="auto"/>
            </w:tcBorders>
            <w:shd w:val="clear" w:color="auto" w:fill="auto"/>
            <w:noWrap/>
            <w:vAlign w:val="bottom"/>
            <w:hideMark/>
          </w:tcPr>
          <w:p w14:paraId="0B37565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40.1</w:t>
            </w:r>
          </w:p>
        </w:tc>
        <w:tc>
          <w:tcPr>
            <w:tcW w:w="784" w:type="dxa"/>
            <w:tcBorders>
              <w:top w:val="nil"/>
              <w:left w:val="nil"/>
              <w:bottom w:val="nil"/>
              <w:right w:val="single" w:sz="8" w:space="0" w:color="auto"/>
            </w:tcBorders>
            <w:shd w:val="clear" w:color="auto" w:fill="auto"/>
            <w:noWrap/>
            <w:vAlign w:val="bottom"/>
            <w:hideMark/>
          </w:tcPr>
          <w:p w14:paraId="64F93BF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44.5</w:t>
            </w:r>
          </w:p>
        </w:tc>
        <w:tc>
          <w:tcPr>
            <w:tcW w:w="784" w:type="dxa"/>
            <w:tcBorders>
              <w:top w:val="nil"/>
              <w:left w:val="nil"/>
              <w:bottom w:val="nil"/>
              <w:right w:val="single" w:sz="8" w:space="0" w:color="auto"/>
            </w:tcBorders>
            <w:shd w:val="clear" w:color="auto" w:fill="auto"/>
            <w:noWrap/>
            <w:vAlign w:val="bottom"/>
            <w:hideMark/>
          </w:tcPr>
          <w:p w14:paraId="487F9C6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43.6</w:t>
            </w:r>
          </w:p>
        </w:tc>
        <w:tc>
          <w:tcPr>
            <w:tcW w:w="784" w:type="dxa"/>
            <w:tcBorders>
              <w:top w:val="nil"/>
              <w:left w:val="nil"/>
              <w:bottom w:val="nil"/>
              <w:right w:val="single" w:sz="8" w:space="0" w:color="auto"/>
            </w:tcBorders>
            <w:shd w:val="clear" w:color="auto" w:fill="auto"/>
            <w:noWrap/>
            <w:vAlign w:val="bottom"/>
            <w:hideMark/>
          </w:tcPr>
          <w:p w14:paraId="629FCB1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44.9</w:t>
            </w:r>
          </w:p>
        </w:tc>
      </w:tr>
      <w:tr w:rsidR="003656FA" w:rsidRPr="003656FA" w14:paraId="44ED5E09"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1EE0F741"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Philippines</w:t>
            </w:r>
          </w:p>
        </w:tc>
        <w:tc>
          <w:tcPr>
            <w:tcW w:w="784" w:type="dxa"/>
            <w:tcBorders>
              <w:top w:val="nil"/>
              <w:left w:val="single" w:sz="8" w:space="0" w:color="auto"/>
              <w:bottom w:val="nil"/>
              <w:right w:val="single" w:sz="8" w:space="0" w:color="auto"/>
            </w:tcBorders>
            <w:shd w:val="clear" w:color="auto" w:fill="auto"/>
            <w:noWrap/>
            <w:vAlign w:val="bottom"/>
            <w:hideMark/>
          </w:tcPr>
          <w:p w14:paraId="377A33B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33.9</w:t>
            </w:r>
          </w:p>
        </w:tc>
        <w:tc>
          <w:tcPr>
            <w:tcW w:w="784" w:type="dxa"/>
            <w:tcBorders>
              <w:top w:val="nil"/>
              <w:left w:val="nil"/>
              <w:bottom w:val="nil"/>
              <w:right w:val="nil"/>
            </w:tcBorders>
            <w:shd w:val="clear" w:color="auto" w:fill="auto"/>
            <w:noWrap/>
            <w:vAlign w:val="bottom"/>
            <w:hideMark/>
          </w:tcPr>
          <w:p w14:paraId="661F72D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34</w:t>
            </w:r>
          </w:p>
        </w:tc>
        <w:tc>
          <w:tcPr>
            <w:tcW w:w="784" w:type="dxa"/>
            <w:tcBorders>
              <w:top w:val="nil"/>
              <w:left w:val="single" w:sz="8" w:space="0" w:color="auto"/>
              <w:bottom w:val="nil"/>
              <w:right w:val="single" w:sz="8" w:space="0" w:color="auto"/>
            </w:tcBorders>
            <w:shd w:val="clear" w:color="auto" w:fill="auto"/>
            <w:noWrap/>
            <w:vAlign w:val="bottom"/>
            <w:hideMark/>
          </w:tcPr>
          <w:p w14:paraId="5F8556C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34.6</w:t>
            </w:r>
          </w:p>
        </w:tc>
        <w:tc>
          <w:tcPr>
            <w:tcW w:w="784" w:type="dxa"/>
            <w:tcBorders>
              <w:top w:val="nil"/>
              <w:left w:val="nil"/>
              <w:bottom w:val="nil"/>
              <w:right w:val="nil"/>
            </w:tcBorders>
            <w:shd w:val="clear" w:color="auto" w:fill="auto"/>
            <w:noWrap/>
            <w:vAlign w:val="bottom"/>
            <w:hideMark/>
          </w:tcPr>
          <w:p w14:paraId="195F04B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37.4</w:t>
            </w:r>
          </w:p>
        </w:tc>
        <w:tc>
          <w:tcPr>
            <w:tcW w:w="784" w:type="dxa"/>
            <w:tcBorders>
              <w:top w:val="nil"/>
              <w:left w:val="single" w:sz="8" w:space="0" w:color="auto"/>
              <w:bottom w:val="nil"/>
              <w:right w:val="single" w:sz="8" w:space="0" w:color="auto"/>
            </w:tcBorders>
            <w:shd w:val="clear" w:color="auto" w:fill="auto"/>
            <w:noWrap/>
            <w:vAlign w:val="bottom"/>
            <w:hideMark/>
          </w:tcPr>
          <w:p w14:paraId="6D455E1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34.8</w:t>
            </w:r>
          </w:p>
        </w:tc>
        <w:tc>
          <w:tcPr>
            <w:tcW w:w="784" w:type="dxa"/>
            <w:tcBorders>
              <w:top w:val="nil"/>
              <w:left w:val="nil"/>
              <w:bottom w:val="nil"/>
              <w:right w:val="nil"/>
            </w:tcBorders>
            <w:shd w:val="clear" w:color="auto" w:fill="auto"/>
            <w:noWrap/>
            <w:vAlign w:val="bottom"/>
            <w:hideMark/>
          </w:tcPr>
          <w:p w14:paraId="193852C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40.4</w:t>
            </w:r>
          </w:p>
        </w:tc>
        <w:tc>
          <w:tcPr>
            <w:tcW w:w="784" w:type="dxa"/>
            <w:tcBorders>
              <w:top w:val="nil"/>
              <w:left w:val="single" w:sz="8" w:space="0" w:color="auto"/>
              <w:bottom w:val="nil"/>
              <w:right w:val="single" w:sz="8" w:space="0" w:color="auto"/>
            </w:tcBorders>
            <w:shd w:val="clear" w:color="auto" w:fill="auto"/>
            <w:noWrap/>
            <w:vAlign w:val="bottom"/>
            <w:hideMark/>
          </w:tcPr>
          <w:p w14:paraId="20CB964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41.8</w:t>
            </w:r>
          </w:p>
        </w:tc>
        <w:tc>
          <w:tcPr>
            <w:tcW w:w="784" w:type="dxa"/>
            <w:tcBorders>
              <w:top w:val="nil"/>
              <w:left w:val="nil"/>
              <w:bottom w:val="nil"/>
              <w:right w:val="single" w:sz="8" w:space="0" w:color="auto"/>
            </w:tcBorders>
            <w:shd w:val="clear" w:color="auto" w:fill="auto"/>
            <w:noWrap/>
            <w:vAlign w:val="bottom"/>
            <w:hideMark/>
          </w:tcPr>
          <w:p w14:paraId="3D4FCA7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43.1</w:t>
            </w:r>
          </w:p>
        </w:tc>
        <w:tc>
          <w:tcPr>
            <w:tcW w:w="784" w:type="dxa"/>
            <w:tcBorders>
              <w:top w:val="nil"/>
              <w:left w:val="nil"/>
              <w:bottom w:val="nil"/>
              <w:right w:val="single" w:sz="8" w:space="0" w:color="auto"/>
            </w:tcBorders>
            <w:shd w:val="clear" w:color="auto" w:fill="auto"/>
            <w:noWrap/>
            <w:vAlign w:val="bottom"/>
            <w:hideMark/>
          </w:tcPr>
          <w:p w14:paraId="3916764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42.7</w:t>
            </w:r>
          </w:p>
        </w:tc>
        <w:tc>
          <w:tcPr>
            <w:tcW w:w="784" w:type="dxa"/>
            <w:tcBorders>
              <w:top w:val="nil"/>
              <w:left w:val="nil"/>
              <w:bottom w:val="nil"/>
              <w:right w:val="single" w:sz="8" w:space="0" w:color="auto"/>
            </w:tcBorders>
            <w:shd w:val="clear" w:color="auto" w:fill="auto"/>
            <w:noWrap/>
            <w:vAlign w:val="bottom"/>
            <w:hideMark/>
          </w:tcPr>
          <w:p w14:paraId="2DC3FC6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42.7</w:t>
            </w:r>
          </w:p>
        </w:tc>
        <w:tc>
          <w:tcPr>
            <w:tcW w:w="784" w:type="dxa"/>
            <w:tcBorders>
              <w:top w:val="nil"/>
              <w:left w:val="nil"/>
              <w:bottom w:val="nil"/>
              <w:right w:val="single" w:sz="8" w:space="0" w:color="auto"/>
            </w:tcBorders>
            <w:shd w:val="clear" w:color="auto" w:fill="auto"/>
            <w:noWrap/>
            <w:vAlign w:val="bottom"/>
            <w:hideMark/>
          </w:tcPr>
          <w:p w14:paraId="52B6ABE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44.2</w:t>
            </w:r>
          </w:p>
        </w:tc>
      </w:tr>
      <w:tr w:rsidR="003656FA" w:rsidRPr="003656FA" w14:paraId="77479467"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613D640C"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Spain</w:t>
            </w:r>
          </w:p>
        </w:tc>
        <w:tc>
          <w:tcPr>
            <w:tcW w:w="784" w:type="dxa"/>
            <w:tcBorders>
              <w:top w:val="nil"/>
              <w:left w:val="single" w:sz="8" w:space="0" w:color="auto"/>
              <w:bottom w:val="nil"/>
              <w:right w:val="single" w:sz="8" w:space="0" w:color="auto"/>
            </w:tcBorders>
            <w:shd w:val="clear" w:color="auto" w:fill="auto"/>
            <w:noWrap/>
            <w:vAlign w:val="bottom"/>
            <w:hideMark/>
          </w:tcPr>
          <w:p w14:paraId="0B3405F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43.6</w:t>
            </w:r>
          </w:p>
        </w:tc>
        <w:tc>
          <w:tcPr>
            <w:tcW w:w="784" w:type="dxa"/>
            <w:tcBorders>
              <w:top w:val="nil"/>
              <w:left w:val="nil"/>
              <w:bottom w:val="nil"/>
              <w:right w:val="nil"/>
            </w:tcBorders>
            <w:shd w:val="clear" w:color="auto" w:fill="auto"/>
            <w:noWrap/>
            <w:vAlign w:val="bottom"/>
            <w:hideMark/>
          </w:tcPr>
          <w:p w14:paraId="65D593E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43.1</w:t>
            </w:r>
          </w:p>
        </w:tc>
        <w:tc>
          <w:tcPr>
            <w:tcW w:w="784" w:type="dxa"/>
            <w:tcBorders>
              <w:top w:val="nil"/>
              <w:left w:val="single" w:sz="8" w:space="0" w:color="auto"/>
              <w:bottom w:val="nil"/>
              <w:right w:val="single" w:sz="8" w:space="0" w:color="auto"/>
            </w:tcBorders>
            <w:shd w:val="clear" w:color="auto" w:fill="auto"/>
            <w:noWrap/>
            <w:vAlign w:val="bottom"/>
            <w:hideMark/>
          </w:tcPr>
          <w:p w14:paraId="4D9796C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45.6</w:t>
            </w:r>
          </w:p>
        </w:tc>
        <w:tc>
          <w:tcPr>
            <w:tcW w:w="784" w:type="dxa"/>
            <w:tcBorders>
              <w:top w:val="nil"/>
              <w:left w:val="nil"/>
              <w:bottom w:val="nil"/>
              <w:right w:val="nil"/>
            </w:tcBorders>
            <w:shd w:val="clear" w:color="auto" w:fill="auto"/>
            <w:noWrap/>
            <w:vAlign w:val="bottom"/>
            <w:hideMark/>
          </w:tcPr>
          <w:p w14:paraId="4B7F266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44.4</w:t>
            </w:r>
          </w:p>
        </w:tc>
        <w:tc>
          <w:tcPr>
            <w:tcW w:w="784" w:type="dxa"/>
            <w:tcBorders>
              <w:top w:val="nil"/>
              <w:left w:val="single" w:sz="8" w:space="0" w:color="auto"/>
              <w:bottom w:val="nil"/>
              <w:right w:val="single" w:sz="8" w:space="0" w:color="auto"/>
            </w:tcBorders>
            <w:shd w:val="clear" w:color="auto" w:fill="auto"/>
            <w:noWrap/>
            <w:vAlign w:val="bottom"/>
            <w:hideMark/>
          </w:tcPr>
          <w:p w14:paraId="67F22C4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50.4</w:t>
            </w:r>
          </w:p>
        </w:tc>
        <w:tc>
          <w:tcPr>
            <w:tcW w:w="784" w:type="dxa"/>
            <w:tcBorders>
              <w:top w:val="nil"/>
              <w:left w:val="nil"/>
              <w:bottom w:val="nil"/>
              <w:right w:val="nil"/>
            </w:tcBorders>
            <w:shd w:val="clear" w:color="auto" w:fill="auto"/>
            <w:noWrap/>
            <w:vAlign w:val="bottom"/>
            <w:hideMark/>
          </w:tcPr>
          <w:p w14:paraId="5099128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43.9</w:t>
            </w:r>
          </w:p>
        </w:tc>
        <w:tc>
          <w:tcPr>
            <w:tcW w:w="784" w:type="dxa"/>
            <w:tcBorders>
              <w:top w:val="nil"/>
              <w:left w:val="single" w:sz="8" w:space="0" w:color="auto"/>
              <w:bottom w:val="nil"/>
              <w:right w:val="single" w:sz="8" w:space="0" w:color="auto"/>
            </w:tcBorders>
            <w:shd w:val="clear" w:color="auto" w:fill="auto"/>
            <w:noWrap/>
            <w:vAlign w:val="bottom"/>
            <w:hideMark/>
          </w:tcPr>
          <w:p w14:paraId="1B68BF7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46.2</w:t>
            </w:r>
          </w:p>
        </w:tc>
        <w:tc>
          <w:tcPr>
            <w:tcW w:w="784" w:type="dxa"/>
            <w:tcBorders>
              <w:top w:val="nil"/>
              <w:left w:val="nil"/>
              <w:bottom w:val="nil"/>
              <w:right w:val="single" w:sz="8" w:space="0" w:color="auto"/>
            </w:tcBorders>
            <w:shd w:val="clear" w:color="auto" w:fill="auto"/>
            <w:noWrap/>
            <w:vAlign w:val="bottom"/>
            <w:hideMark/>
          </w:tcPr>
          <w:p w14:paraId="1C867D8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43.8</w:t>
            </w:r>
          </w:p>
        </w:tc>
        <w:tc>
          <w:tcPr>
            <w:tcW w:w="784" w:type="dxa"/>
            <w:tcBorders>
              <w:top w:val="nil"/>
              <w:left w:val="nil"/>
              <w:bottom w:val="nil"/>
              <w:right w:val="single" w:sz="8" w:space="0" w:color="auto"/>
            </w:tcBorders>
            <w:shd w:val="clear" w:color="auto" w:fill="auto"/>
            <w:noWrap/>
            <w:vAlign w:val="bottom"/>
            <w:hideMark/>
          </w:tcPr>
          <w:p w14:paraId="6E8A14C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w:t>
            </w:r>
          </w:p>
        </w:tc>
        <w:tc>
          <w:tcPr>
            <w:tcW w:w="784" w:type="dxa"/>
            <w:tcBorders>
              <w:top w:val="nil"/>
              <w:left w:val="nil"/>
              <w:bottom w:val="nil"/>
              <w:right w:val="single" w:sz="8" w:space="0" w:color="auto"/>
            </w:tcBorders>
            <w:shd w:val="clear" w:color="auto" w:fill="auto"/>
            <w:noWrap/>
            <w:vAlign w:val="bottom"/>
            <w:hideMark/>
          </w:tcPr>
          <w:p w14:paraId="424B2E3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47.3</w:t>
            </w:r>
          </w:p>
        </w:tc>
        <w:tc>
          <w:tcPr>
            <w:tcW w:w="784" w:type="dxa"/>
            <w:tcBorders>
              <w:top w:val="nil"/>
              <w:left w:val="nil"/>
              <w:bottom w:val="nil"/>
              <w:right w:val="single" w:sz="8" w:space="0" w:color="auto"/>
            </w:tcBorders>
            <w:shd w:val="clear" w:color="auto" w:fill="auto"/>
            <w:noWrap/>
            <w:vAlign w:val="bottom"/>
            <w:hideMark/>
          </w:tcPr>
          <w:p w14:paraId="5938E8C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w:t>
            </w:r>
          </w:p>
        </w:tc>
      </w:tr>
      <w:tr w:rsidR="003656FA" w:rsidRPr="003656FA" w14:paraId="49BF4AB4"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1015196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Italy</w:t>
            </w:r>
          </w:p>
        </w:tc>
        <w:tc>
          <w:tcPr>
            <w:tcW w:w="784" w:type="dxa"/>
            <w:tcBorders>
              <w:top w:val="nil"/>
              <w:left w:val="single" w:sz="8" w:space="0" w:color="auto"/>
              <w:bottom w:val="nil"/>
              <w:right w:val="single" w:sz="8" w:space="0" w:color="auto"/>
            </w:tcBorders>
            <w:shd w:val="clear" w:color="auto" w:fill="auto"/>
            <w:noWrap/>
            <w:vAlign w:val="bottom"/>
            <w:hideMark/>
          </w:tcPr>
          <w:p w14:paraId="147C19C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46.7</w:t>
            </w:r>
          </w:p>
        </w:tc>
        <w:tc>
          <w:tcPr>
            <w:tcW w:w="784" w:type="dxa"/>
            <w:tcBorders>
              <w:top w:val="nil"/>
              <w:left w:val="nil"/>
              <w:bottom w:val="nil"/>
              <w:right w:val="nil"/>
            </w:tcBorders>
            <w:shd w:val="clear" w:color="auto" w:fill="auto"/>
            <w:noWrap/>
            <w:vAlign w:val="bottom"/>
            <w:hideMark/>
          </w:tcPr>
          <w:p w14:paraId="77F591D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47.2</w:t>
            </w:r>
          </w:p>
        </w:tc>
        <w:tc>
          <w:tcPr>
            <w:tcW w:w="784" w:type="dxa"/>
            <w:tcBorders>
              <w:top w:val="nil"/>
              <w:left w:val="single" w:sz="8" w:space="0" w:color="auto"/>
              <w:bottom w:val="nil"/>
              <w:right w:val="single" w:sz="8" w:space="0" w:color="auto"/>
            </w:tcBorders>
            <w:shd w:val="clear" w:color="auto" w:fill="auto"/>
            <w:noWrap/>
            <w:vAlign w:val="bottom"/>
            <w:hideMark/>
          </w:tcPr>
          <w:p w14:paraId="22E938A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47.1</w:t>
            </w:r>
          </w:p>
        </w:tc>
        <w:tc>
          <w:tcPr>
            <w:tcW w:w="784" w:type="dxa"/>
            <w:tcBorders>
              <w:top w:val="nil"/>
              <w:left w:val="nil"/>
              <w:bottom w:val="nil"/>
              <w:right w:val="nil"/>
            </w:tcBorders>
            <w:shd w:val="clear" w:color="auto" w:fill="auto"/>
            <w:noWrap/>
            <w:vAlign w:val="bottom"/>
            <w:hideMark/>
          </w:tcPr>
          <w:p w14:paraId="682E49A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45.7</w:t>
            </w:r>
          </w:p>
        </w:tc>
        <w:tc>
          <w:tcPr>
            <w:tcW w:w="784" w:type="dxa"/>
            <w:tcBorders>
              <w:top w:val="nil"/>
              <w:left w:val="single" w:sz="8" w:space="0" w:color="auto"/>
              <w:bottom w:val="nil"/>
              <w:right w:val="single" w:sz="8" w:space="0" w:color="auto"/>
            </w:tcBorders>
            <w:shd w:val="clear" w:color="auto" w:fill="auto"/>
            <w:noWrap/>
            <w:vAlign w:val="bottom"/>
            <w:hideMark/>
          </w:tcPr>
          <w:p w14:paraId="52CBC13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45.3</w:t>
            </w:r>
          </w:p>
        </w:tc>
        <w:tc>
          <w:tcPr>
            <w:tcW w:w="784" w:type="dxa"/>
            <w:tcBorders>
              <w:top w:val="nil"/>
              <w:left w:val="nil"/>
              <w:bottom w:val="nil"/>
              <w:right w:val="nil"/>
            </w:tcBorders>
            <w:shd w:val="clear" w:color="auto" w:fill="auto"/>
            <w:noWrap/>
            <w:vAlign w:val="bottom"/>
            <w:hideMark/>
          </w:tcPr>
          <w:p w14:paraId="6DBF398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44.6</w:t>
            </w:r>
          </w:p>
        </w:tc>
        <w:tc>
          <w:tcPr>
            <w:tcW w:w="784" w:type="dxa"/>
            <w:tcBorders>
              <w:top w:val="nil"/>
              <w:left w:val="single" w:sz="8" w:space="0" w:color="auto"/>
              <w:bottom w:val="nil"/>
              <w:right w:val="single" w:sz="8" w:space="0" w:color="auto"/>
            </w:tcBorders>
            <w:shd w:val="clear" w:color="auto" w:fill="auto"/>
            <w:noWrap/>
            <w:vAlign w:val="bottom"/>
            <w:hideMark/>
          </w:tcPr>
          <w:p w14:paraId="5C0E1FB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46.8</w:t>
            </w:r>
          </w:p>
        </w:tc>
        <w:tc>
          <w:tcPr>
            <w:tcW w:w="784" w:type="dxa"/>
            <w:tcBorders>
              <w:top w:val="nil"/>
              <w:left w:val="nil"/>
              <w:bottom w:val="nil"/>
              <w:right w:val="single" w:sz="8" w:space="0" w:color="auto"/>
            </w:tcBorders>
            <w:shd w:val="clear" w:color="auto" w:fill="auto"/>
            <w:noWrap/>
            <w:vAlign w:val="bottom"/>
            <w:hideMark/>
          </w:tcPr>
          <w:p w14:paraId="24E3BA7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44.8</w:t>
            </w:r>
          </w:p>
        </w:tc>
        <w:tc>
          <w:tcPr>
            <w:tcW w:w="784" w:type="dxa"/>
            <w:tcBorders>
              <w:top w:val="nil"/>
              <w:left w:val="nil"/>
              <w:bottom w:val="nil"/>
              <w:right w:val="single" w:sz="8" w:space="0" w:color="auto"/>
            </w:tcBorders>
            <w:shd w:val="clear" w:color="auto" w:fill="auto"/>
            <w:noWrap/>
            <w:vAlign w:val="bottom"/>
            <w:hideMark/>
          </w:tcPr>
          <w:p w14:paraId="4F758B9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41.5</w:t>
            </w:r>
          </w:p>
        </w:tc>
        <w:tc>
          <w:tcPr>
            <w:tcW w:w="784" w:type="dxa"/>
            <w:tcBorders>
              <w:top w:val="nil"/>
              <w:left w:val="nil"/>
              <w:bottom w:val="nil"/>
              <w:right w:val="single" w:sz="8" w:space="0" w:color="auto"/>
            </w:tcBorders>
            <w:shd w:val="clear" w:color="auto" w:fill="auto"/>
            <w:noWrap/>
            <w:vAlign w:val="bottom"/>
            <w:hideMark/>
          </w:tcPr>
          <w:p w14:paraId="6B7A408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41.4</w:t>
            </w:r>
          </w:p>
        </w:tc>
        <w:tc>
          <w:tcPr>
            <w:tcW w:w="784" w:type="dxa"/>
            <w:tcBorders>
              <w:top w:val="nil"/>
              <w:left w:val="nil"/>
              <w:bottom w:val="nil"/>
              <w:right w:val="single" w:sz="8" w:space="0" w:color="auto"/>
            </w:tcBorders>
            <w:shd w:val="clear" w:color="auto" w:fill="auto"/>
            <w:noWrap/>
            <w:vAlign w:val="bottom"/>
            <w:hideMark/>
          </w:tcPr>
          <w:p w14:paraId="4C0A7F3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42.4</w:t>
            </w:r>
          </w:p>
        </w:tc>
      </w:tr>
      <w:tr w:rsidR="003656FA" w:rsidRPr="003656FA" w14:paraId="004A38AF"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4AA1C08B"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Australia</w:t>
            </w:r>
          </w:p>
        </w:tc>
        <w:tc>
          <w:tcPr>
            <w:tcW w:w="784" w:type="dxa"/>
            <w:tcBorders>
              <w:top w:val="nil"/>
              <w:left w:val="single" w:sz="8" w:space="0" w:color="auto"/>
              <w:bottom w:val="nil"/>
              <w:right w:val="single" w:sz="8" w:space="0" w:color="auto"/>
            </w:tcBorders>
            <w:shd w:val="clear" w:color="auto" w:fill="auto"/>
            <w:noWrap/>
            <w:vAlign w:val="bottom"/>
            <w:hideMark/>
          </w:tcPr>
          <w:p w14:paraId="3A64769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41.8</w:t>
            </w:r>
          </w:p>
        </w:tc>
        <w:tc>
          <w:tcPr>
            <w:tcW w:w="784" w:type="dxa"/>
            <w:tcBorders>
              <w:top w:val="nil"/>
              <w:left w:val="nil"/>
              <w:bottom w:val="nil"/>
              <w:right w:val="nil"/>
            </w:tcBorders>
            <w:shd w:val="clear" w:color="auto" w:fill="auto"/>
            <w:noWrap/>
            <w:vAlign w:val="bottom"/>
            <w:hideMark/>
          </w:tcPr>
          <w:p w14:paraId="3B25DCB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39.6</w:t>
            </w:r>
          </w:p>
        </w:tc>
        <w:tc>
          <w:tcPr>
            <w:tcW w:w="784" w:type="dxa"/>
            <w:tcBorders>
              <w:top w:val="nil"/>
              <w:left w:val="single" w:sz="8" w:space="0" w:color="auto"/>
              <w:bottom w:val="nil"/>
              <w:right w:val="single" w:sz="8" w:space="0" w:color="auto"/>
            </w:tcBorders>
            <w:shd w:val="clear" w:color="auto" w:fill="auto"/>
            <w:noWrap/>
            <w:vAlign w:val="bottom"/>
            <w:hideMark/>
          </w:tcPr>
          <w:p w14:paraId="36902C5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45.4</w:t>
            </w:r>
          </w:p>
        </w:tc>
        <w:tc>
          <w:tcPr>
            <w:tcW w:w="784" w:type="dxa"/>
            <w:tcBorders>
              <w:top w:val="nil"/>
              <w:left w:val="nil"/>
              <w:bottom w:val="nil"/>
              <w:right w:val="nil"/>
            </w:tcBorders>
            <w:shd w:val="clear" w:color="auto" w:fill="auto"/>
            <w:noWrap/>
            <w:vAlign w:val="bottom"/>
            <w:hideMark/>
          </w:tcPr>
          <w:p w14:paraId="5403099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44.6</w:t>
            </w:r>
          </w:p>
        </w:tc>
        <w:tc>
          <w:tcPr>
            <w:tcW w:w="784" w:type="dxa"/>
            <w:tcBorders>
              <w:top w:val="nil"/>
              <w:left w:val="single" w:sz="8" w:space="0" w:color="auto"/>
              <w:bottom w:val="nil"/>
              <w:right w:val="single" w:sz="8" w:space="0" w:color="auto"/>
            </w:tcBorders>
            <w:shd w:val="clear" w:color="auto" w:fill="auto"/>
            <w:noWrap/>
            <w:vAlign w:val="bottom"/>
            <w:hideMark/>
          </w:tcPr>
          <w:p w14:paraId="1393878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41.8</w:t>
            </w:r>
          </w:p>
        </w:tc>
        <w:tc>
          <w:tcPr>
            <w:tcW w:w="784" w:type="dxa"/>
            <w:tcBorders>
              <w:top w:val="nil"/>
              <w:left w:val="nil"/>
              <w:bottom w:val="nil"/>
              <w:right w:val="nil"/>
            </w:tcBorders>
            <w:shd w:val="clear" w:color="auto" w:fill="auto"/>
            <w:noWrap/>
            <w:vAlign w:val="bottom"/>
            <w:hideMark/>
          </w:tcPr>
          <w:p w14:paraId="1DC2025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45.1</w:t>
            </w:r>
          </w:p>
        </w:tc>
        <w:tc>
          <w:tcPr>
            <w:tcW w:w="784" w:type="dxa"/>
            <w:tcBorders>
              <w:top w:val="nil"/>
              <w:left w:val="single" w:sz="8" w:space="0" w:color="auto"/>
              <w:bottom w:val="nil"/>
              <w:right w:val="single" w:sz="8" w:space="0" w:color="auto"/>
            </w:tcBorders>
            <w:shd w:val="clear" w:color="auto" w:fill="auto"/>
            <w:noWrap/>
            <w:vAlign w:val="bottom"/>
            <w:hideMark/>
          </w:tcPr>
          <w:p w14:paraId="36E03FA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43.7</w:t>
            </w:r>
          </w:p>
        </w:tc>
        <w:tc>
          <w:tcPr>
            <w:tcW w:w="784" w:type="dxa"/>
            <w:tcBorders>
              <w:top w:val="nil"/>
              <w:left w:val="nil"/>
              <w:bottom w:val="nil"/>
              <w:right w:val="single" w:sz="8" w:space="0" w:color="auto"/>
            </w:tcBorders>
            <w:shd w:val="clear" w:color="auto" w:fill="auto"/>
            <w:noWrap/>
            <w:vAlign w:val="bottom"/>
            <w:hideMark/>
          </w:tcPr>
          <w:p w14:paraId="53F6120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46.3</w:t>
            </w:r>
          </w:p>
        </w:tc>
        <w:tc>
          <w:tcPr>
            <w:tcW w:w="784" w:type="dxa"/>
            <w:tcBorders>
              <w:top w:val="nil"/>
              <w:left w:val="nil"/>
              <w:bottom w:val="nil"/>
              <w:right w:val="single" w:sz="8" w:space="0" w:color="auto"/>
            </w:tcBorders>
            <w:shd w:val="clear" w:color="auto" w:fill="auto"/>
            <w:noWrap/>
            <w:vAlign w:val="bottom"/>
            <w:hideMark/>
          </w:tcPr>
          <w:p w14:paraId="221D764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44.8</w:t>
            </w:r>
          </w:p>
        </w:tc>
        <w:tc>
          <w:tcPr>
            <w:tcW w:w="784" w:type="dxa"/>
            <w:tcBorders>
              <w:top w:val="nil"/>
              <w:left w:val="nil"/>
              <w:bottom w:val="nil"/>
              <w:right w:val="single" w:sz="8" w:space="0" w:color="auto"/>
            </w:tcBorders>
            <w:shd w:val="clear" w:color="auto" w:fill="auto"/>
            <w:noWrap/>
            <w:vAlign w:val="bottom"/>
            <w:hideMark/>
          </w:tcPr>
          <w:p w14:paraId="5F4F20F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43.5</w:t>
            </w:r>
          </w:p>
        </w:tc>
        <w:tc>
          <w:tcPr>
            <w:tcW w:w="784" w:type="dxa"/>
            <w:tcBorders>
              <w:top w:val="nil"/>
              <w:left w:val="nil"/>
              <w:bottom w:val="nil"/>
              <w:right w:val="single" w:sz="8" w:space="0" w:color="auto"/>
            </w:tcBorders>
            <w:shd w:val="clear" w:color="auto" w:fill="auto"/>
            <w:noWrap/>
            <w:vAlign w:val="bottom"/>
            <w:hideMark/>
          </w:tcPr>
          <w:p w14:paraId="79B06CC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41.9</w:t>
            </w:r>
          </w:p>
        </w:tc>
      </w:tr>
      <w:tr w:rsidR="003656FA" w:rsidRPr="003656FA" w14:paraId="1A86BDB9"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3A6D4726"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Poland</w:t>
            </w:r>
          </w:p>
        </w:tc>
        <w:tc>
          <w:tcPr>
            <w:tcW w:w="784" w:type="dxa"/>
            <w:tcBorders>
              <w:top w:val="nil"/>
              <w:left w:val="single" w:sz="8" w:space="0" w:color="auto"/>
              <w:bottom w:val="nil"/>
              <w:right w:val="single" w:sz="8" w:space="0" w:color="auto"/>
            </w:tcBorders>
            <w:shd w:val="clear" w:color="auto" w:fill="auto"/>
            <w:noWrap/>
            <w:vAlign w:val="bottom"/>
            <w:hideMark/>
          </w:tcPr>
          <w:p w14:paraId="0D4F51C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38.8</w:t>
            </w:r>
          </w:p>
        </w:tc>
        <w:tc>
          <w:tcPr>
            <w:tcW w:w="784" w:type="dxa"/>
            <w:tcBorders>
              <w:top w:val="nil"/>
              <w:left w:val="nil"/>
              <w:bottom w:val="nil"/>
              <w:right w:val="nil"/>
            </w:tcBorders>
            <w:shd w:val="clear" w:color="auto" w:fill="auto"/>
            <w:noWrap/>
            <w:vAlign w:val="bottom"/>
            <w:hideMark/>
          </w:tcPr>
          <w:p w14:paraId="3701006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36.8</w:t>
            </w:r>
          </w:p>
        </w:tc>
        <w:tc>
          <w:tcPr>
            <w:tcW w:w="784" w:type="dxa"/>
            <w:tcBorders>
              <w:top w:val="nil"/>
              <w:left w:val="single" w:sz="8" w:space="0" w:color="auto"/>
              <w:bottom w:val="nil"/>
              <w:right w:val="single" w:sz="8" w:space="0" w:color="auto"/>
            </w:tcBorders>
            <w:shd w:val="clear" w:color="auto" w:fill="auto"/>
            <w:noWrap/>
            <w:vAlign w:val="bottom"/>
            <w:hideMark/>
          </w:tcPr>
          <w:p w14:paraId="3C7969B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35.7</w:t>
            </w:r>
          </w:p>
        </w:tc>
        <w:tc>
          <w:tcPr>
            <w:tcW w:w="784" w:type="dxa"/>
            <w:tcBorders>
              <w:top w:val="nil"/>
              <w:left w:val="nil"/>
              <w:bottom w:val="nil"/>
              <w:right w:val="nil"/>
            </w:tcBorders>
            <w:shd w:val="clear" w:color="auto" w:fill="auto"/>
            <w:noWrap/>
            <w:vAlign w:val="bottom"/>
            <w:hideMark/>
          </w:tcPr>
          <w:p w14:paraId="18D8E2A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38.5</w:t>
            </w:r>
          </w:p>
        </w:tc>
        <w:tc>
          <w:tcPr>
            <w:tcW w:w="784" w:type="dxa"/>
            <w:tcBorders>
              <w:top w:val="nil"/>
              <w:left w:val="single" w:sz="8" w:space="0" w:color="auto"/>
              <w:bottom w:val="nil"/>
              <w:right w:val="single" w:sz="8" w:space="0" w:color="auto"/>
            </w:tcBorders>
            <w:shd w:val="clear" w:color="auto" w:fill="auto"/>
            <w:noWrap/>
            <w:vAlign w:val="bottom"/>
            <w:hideMark/>
          </w:tcPr>
          <w:p w14:paraId="537BE65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38.8</w:t>
            </w:r>
          </w:p>
        </w:tc>
        <w:tc>
          <w:tcPr>
            <w:tcW w:w="784" w:type="dxa"/>
            <w:tcBorders>
              <w:top w:val="nil"/>
              <w:left w:val="nil"/>
              <w:bottom w:val="nil"/>
              <w:right w:val="nil"/>
            </w:tcBorders>
            <w:shd w:val="clear" w:color="auto" w:fill="auto"/>
            <w:noWrap/>
            <w:vAlign w:val="bottom"/>
            <w:hideMark/>
          </w:tcPr>
          <w:p w14:paraId="5340E1B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37.7</w:t>
            </w:r>
          </w:p>
        </w:tc>
        <w:tc>
          <w:tcPr>
            <w:tcW w:w="784" w:type="dxa"/>
            <w:tcBorders>
              <w:top w:val="nil"/>
              <w:left w:val="single" w:sz="8" w:space="0" w:color="auto"/>
              <w:bottom w:val="nil"/>
              <w:right w:val="single" w:sz="8" w:space="0" w:color="auto"/>
            </w:tcBorders>
            <w:shd w:val="clear" w:color="auto" w:fill="auto"/>
            <w:noWrap/>
            <w:vAlign w:val="bottom"/>
            <w:hideMark/>
          </w:tcPr>
          <w:p w14:paraId="7B1EF25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38.8</w:t>
            </w:r>
          </w:p>
        </w:tc>
        <w:tc>
          <w:tcPr>
            <w:tcW w:w="784" w:type="dxa"/>
            <w:tcBorders>
              <w:top w:val="nil"/>
              <w:left w:val="nil"/>
              <w:bottom w:val="nil"/>
              <w:right w:val="single" w:sz="8" w:space="0" w:color="auto"/>
            </w:tcBorders>
            <w:shd w:val="clear" w:color="auto" w:fill="auto"/>
            <w:noWrap/>
            <w:vAlign w:val="bottom"/>
            <w:hideMark/>
          </w:tcPr>
          <w:p w14:paraId="6D44699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35.6</w:t>
            </w:r>
          </w:p>
        </w:tc>
        <w:tc>
          <w:tcPr>
            <w:tcW w:w="784" w:type="dxa"/>
            <w:tcBorders>
              <w:top w:val="nil"/>
              <w:left w:val="nil"/>
              <w:bottom w:val="nil"/>
              <w:right w:val="single" w:sz="8" w:space="0" w:color="auto"/>
            </w:tcBorders>
            <w:shd w:val="clear" w:color="auto" w:fill="auto"/>
            <w:noWrap/>
            <w:vAlign w:val="bottom"/>
            <w:hideMark/>
          </w:tcPr>
          <w:p w14:paraId="7493D2A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34.4</w:t>
            </w:r>
          </w:p>
        </w:tc>
        <w:tc>
          <w:tcPr>
            <w:tcW w:w="784" w:type="dxa"/>
            <w:tcBorders>
              <w:top w:val="nil"/>
              <w:left w:val="nil"/>
              <w:bottom w:val="nil"/>
              <w:right w:val="single" w:sz="8" w:space="0" w:color="auto"/>
            </w:tcBorders>
            <w:shd w:val="clear" w:color="auto" w:fill="auto"/>
            <w:noWrap/>
            <w:vAlign w:val="bottom"/>
            <w:hideMark/>
          </w:tcPr>
          <w:p w14:paraId="6604E97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w:t>
            </w:r>
          </w:p>
        </w:tc>
        <w:tc>
          <w:tcPr>
            <w:tcW w:w="784" w:type="dxa"/>
            <w:tcBorders>
              <w:top w:val="nil"/>
              <w:left w:val="nil"/>
              <w:bottom w:val="nil"/>
              <w:right w:val="single" w:sz="8" w:space="0" w:color="auto"/>
            </w:tcBorders>
            <w:shd w:val="clear" w:color="auto" w:fill="auto"/>
            <w:noWrap/>
            <w:vAlign w:val="bottom"/>
            <w:hideMark/>
          </w:tcPr>
          <w:p w14:paraId="657D7F3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39.7</w:t>
            </w:r>
          </w:p>
        </w:tc>
      </w:tr>
      <w:tr w:rsidR="003656FA" w:rsidRPr="003656FA" w14:paraId="4FAA203C"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3E291A07"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Sweden</w:t>
            </w:r>
          </w:p>
        </w:tc>
        <w:tc>
          <w:tcPr>
            <w:tcW w:w="784" w:type="dxa"/>
            <w:tcBorders>
              <w:top w:val="nil"/>
              <w:left w:val="single" w:sz="8" w:space="0" w:color="auto"/>
              <w:bottom w:val="nil"/>
              <w:right w:val="single" w:sz="8" w:space="0" w:color="auto"/>
            </w:tcBorders>
            <w:shd w:val="clear" w:color="auto" w:fill="auto"/>
            <w:noWrap/>
            <w:vAlign w:val="bottom"/>
            <w:hideMark/>
          </w:tcPr>
          <w:p w14:paraId="49D864B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48.4</w:t>
            </w:r>
          </w:p>
        </w:tc>
        <w:tc>
          <w:tcPr>
            <w:tcW w:w="784" w:type="dxa"/>
            <w:tcBorders>
              <w:top w:val="nil"/>
              <w:left w:val="nil"/>
              <w:bottom w:val="nil"/>
              <w:right w:val="nil"/>
            </w:tcBorders>
            <w:shd w:val="clear" w:color="auto" w:fill="auto"/>
            <w:noWrap/>
            <w:vAlign w:val="bottom"/>
            <w:hideMark/>
          </w:tcPr>
          <w:p w14:paraId="0D9DC3F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47.3</w:t>
            </w:r>
          </w:p>
        </w:tc>
        <w:tc>
          <w:tcPr>
            <w:tcW w:w="784" w:type="dxa"/>
            <w:tcBorders>
              <w:top w:val="nil"/>
              <w:left w:val="single" w:sz="8" w:space="0" w:color="auto"/>
              <w:bottom w:val="nil"/>
              <w:right w:val="single" w:sz="8" w:space="0" w:color="auto"/>
            </w:tcBorders>
            <w:shd w:val="clear" w:color="auto" w:fill="auto"/>
            <w:noWrap/>
            <w:vAlign w:val="bottom"/>
            <w:hideMark/>
          </w:tcPr>
          <w:p w14:paraId="78728BC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46.9</w:t>
            </w:r>
          </w:p>
        </w:tc>
        <w:tc>
          <w:tcPr>
            <w:tcW w:w="784" w:type="dxa"/>
            <w:tcBorders>
              <w:top w:val="nil"/>
              <w:left w:val="nil"/>
              <w:bottom w:val="nil"/>
              <w:right w:val="nil"/>
            </w:tcBorders>
            <w:shd w:val="clear" w:color="auto" w:fill="auto"/>
            <w:noWrap/>
            <w:vAlign w:val="bottom"/>
            <w:hideMark/>
          </w:tcPr>
          <w:p w14:paraId="5D6936F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49.5</w:t>
            </w:r>
          </w:p>
        </w:tc>
        <w:tc>
          <w:tcPr>
            <w:tcW w:w="784" w:type="dxa"/>
            <w:tcBorders>
              <w:top w:val="nil"/>
              <w:left w:val="single" w:sz="8" w:space="0" w:color="auto"/>
              <w:bottom w:val="nil"/>
              <w:right w:val="single" w:sz="8" w:space="0" w:color="auto"/>
            </w:tcBorders>
            <w:shd w:val="clear" w:color="auto" w:fill="auto"/>
            <w:noWrap/>
            <w:vAlign w:val="bottom"/>
            <w:hideMark/>
          </w:tcPr>
          <w:p w14:paraId="286EB4A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48.7</w:t>
            </w:r>
          </w:p>
        </w:tc>
        <w:tc>
          <w:tcPr>
            <w:tcW w:w="784" w:type="dxa"/>
            <w:tcBorders>
              <w:top w:val="nil"/>
              <w:left w:val="nil"/>
              <w:bottom w:val="nil"/>
              <w:right w:val="nil"/>
            </w:tcBorders>
            <w:shd w:val="clear" w:color="auto" w:fill="auto"/>
            <w:noWrap/>
            <w:vAlign w:val="bottom"/>
            <w:hideMark/>
          </w:tcPr>
          <w:p w14:paraId="3A15BF2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w:t>
            </w:r>
          </w:p>
        </w:tc>
        <w:tc>
          <w:tcPr>
            <w:tcW w:w="784" w:type="dxa"/>
            <w:tcBorders>
              <w:top w:val="nil"/>
              <w:left w:val="single" w:sz="8" w:space="0" w:color="auto"/>
              <w:bottom w:val="nil"/>
              <w:right w:val="single" w:sz="8" w:space="0" w:color="auto"/>
            </w:tcBorders>
            <w:shd w:val="clear" w:color="auto" w:fill="auto"/>
            <w:noWrap/>
            <w:vAlign w:val="bottom"/>
            <w:hideMark/>
          </w:tcPr>
          <w:p w14:paraId="6F538D3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45.4</w:t>
            </w:r>
          </w:p>
        </w:tc>
        <w:tc>
          <w:tcPr>
            <w:tcW w:w="784" w:type="dxa"/>
            <w:tcBorders>
              <w:top w:val="nil"/>
              <w:left w:val="nil"/>
              <w:bottom w:val="nil"/>
              <w:right w:val="single" w:sz="8" w:space="0" w:color="auto"/>
            </w:tcBorders>
            <w:shd w:val="clear" w:color="auto" w:fill="auto"/>
            <w:noWrap/>
            <w:vAlign w:val="bottom"/>
            <w:hideMark/>
          </w:tcPr>
          <w:p w14:paraId="735C6FF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39.5</w:t>
            </w:r>
          </w:p>
        </w:tc>
        <w:tc>
          <w:tcPr>
            <w:tcW w:w="784" w:type="dxa"/>
            <w:tcBorders>
              <w:top w:val="nil"/>
              <w:left w:val="nil"/>
              <w:bottom w:val="nil"/>
              <w:right w:val="single" w:sz="8" w:space="0" w:color="auto"/>
            </w:tcBorders>
            <w:shd w:val="clear" w:color="auto" w:fill="auto"/>
            <w:noWrap/>
            <w:vAlign w:val="bottom"/>
            <w:hideMark/>
          </w:tcPr>
          <w:p w14:paraId="3C3FFE3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36.5</w:t>
            </w:r>
          </w:p>
        </w:tc>
        <w:tc>
          <w:tcPr>
            <w:tcW w:w="784" w:type="dxa"/>
            <w:tcBorders>
              <w:top w:val="nil"/>
              <w:left w:val="nil"/>
              <w:bottom w:val="nil"/>
              <w:right w:val="single" w:sz="8" w:space="0" w:color="auto"/>
            </w:tcBorders>
            <w:shd w:val="clear" w:color="auto" w:fill="auto"/>
            <w:noWrap/>
            <w:vAlign w:val="bottom"/>
            <w:hideMark/>
          </w:tcPr>
          <w:p w14:paraId="7E0879B0"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37.1</w:t>
            </w:r>
          </w:p>
        </w:tc>
        <w:tc>
          <w:tcPr>
            <w:tcW w:w="784" w:type="dxa"/>
            <w:tcBorders>
              <w:top w:val="nil"/>
              <w:left w:val="nil"/>
              <w:bottom w:val="nil"/>
              <w:right w:val="single" w:sz="8" w:space="0" w:color="auto"/>
            </w:tcBorders>
            <w:shd w:val="clear" w:color="auto" w:fill="auto"/>
            <w:noWrap/>
            <w:vAlign w:val="bottom"/>
            <w:hideMark/>
          </w:tcPr>
          <w:p w14:paraId="263162D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39.1</w:t>
            </w:r>
          </w:p>
        </w:tc>
      </w:tr>
      <w:tr w:rsidR="003656FA" w:rsidRPr="003656FA" w14:paraId="3AA24509"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4CA36BDF"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Iraq</w:t>
            </w:r>
          </w:p>
        </w:tc>
        <w:tc>
          <w:tcPr>
            <w:tcW w:w="784" w:type="dxa"/>
            <w:tcBorders>
              <w:top w:val="nil"/>
              <w:left w:val="single" w:sz="8" w:space="0" w:color="auto"/>
              <w:bottom w:val="nil"/>
              <w:right w:val="single" w:sz="8" w:space="0" w:color="auto"/>
            </w:tcBorders>
            <w:shd w:val="clear" w:color="auto" w:fill="auto"/>
            <w:noWrap/>
            <w:vAlign w:val="bottom"/>
            <w:hideMark/>
          </w:tcPr>
          <w:p w14:paraId="346E2E3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35.1</w:t>
            </w:r>
          </w:p>
        </w:tc>
        <w:tc>
          <w:tcPr>
            <w:tcW w:w="784" w:type="dxa"/>
            <w:tcBorders>
              <w:top w:val="nil"/>
              <w:left w:val="nil"/>
              <w:bottom w:val="nil"/>
              <w:right w:val="nil"/>
            </w:tcBorders>
            <w:shd w:val="clear" w:color="auto" w:fill="auto"/>
            <w:noWrap/>
            <w:vAlign w:val="bottom"/>
            <w:hideMark/>
          </w:tcPr>
          <w:p w14:paraId="01EEE20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32.5</w:t>
            </w:r>
          </w:p>
        </w:tc>
        <w:tc>
          <w:tcPr>
            <w:tcW w:w="784" w:type="dxa"/>
            <w:tcBorders>
              <w:top w:val="nil"/>
              <w:left w:val="single" w:sz="8" w:space="0" w:color="auto"/>
              <w:bottom w:val="nil"/>
              <w:right w:val="single" w:sz="8" w:space="0" w:color="auto"/>
            </w:tcBorders>
            <w:shd w:val="clear" w:color="auto" w:fill="auto"/>
            <w:noWrap/>
            <w:vAlign w:val="bottom"/>
            <w:hideMark/>
          </w:tcPr>
          <w:p w14:paraId="4461B9F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32.7</w:t>
            </w:r>
          </w:p>
        </w:tc>
        <w:tc>
          <w:tcPr>
            <w:tcW w:w="784" w:type="dxa"/>
            <w:tcBorders>
              <w:top w:val="nil"/>
              <w:left w:val="nil"/>
              <w:bottom w:val="nil"/>
              <w:right w:val="nil"/>
            </w:tcBorders>
            <w:shd w:val="clear" w:color="auto" w:fill="auto"/>
            <w:noWrap/>
            <w:vAlign w:val="bottom"/>
            <w:hideMark/>
          </w:tcPr>
          <w:p w14:paraId="74277AD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31</w:t>
            </w:r>
          </w:p>
        </w:tc>
        <w:tc>
          <w:tcPr>
            <w:tcW w:w="784" w:type="dxa"/>
            <w:tcBorders>
              <w:top w:val="nil"/>
              <w:left w:val="single" w:sz="8" w:space="0" w:color="auto"/>
              <w:bottom w:val="nil"/>
              <w:right w:val="single" w:sz="8" w:space="0" w:color="auto"/>
            </w:tcBorders>
            <w:shd w:val="clear" w:color="auto" w:fill="auto"/>
            <w:noWrap/>
            <w:vAlign w:val="bottom"/>
            <w:hideMark/>
          </w:tcPr>
          <w:p w14:paraId="29A0799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32.9</w:t>
            </w:r>
          </w:p>
        </w:tc>
        <w:tc>
          <w:tcPr>
            <w:tcW w:w="784" w:type="dxa"/>
            <w:tcBorders>
              <w:top w:val="nil"/>
              <w:left w:val="nil"/>
              <w:bottom w:val="nil"/>
              <w:right w:val="nil"/>
            </w:tcBorders>
            <w:shd w:val="clear" w:color="auto" w:fill="auto"/>
            <w:noWrap/>
            <w:vAlign w:val="bottom"/>
            <w:hideMark/>
          </w:tcPr>
          <w:p w14:paraId="0C65C73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31.9</w:t>
            </w:r>
          </w:p>
        </w:tc>
        <w:tc>
          <w:tcPr>
            <w:tcW w:w="784" w:type="dxa"/>
            <w:tcBorders>
              <w:top w:val="nil"/>
              <w:left w:val="single" w:sz="8" w:space="0" w:color="auto"/>
              <w:bottom w:val="nil"/>
              <w:right w:val="single" w:sz="8" w:space="0" w:color="auto"/>
            </w:tcBorders>
            <w:shd w:val="clear" w:color="auto" w:fill="auto"/>
            <w:noWrap/>
            <w:vAlign w:val="bottom"/>
            <w:hideMark/>
          </w:tcPr>
          <w:p w14:paraId="37983A4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30.9</w:t>
            </w:r>
          </w:p>
        </w:tc>
        <w:tc>
          <w:tcPr>
            <w:tcW w:w="784" w:type="dxa"/>
            <w:tcBorders>
              <w:top w:val="nil"/>
              <w:left w:val="nil"/>
              <w:bottom w:val="nil"/>
              <w:right w:val="single" w:sz="8" w:space="0" w:color="auto"/>
            </w:tcBorders>
            <w:shd w:val="clear" w:color="auto" w:fill="auto"/>
            <w:noWrap/>
            <w:vAlign w:val="bottom"/>
            <w:hideMark/>
          </w:tcPr>
          <w:p w14:paraId="6600C9E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30.7</w:t>
            </w:r>
          </w:p>
        </w:tc>
        <w:tc>
          <w:tcPr>
            <w:tcW w:w="784" w:type="dxa"/>
            <w:tcBorders>
              <w:top w:val="nil"/>
              <w:left w:val="nil"/>
              <w:bottom w:val="nil"/>
              <w:right w:val="single" w:sz="8" w:space="0" w:color="auto"/>
            </w:tcBorders>
            <w:shd w:val="clear" w:color="auto" w:fill="auto"/>
            <w:noWrap/>
            <w:vAlign w:val="bottom"/>
            <w:hideMark/>
          </w:tcPr>
          <w:p w14:paraId="474F66E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32.5</w:t>
            </w:r>
          </w:p>
        </w:tc>
        <w:tc>
          <w:tcPr>
            <w:tcW w:w="784" w:type="dxa"/>
            <w:tcBorders>
              <w:top w:val="nil"/>
              <w:left w:val="nil"/>
              <w:bottom w:val="nil"/>
              <w:right w:val="single" w:sz="8" w:space="0" w:color="auto"/>
            </w:tcBorders>
            <w:shd w:val="clear" w:color="auto" w:fill="auto"/>
            <w:noWrap/>
            <w:vAlign w:val="bottom"/>
            <w:hideMark/>
          </w:tcPr>
          <w:p w14:paraId="4C2BBC0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32.6</w:t>
            </w:r>
          </w:p>
        </w:tc>
        <w:tc>
          <w:tcPr>
            <w:tcW w:w="784" w:type="dxa"/>
            <w:tcBorders>
              <w:top w:val="nil"/>
              <w:left w:val="nil"/>
              <w:bottom w:val="nil"/>
              <w:right w:val="single" w:sz="8" w:space="0" w:color="auto"/>
            </w:tcBorders>
            <w:shd w:val="clear" w:color="auto" w:fill="auto"/>
            <w:noWrap/>
            <w:vAlign w:val="bottom"/>
            <w:hideMark/>
          </w:tcPr>
          <w:p w14:paraId="44D8578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31.6</w:t>
            </w:r>
          </w:p>
        </w:tc>
      </w:tr>
      <w:tr w:rsidR="003656FA" w:rsidRPr="003656FA" w14:paraId="5F4BF0C6"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7E3F3B30"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Vietnam</w:t>
            </w:r>
          </w:p>
        </w:tc>
        <w:tc>
          <w:tcPr>
            <w:tcW w:w="784" w:type="dxa"/>
            <w:tcBorders>
              <w:top w:val="nil"/>
              <w:left w:val="single" w:sz="8" w:space="0" w:color="auto"/>
              <w:bottom w:val="nil"/>
              <w:right w:val="single" w:sz="8" w:space="0" w:color="auto"/>
            </w:tcBorders>
            <w:shd w:val="clear" w:color="auto" w:fill="auto"/>
            <w:noWrap/>
            <w:vAlign w:val="bottom"/>
            <w:hideMark/>
          </w:tcPr>
          <w:p w14:paraId="5ACEA73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26.7</w:t>
            </w:r>
          </w:p>
        </w:tc>
        <w:tc>
          <w:tcPr>
            <w:tcW w:w="784" w:type="dxa"/>
            <w:tcBorders>
              <w:top w:val="nil"/>
              <w:left w:val="nil"/>
              <w:bottom w:val="nil"/>
              <w:right w:val="nil"/>
            </w:tcBorders>
            <w:shd w:val="clear" w:color="auto" w:fill="auto"/>
            <w:noWrap/>
            <w:vAlign w:val="bottom"/>
            <w:hideMark/>
          </w:tcPr>
          <w:p w14:paraId="44F279F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28.8</w:t>
            </w:r>
          </w:p>
        </w:tc>
        <w:tc>
          <w:tcPr>
            <w:tcW w:w="784" w:type="dxa"/>
            <w:tcBorders>
              <w:top w:val="nil"/>
              <w:left w:val="single" w:sz="8" w:space="0" w:color="auto"/>
              <w:bottom w:val="nil"/>
              <w:right w:val="single" w:sz="8" w:space="0" w:color="auto"/>
            </w:tcBorders>
            <w:shd w:val="clear" w:color="auto" w:fill="auto"/>
            <w:noWrap/>
            <w:vAlign w:val="bottom"/>
            <w:hideMark/>
          </w:tcPr>
          <w:p w14:paraId="253D07E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29.2</w:t>
            </w:r>
          </w:p>
        </w:tc>
        <w:tc>
          <w:tcPr>
            <w:tcW w:w="784" w:type="dxa"/>
            <w:tcBorders>
              <w:top w:val="nil"/>
              <w:left w:val="nil"/>
              <w:bottom w:val="nil"/>
              <w:right w:val="nil"/>
            </w:tcBorders>
            <w:shd w:val="clear" w:color="auto" w:fill="auto"/>
            <w:noWrap/>
            <w:vAlign w:val="bottom"/>
            <w:hideMark/>
          </w:tcPr>
          <w:p w14:paraId="31647A8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29.9</w:t>
            </w:r>
          </w:p>
        </w:tc>
        <w:tc>
          <w:tcPr>
            <w:tcW w:w="784" w:type="dxa"/>
            <w:tcBorders>
              <w:top w:val="nil"/>
              <w:left w:val="single" w:sz="8" w:space="0" w:color="auto"/>
              <w:bottom w:val="nil"/>
              <w:right w:val="single" w:sz="8" w:space="0" w:color="auto"/>
            </w:tcBorders>
            <w:shd w:val="clear" w:color="auto" w:fill="auto"/>
            <w:noWrap/>
            <w:vAlign w:val="bottom"/>
            <w:hideMark/>
          </w:tcPr>
          <w:p w14:paraId="76BDC94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30.5</w:t>
            </w:r>
          </w:p>
        </w:tc>
        <w:tc>
          <w:tcPr>
            <w:tcW w:w="784" w:type="dxa"/>
            <w:tcBorders>
              <w:top w:val="nil"/>
              <w:left w:val="nil"/>
              <w:bottom w:val="nil"/>
              <w:right w:val="nil"/>
            </w:tcBorders>
            <w:shd w:val="clear" w:color="auto" w:fill="auto"/>
            <w:noWrap/>
            <w:vAlign w:val="bottom"/>
            <w:hideMark/>
          </w:tcPr>
          <w:p w14:paraId="69DEF3F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30.3</w:t>
            </w:r>
          </w:p>
        </w:tc>
        <w:tc>
          <w:tcPr>
            <w:tcW w:w="784" w:type="dxa"/>
            <w:tcBorders>
              <w:top w:val="nil"/>
              <w:left w:val="single" w:sz="8" w:space="0" w:color="auto"/>
              <w:bottom w:val="nil"/>
              <w:right w:val="single" w:sz="8" w:space="0" w:color="auto"/>
            </w:tcBorders>
            <w:shd w:val="clear" w:color="auto" w:fill="auto"/>
            <w:noWrap/>
            <w:vAlign w:val="bottom"/>
            <w:hideMark/>
          </w:tcPr>
          <w:p w14:paraId="294248D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31</w:t>
            </w:r>
          </w:p>
        </w:tc>
        <w:tc>
          <w:tcPr>
            <w:tcW w:w="784" w:type="dxa"/>
            <w:tcBorders>
              <w:top w:val="nil"/>
              <w:left w:val="nil"/>
              <w:bottom w:val="nil"/>
              <w:right w:val="single" w:sz="8" w:space="0" w:color="auto"/>
            </w:tcBorders>
            <w:shd w:val="clear" w:color="auto" w:fill="auto"/>
            <w:noWrap/>
            <w:vAlign w:val="bottom"/>
            <w:hideMark/>
          </w:tcPr>
          <w:p w14:paraId="6EF1081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30.7</w:t>
            </w:r>
          </w:p>
        </w:tc>
        <w:tc>
          <w:tcPr>
            <w:tcW w:w="784" w:type="dxa"/>
            <w:tcBorders>
              <w:top w:val="nil"/>
              <w:left w:val="nil"/>
              <w:bottom w:val="nil"/>
              <w:right w:val="single" w:sz="8" w:space="0" w:color="auto"/>
            </w:tcBorders>
            <w:shd w:val="clear" w:color="auto" w:fill="auto"/>
            <w:noWrap/>
            <w:vAlign w:val="bottom"/>
            <w:hideMark/>
          </w:tcPr>
          <w:p w14:paraId="2FD1409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29.6</w:t>
            </w:r>
          </w:p>
        </w:tc>
        <w:tc>
          <w:tcPr>
            <w:tcW w:w="784" w:type="dxa"/>
            <w:tcBorders>
              <w:top w:val="nil"/>
              <w:left w:val="nil"/>
              <w:bottom w:val="nil"/>
              <w:right w:val="single" w:sz="8" w:space="0" w:color="auto"/>
            </w:tcBorders>
            <w:shd w:val="clear" w:color="auto" w:fill="auto"/>
            <w:noWrap/>
            <w:vAlign w:val="bottom"/>
            <w:hideMark/>
          </w:tcPr>
          <w:p w14:paraId="09A7A4A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30.3</w:t>
            </w:r>
          </w:p>
        </w:tc>
        <w:tc>
          <w:tcPr>
            <w:tcW w:w="784" w:type="dxa"/>
            <w:tcBorders>
              <w:top w:val="nil"/>
              <w:left w:val="nil"/>
              <w:bottom w:val="nil"/>
              <w:right w:val="single" w:sz="8" w:space="0" w:color="auto"/>
            </w:tcBorders>
            <w:shd w:val="clear" w:color="auto" w:fill="auto"/>
            <w:noWrap/>
            <w:vAlign w:val="bottom"/>
            <w:hideMark/>
          </w:tcPr>
          <w:p w14:paraId="7F64F65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30.3</w:t>
            </w:r>
          </w:p>
        </w:tc>
      </w:tr>
      <w:tr w:rsidR="003656FA" w:rsidRPr="003656FA" w14:paraId="695C5F72"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7F60D58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All Other</w:t>
            </w:r>
          </w:p>
        </w:tc>
        <w:tc>
          <w:tcPr>
            <w:tcW w:w="784" w:type="dxa"/>
            <w:tcBorders>
              <w:top w:val="nil"/>
              <w:left w:val="single" w:sz="8" w:space="0" w:color="auto"/>
              <w:bottom w:val="nil"/>
              <w:right w:val="single" w:sz="8" w:space="0" w:color="auto"/>
            </w:tcBorders>
            <w:shd w:val="clear" w:color="auto" w:fill="auto"/>
            <w:noWrap/>
            <w:vAlign w:val="bottom"/>
            <w:hideMark/>
          </w:tcPr>
          <w:p w14:paraId="40ECE16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583.1</w:t>
            </w:r>
          </w:p>
        </w:tc>
        <w:tc>
          <w:tcPr>
            <w:tcW w:w="784" w:type="dxa"/>
            <w:tcBorders>
              <w:top w:val="nil"/>
              <w:left w:val="nil"/>
              <w:bottom w:val="nil"/>
              <w:right w:val="nil"/>
            </w:tcBorders>
            <w:shd w:val="clear" w:color="auto" w:fill="auto"/>
            <w:noWrap/>
            <w:vAlign w:val="bottom"/>
            <w:hideMark/>
          </w:tcPr>
          <w:p w14:paraId="5A90175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555.5</w:t>
            </w:r>
          </w:p>
        </w:tc>
        <w:tc>
          <w:tcPr>
            <w:tcW w:w="784" w:type="dxa"/>
            <w:tcBorders>
              <w:top w:val="nil"/>
              <w:left w:val="single" w:sz="8" w:space="0" w:color="auto"/>
              <w:bottom w:val="nil"/>
              <w:right w:val="single" w:sz="8" w:space="0" w:color="auto"/>
            </w:tcBorders>
            <w:shd w:val="clear" w:color="auto" w:fill="auto"/>
            <w:noWrap/>
            <w:vAlign w:val="bottom"/>
            <w:hideMark/>
          </w:tcPr>
          <w:p w14:paraId="64DC462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557.5</w:t>
            </w:r>
          </w:p>
        </w:tc>
        <w:tc>
          <w:tcPr>
            <w:tcW w:w="784" w:type="dxa"/>
            <w:tcBorders>
              <w:top w:val="nil"/>
              <w:left w:val="nil"/>
              <w:bottom w:val="nil"/>
              <w:right w:val="nil"/>
            </w:tcBorders>
            <w:shd w:val="clear" w:color="auto" w:fill="auto"/>
            <w:noWrap/>
            <w:vAlign w:val="bottom"/>
            <w:hideMark/>
          </w:tcPr>
          <w:p w14:paraId="717C7FC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557.6</w:t>
            </w:r>
          </w:p>
        </w:tc>
        <w:tc>
          <w:tcPr>
            <w:tcW w:w="784" w:type="dxa"/>
            <w:tcBorders>
              <w:top w:val="nil"/>
              <w:left w:val="single" w:sz="8" w:space="0" w:color="auto"/>
              <w:bottom w:val="nil"/>
              <w:right w:val="single" w:sz="8" w:space="0" w:color="auto"/>
            </w:tcBorders>
            <w:shd w:val="clear" w:color="auto" w:fill="auto"/>
            <w:noWrap/>
            <w:vAlign w:val="bottom"/>
            <w:hideMark/>
          </w:tcPr>
          <w:p w14:paraId="503E591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550.1</w:t>
            </w:r>
          </w:p>
        </w:tc>
        <w:tc>
          <w:tcPr>
            <w:tcW w:w="784" w:type="dxa"/>
            <w:tcBorders>
              <w:top w:val="nil"/>
              <w:left w:val="nil"/>
              <w:bottom w:val="nil"/>
              <w:right w:val="nil"/>
            </w:tcBorders>
            <w:shd w:val="clear" w:color="auto" w:fill="auto"/>
            <w:noWrap/>
            <w:vAlign w:val="bottom"/>
            <w:hideMark/>
          </w:tcPr>
          <w:p w14:paraId="02EDC8B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571.4</w:t>
            </w:r>
          </w:p>
        </w:tc>
        <w:tc>
          <w:tcPr>
            <w:tcW w:w="784" w:type="dxa"/>
            <w:tcBorders>
              <w:top w:val="nil"/>
              <w:left w:val="single" w:sz="8" w:space="0" w:color="auto"/>
              <w:bottom w:val="nil"/>
              <w:right w:val="single" w:sz="8" w:space="0" w:color="auto"/>
            </w:tcBorders>
            <w:shd w:val="clear" w:color="auto" w:fill="auto"/>
            <w:noWrap/>
            <w:vAlign w:val="bottom"/>
            <w:hideMark/>
          </w:tcPr>
          <w:p w14:paraId="7739CEC6"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581.1</w:t>
            </w:r>
          </w:p>
        </w:tc>
        <w:tc>
          <w:tcPr>
            <w:tcW w:w="784" w:type="dxa"/>
            <w:tcBorders>
              <w:top w:val="nil"/>
              <w:left w:val="nil"/>
              <w:bottom w:val="nil"/>
              <w:right w:val="single" w:sz="8" w:space="0" w:color="auto"/>
            </w:tcBorders>
            <w:shd w:val="clear" w:color="auto" w:fill="auto"/>
            <w:noWrap/>
            <w:vAlign w:val="bottom"/>
            <w:hideMark/>
          </w:tcPr>
          <w:p w14:paraId="7FBE67E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529.8</w:t>
            </w:r>
          </w:p>
        </w:tc>
        <w:tc>
          <w:tcPr>
            <w:tcW w:w="784" w:type="dxa"/>
            <w:tcBorders>
              <w:top w:val="nil"/>
              <w:left w:val="nil"/>
              <w:bottom w:val="nil"/>
              <w:right w:val="single" w:sz="8" w:space="0" w:color="auto"/>
            </w:tcBorders>
            <w:shd w:val="clear" w:color="auto" w:fill="auto"/>
            <w:noWrap/>
            <w:vAlign w:val="bottom"/>
            <w:hideMark/>
          </w:tcPr>
          <w:p w14:paraId="46A5284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537.8</w:t>
            </w:r>
          </w:p>
        </w:tc>
        <w:tc>
          <w:tcPr>
            <w:tcW w:w="784" w:type="dxa"/>
            <w:tcBorders>
              <w:top w:val="nil"/>
              <w:left w:val="nil"/>
              <w:bottom w:val="nil"/>
              <w:right w:val="single" w:sz="8" w:space="0" w:color="auto"/>
            </w:tcBorders>
            <w:shd w:val="clear" w:color="auto" w:fill="auto"/>
            <w:noWrap/>
            <w:vAlign w:val="bottom"/>
            <w:hideMark/>
          </w:tcPr>
          <w:p w14:paraId="4907863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547.1</w:t>
            </w:r>
          </w:p>
        </w:tc>
        <w:tc>
          <w:tcPr>
            <w:tcW w:w="784" w:type="dxa"/>
            <w:tcBorders>
              <w:top w:val="nil"/>
              <w:left w:val="nil"/>
              <w:bottom w:val="nil"/>
              <w:right w:val="single" w:sz="8" w:space="0" w:color="auto"/>
            </w:tcBorders>
            <w:shd w:val="clear" w:color="auto" w:fill="auto"/>
            <w:noWrap/>
            <w:vAlign w:val="bottom"/>
            <w:hideMark/>
          </w:tcPr>
          <w:p w14:paraId="40B48B9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540.3</w:t>
            </w:r>
          </w:p>
        </w:tc>
      </w:tr>
      <w:tr w:rsidR="003656FA" w:rsidRPr="003656FA" w14:paraId="0EFEED9B"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17C683B7"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Grand Total</w:t>
            </w:r>
          </w:p>
        </w:tc>
        <w:tc>
          <w:tcPr>
            <w:tcW w:w="784" w:type="dxa"/>
            <w:tcBorders>
              <w:top w:val="nil"/>
              <w:left w:val="single" w:sz="8" w:space="0" w:color="auto"/>
              <w:bottom w:val="nil"/>
              <w:right w:val="single" w:sz="8" w:space="0" w:color="auto"/>
            </w:tcBorders>
            <w:shd w:val="clear" w:color="auto" w:fill="auto"/>
            <w:noWrap/>
            <w:vAlign w:val="bottom"/>
            <w:hideMark/>
          </w:tcPr>
          <w:p w14:paraId="35B7BB27"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7036.4</w:t>
            </w:r>
          </w:p>
        </w:tc>
        <w:tc>
          <w:tcPr>
            <w:tcW w:w="784" w:type="dxa"/>
            <w:tcBorders>
              <w:top w:val="nil"/>
              <w:left w:val="nil"/>
              <w:bottom w:val="nil"/>
              <w:right w:val="nil"/>
            </w:tcBorders>
            <w:shd w:val="clear" w:color="auto" w:fill="auto"/>
            <w:noWrap/>
            <w:vAlign w:val="bottom"/>
            <w:hideMark/>
          </w:tcPr>
          <w:p w14:paraId="64939F6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6923.5</w:t>
            </w:r>
          </w:p>
        </w:tc>
        <w:tc>
          <w:tcPr>
            <w:tcW w:w="784" w:type="dxa"/>
            <w:tcBorders>
              <w:top w:val="nil"/>
              <w:left w:val="single" w:sz="8" w:space="0" w:color="auto"/>
              <w:bottom w:val="nil"/>
              <w:right w:val="single" w:sz="8" w:space="0" w:color="auto"/>
            </w:tcBorders>
            <w:shd w:val="clear" w:color="auto" w:fill="auto"/>
            <w:noWrap/>
            <w:vAlign w:val="bottom"/>
            <w:hideMark/>
          </w:tcPr>
          <w:p w14:paraId="0E583E1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6946.4</w:t>
            </w:r>
          </w:p>
        </w:tc>
        <w:tc>
          <w:tcPr>
            <w:tcW w:w="784" w:type="dxa"/>
            <w:tcBorders>
              <w:top w:val="nil"/>
              <w:left w:val="nil"/>
              <w:bottom w:val="nil"/>
              <w:right w:val="nil"/>
            </w:tcBorders>
            <w:shd w:val="clear" w:color="auto" w:fill="auto"/>
            <w:noWrap/>
            <w:vAlign w:val="bottom"/>
            <w:hideMark/>
          </w:tcPr>
          <w:p w14:paraId="6A53C1B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6902.1</w:t>
            </w:r>
          </w:p>
        </w:tc>
        <w:tc>
          <w:tcPr>
            <w:tcW w:w="784" w:type="dxa"/>
            <w:tcBorders>
              <w:top w:val="nil"/>
              <w:left w:val="single" w:sz="8" w:space="0" w:color="auto"/>
              <w:bottom w:val="nil"/>
              <w:right w:val="single" w:sz="8" w:space="0" w:color="auto"/>
            </w:tcBorders>
            <w:shd w:val="clear" w:color="auto" w:fill="auto"/>
            <w:noWrap/>
            <w:vAlign w:val="bottom"/>
            <w:hideMark/>
          </w:tcPr>
          <w:p w14:paraId="2A3C5C6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6844.2</w:t>
            </w:r>
          </w:p>
        </w:tc>
        <w:tc>
          <w:tcPr>
            <w:tcW w:w="784" w:type="dxa"/>
            <w:tcBorders>
              <w:top w:val="nil"/>
              <w:left w:val="nil"/>
              <w:bottom w:val="nil"/>
              <w:right w:val="nil"/>
            </w:tcBorders>
            <w:shd w:val="clear" w:color="auto" w:fill="auto"/>
            <w:noWrap/>
            <w:vAlign w:val="bottom"/>
            <w:hideMark/>
          </w:tcPr>
          <w:p w14:paraId="68B0E494"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7027.3</w:t>
            </w:r>
          </w:p>
        </w:tc>
        <w:tc>
          <w:tcPr>
            <w:tcW w:w="784" w:type="dxa"/>
            <w:tcBorders>
              <w:top w:val="nil"/>
              <w:left w:val="single" w:sz="8" w:space="0" w:color="auto"/>
              <w:bottom w:val="nil"/>
              <w:right w:val="single" w:sz="8" w:space="0" w:color="auto"/>
            </w:tcBorders>
            <w:shd w:val="clear" w:color="auto" w:fill="auto"/>
            <w:noWrap/>
            <w:vAlign w:val="bottom"/>
            <w:hideMark/>
          </w:tcPr>
          <w:p w14:paraId="653DFED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7226.2</w:t>
            </w:r>
          </w:p>
        </w:tc>
        <w:tc>
          <w:tcPr>
            <w:tcW w:w="784" w:type="dxa"/>
            <w:tcBorders>
              <w:top w:val="nil"/>
              <w:left w:val="nil"/>
              <w:bottom w:val="nil"/>
              <w:right w:val="single" w:sz="8" w:space="0" w:color="auto"/>
            </w:tcBorders>
            <w:shd w:val="clear" w:color="auto" w:fill="auto"/>
            <w:noWrap/>
            <w:vAlign w:val="bottom"/>
            <w:hideMark/>
          </w:tcPr>
          <w:p w14:paraId="16659E3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6949.5</w:t>
            </w:r>
          </w:p>
        </w:tc>
        <w:tc>
          <w:tcPr>
            <w:tcW w:w="784" w:type="dxa"/>
            <w:tcBorders>
              <w:top w:val="nil"/>
              <w:left w:val="nil"/>
              <w:bottom w:val="nil"/>
              <w:right w:val="single" w:sz="8" w:space="0" w:color="auto"/>
            </w:tcBorders>
            <w:shd w:val="clear" w:color="auto" w:fill="auto"/>
            <w:noWrap/>
            <w:vAlign w:val="bottom"/>
            <w:hideMark/>
          </w:tcPr>
          <w:p w14:paraId="5372D12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6903.4</w:t>
            </w:r>
          </w:p>
        </w:tc>
        <w:tc>
          <w:tcPr>
            <w:tcW w:w="784" w:type="dxa"/>
            <w:tcBorders>
              <w:top w:val="nil"/>
              <w:left w:val="nil"/>
              <w:bottom w:val="nil"/>
              <w:right w:val="single" w:sz="8" w:space="0" w:color="auto"/>
            </w:tcBorders>
            <w:shd w:val="clear" w:color="auto" w:fill="auto"/>
            <w:noWrap/>
            <w:vAlign w:val="bottom"/>
            <w:hideMark/>
          </w:tcPr>
          <w:p w14:paraId="76CFDCE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6978</w:t>
            </w:r>
          </w:p>
        </w:tc>
        <w:tc>
          <w:tcPr>
            <w:tcW w:w="784" w:type="dxa"/>
            <w:tcBorders>
              <w:top w:val="nil"/>
              <w:left w:val="nil"/>
              <w:bottom w:val="nil"/>
              <w:right w:val="single" w:sz="8" w:space="0" w:color="auto"/>
            </w:tcBorders>
            <w:shd w:val="clear" w:color="auto" w:fill="auto"/>
            <w:noWrap/>
            <w:vAlign w:val="bottom"/>
            <w:hideMark/>
          </w:tcPr>
          <w:p w14:paraId="1F5B5CA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7038.9</w:t>
            </w:r>
          </w:p>
        </w:tc>
      </w:tr>
      <w:tr w:rsidR="003656FA" w:rsidRPr="003656FA" w14:paraId="37164D07"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64EE12D9"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nil"/>
              <w:left w:val="single" w:sz="8" w:space="0" w:color="auto"/>
              <w:bottom w:val="nil"/>
              <w:right w:val="single" w:sz="8" w:space="0" w:color="auto"/>
            </w:tcBorders>
            <w:shd w:val="clear" w:color="auto" w:fill="auto"/>
            <w:noWrap/>
            <w:vAlign w:val="bottom"/>
            <w:hideMark/>
          </w:tcPr>
          <w:p w14:paraId="1C55E9DF"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nil"/>
              <w:left w:val="nil"/>
              <w:bottom w:val="nil"/>
              <w:right w:val="nil"/>
            </w:tcBorders>
            <w:shd w:val="clear" w:color="auto" w:fill="auto"/>
            <w:noWrap/>
            <w:vAlign w:val="bottom"/>
            <w:hideMark/>
          </w:tcPr>
          <w:p w14:paraId="26F9DE17"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784" w:type="dxa"/>
            <w:tcBorders>
              <w:top w:val="nil"/>
              <w:left w:val="single" w:sz="8" w:space="0" w:color="auto"/>
              <w:bottom w:val="nil"/>
              <w:right w:val="single" w:sz="8" w:space="0" w:color="auto"/>
            </w:tcBorders>
            <w:shd w:val="clear" w:color="auto" w:fill="auto"/>
            <w:noWrap/>
            <w:vAlign w:val="bottom"/>
            <w:hideMark/>
          </w:tcPr>
          <w:p w14:paraId="5AC9D62C"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nil"/>
              <w:left w:val="nil"/>
              <w:bottom w:val="nil"/>
              <w:right w:val="nil"/>
            </w:tcBorders>
            <w:shd w:val="clear" w:color="auto" w:fill="auto"/>
            <w:noWrap/>
            <w:vAlign w:val="bottom"/>
            <w:hideMark/>
          </w:tcPr>
          <w:p w14:paraId="0C2A2A35"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784" w:type="dxa"/>
            <w:tcBorders>
              <w:top w:val="nil"/>
              <w:left w:val="single" w:sz="8" w:space="0" w:color="auto"/>
              <w:bottom w:val="nil"/>
              <w:right w:val="single" w:sz="8" w:space="0" w:color="auto"/>
            </w:tcBorders>
            <w:shd w:val="clear" w:color="auto" w:fill="auto"/>
            <w:noWrap/>
            <w:vAlign w:val="bottom"/>
            <w:hideMark/>
          </w:tcPr>
          <w:p w14:paraId="48A1ED06"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nil"/>
              <w:left w:val="nil"/>
              <w:bottom w:val="nil"/>
              <w:right w:val="nil"/>
            </w:tcBorders>
            <w:shd w:val="clear" w:color="auto" w:fill="auto"/>
            <w:noWrap/>
            <w:vAlign w:val="bottom"/>
            <w:hideMark/>
          </w:tcPr>
          <w:p w14:paraId="070EDABF" w14:textId="77777777" w:rsidR="003656FA" w:rsidRPr="003656FA" w:rsidRDefault="003656FA" w:rsidP="003656FA">
            <w:pPr>
              <w:rPr>
                <w:rFonts w:ascii="Garamond" w:eastAsia="Times New Roman" w:hAnsi="Garamond" w:cs="Calibri"/>
                <w:b/>
                <w:bCs/>
                <w:color w:val="000000"/>
                <w:sz w:val="20"/>
                <w:szCs w:val="20"/>
                <w:lang w:val="en-IN" w:eastAsia="en-IN" w:bidi="hi-IN"/>
              </w:rPr>
            </w:pPr>
          </w:p>
        </w:tc>
        <w:tc>
          <w:tcPr>
            <w:tcW w:w="784" w:type="dxa"/>
            <w:tcBorders>
              <w:top w:val="nil"/>
              <w:left w:val="single" w:sz="8" w:space="0" w:color="auto"/>
              <w:bottom w:val="nil"/>
              <w:right w:val="single" w:sz="8" w:space="0" w:color="auto"/>
            </w:tcBorders>
            <w:shd w:val="clear" w:color="auto" w:fill="auto"/>
            <w:noWrap/>
            <w:vAlign w:val="bottom"/>
            <w:hideMark/>
          </w:tcPr>
          <w:p w14:paraId="5FEA8383"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nil"/>
              <w:left w:val="nil"/>
              <w:bottom w:val="nil"/>
              <w:right w:val="single" w:sz="8" w:space="0" w:color="auto"/>
            </w:tcBorders>
            <w:shd w:val="clear" w:color="auto" w:fill="auto"/>
            <w:noWrap/>
            <w:vAlign w:val="bottom"/>
            <w:hideMark/>
          </w:tcPr>
          <w:p w14:paraId="42C42649"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nil"/>
              <w:left w:val="nil"/>
              <w:bottom w:val="nil"/>
              <w:right w:val="single" w:sz="8" w:space="0" w:color="auto"/>
            </w:tcBorders>
            <w:shd w:val="clear" w:color="auto" w:fill="auto"/>
            <w:noWrap/>
            <w:vAlign w:val="bottom"/>
            <w:hideMark/>
          </w:tcPr>
          <w:p w14:paraId="79FD955C"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nil"/>
              <w:left w:val="nil"/>
              <w:bottom w:val="nil"/>
              <w:right w:val="single" w:sz="8" w:space="0" w:color="auto"/>
            </w:tcBorders>
            <w:shd w:val="clear" w:color="auto" w:fill="auto"/>
            <w:noWrap/>
            <w:vAlign w:val="bottom"/>
            <w:hideMark/>
          </w:tcPr>
          <w:p w14:paraId="1057D845"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c>
          <w:tcPr>
            <w:tcW w:w="784" w:type="dxa"/>
            <w:tcBorders>
              <w:top w:val="nil"/>
              <w:left w:val="nil"/>
              <w:bottom w:val="nil"/>
              <w:right w:val="single" w:sz="8" w:space="0" w:color="auto"/>
            </w:tcBorders>
            <w:shd w:val="clear" w:color="auto" w:fill="auto"/>
            <w:noWrap/>
            <w:vAlign w:val="bottom"/>
            <w:hideMark/>
          </w:tcPr>
          <w:p w14:paraId="15108DA2" w14:textId="77777777" w:rsidR="003656FA" w:rsidRPr="003656FA" w:rsidRDefault="003656FA" w:rsidP="003656FA">
            <w:pPr>
              <w:rPr>
                <w:rFonts w:ascii="Garamond" w:eastAsia="Times New Roman" w:hAnsi="Garamond" w:cs="Calibri"/>
                <w:b/>
                <w:bCs/>
                <w:color w:val="000000"/>
                <w:sz w:val="20"/>
                <w:szCs w:val="20"/>
                <w:lang w:val="en-IN" w:eastAsia="en-IN" w:bidi="hi-IN"/>
              </w:rPr>
            </w:pPr>
            <w:r w:rsidRPr="003656FA">
              <w:rPr>
                <w:rFonts w:ascii="Garamond" w:eastAsia="Times New Roman" w:hAnsi="Garamond" w:cs="Calibri"/>
                <w:b/>
                <w:bCs/>
                <w:color w:val="000000"/>
                <w:sz w:val="20"/>
                <w:szCs w:val="20"/>
                <w:lang w:val="en-IN" w:eastAsia="en-IN" w:bidi="hi-IN"/>
              </w:rPr>
              <w:t> </w:t>
            </w:r>
          </w:p>
        </w:tc>
      </w:tr>
      <w:tr w:rsidR="003656FA" w:rsidRPr="003656FA" w14:paraId="1471A7F7"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6D95E2D4"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Of which:</w:t>
            </w:r>
          </w:p>
        </w:tc>
        <w:tc>
          <w:tcPr>
            <w:tcW w:w="784" w:type="dxa"/>
            <w:tcBorders>
              <w:top w:val="nil"/>
              <w:left w:val="single" w:sz="8" w:space="0" w:color="auto"/>
              <w:bottom w:val="nil"/>
              <w:right w:val="single" w:sz="8" w:space="0" w:color="auto"/>
            </w:tcBorders>
            <w:shd w:val="clear" w:color="auto" w:fill="auto"/>
            <w:noWrap/>
            <w:vAlign w:val="bottom"/>
            <w:hideMark/>
          </w:tcPr>
          <w:p w14:paraId="2A2BBE53"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 </w:t>
            </w:r>
          </w:p>
        </w:tc>
        <w:tc>
          <w:tcPr>
            <w:tcW w:w="784" w:type="dxa"/>
            <w:tcBorders>
              <w:top w:val="nil"/>
              <w:left w:val="nil"/>
              <w:bottom w:val="nil"/>
              <w:right w:val="nil"/>
            </w:tcBorders>
            <w:shd w:val="clear" w:color="auto" w:fill="auto"/>
            <w:noWrap/>
            <w:vAlign w:val="bottom"/>
            <w:hideMark/>
          </w:tcPr>
          <w:p w14:paraId="6B3151CA" w14:textId="77777777" w:rsidR="003656FA" w:rsidRPr="003656FA" w:rsidRDefault="003656FA" w:rsidP="003656FA">
            <w:pPr>
              <w:rPr>
                <w:rFonts w:ascii="Garamond" w:eastAsia="Times New Roman" w:hAnsi="Garamond" w:cs="Calibri"/>
                <w:color w:val="000000"/>
                <w:sz w:val="20"/>
                <w:szCs w:val="20"/>
                <w:lang w:val="en-IN" w:eastAsia="en-IN" w:bidi="hi-IN"/>
              </w:rPr>
            </w:pPr>
          </w:p>
        </w:tc>
        <w:tc>
          <w:tcPr>
            <w:tcW w:w="784" w:type="dxa"/>
            <w:tcBorders>
              <w:top w:val="nil"/>
              <w:left w:val="single" w:sz="8" w:space="0" w:color="auto"/>
              <w:bottom w:val="nil"/>
              <w:right w:val="single" w:sz="8" w:space="0" w:color="auto"/>
            </w:tcBorders>
            <w:shd w:val="clear" w:color="auto" w:fill="auto"/>
            <w:noWrap/>
            <w:vAlign w:val="bottom"/>
            <w:hideMark/>
          </w:tcPr>
          <w:p w14:paraId="5E1B91D7"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 </w:t>
            </w:r>
          </w:p>
        </w:tc>
        <w:tc>
          <w:tcPr>
            <w:tcW w:w="784" w:type="dxa"/>
            <w:tcBorders>
              <w:top w:val="nil"/>
              <w:left w:val="nil"/>
              <w:bottom w:val="nil"/>
              <w:right w:val="nil"/>
            </w:tcBorders>
            <w:shd w:val="clear" w:color="auto" w:fill="auto"/>
            <w:noWrap/>
            <w:vAlign w:val="bottom"/>
            <w:hideMark/>
          </w:tcPr>
          <w:p w14:paraId="62B6CED4" w14:textId="77777777" w:rsidR="003656FA" w:rsidRPr="003656FA" w:rsidRDefault="003656FA" w:rsidP="003656FA">
            <w:pPr>
              <w:rPr>
                <w:rFonts w:ascii="Garamond" w:eastAsia="Times New Roman" w:hAnsi="Garamond" w:cs="Calibri"/>
                <w:color w:val="000000"/>
                <w:sz w:val="20"/>
                <w:szCs w:val="20"/>
                <w:lang w:val="en-IN" w:eastAsia="en-IN" w:bidi="hi-IN"/>
              </w:rPr>
            </w:pPr>
          </w:p>
        </w:tc>
        <w:tc>
          <w:tcPr>
            <w:tcW w:w="784" w:type="dxa"/>
            <w:tcBorders>
              <w:top w:val="nil"/>
              <w:left w:val="single" w:sz="8" w:space="0" w:color="auto"/>
              <w:bottom w:val="nil"/>
              <w:right w:val="single" w:sz="8" w:space="0" w:color="auto"/>
            </w:tcBorders>
            <w:shd w:val="clear" w:color="auto" w:fill="auto"/>
            <w:noWrap/>
            <w:vAlign w:val="bottom"/>
            <w:hideMark/>
          </w:tcPr>
          <w:p w14:paraId="1A29802C"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 </w:t>
            </w:r>
          </w:p>
        </w:tc>
        <w:tc>
          <w:tcPr>
            <w:tcW w:w="784" w:type="dxa"/>
            <w:tcBorders>
              <w:top w:val="nil"/>
              <w:left w:val="nil"/>
              <w:bottom w:val="nil"/>
              <w:right w:val="nil"/>
            </w:tcBorders>
            <w:shd w:val="clear" w:color="auto" w:fill="auto"/>
            <w:noWrap/>
            <w:vAlign w:val="bottom"/>
            <w:hideMark/>
          </w:tcPr>
          <w:p w14:paraId="4526D3B4" w14:textId="77777777" w:rsidR="003656FA" w:rsidRPr="003656FA" w:rsidRDefault="003656FA" w:rsidP="003656FA">
            <w:pPr>
              <w:rPr>
                <w:rFonts w:ascii="Garamond" w:eastAsia="Times New Roman" w:hAnsi="Garamond" w:cs="Calibri"/>
                <w:color w:val="000000"/>
                <w:sz w:val="20"/>
                <w:szCs w:val="20"/>
                <w:lang w:val="en-IN" w:eastAsia="en-IN" w:bidi="hi-IN"/>
              </w:rPr>
            </w:pPr>
          </w:p>
        </w:tc>
        <w:tc>
          <w:tcPr>
            <w:tcW w:w="784" w:type="dxa"/>
            <w:tcBorders>
              <w:top w:val="nil"/>
              <w:left w:val="single" w:sz="8" w:space="0" w:color="auto"/>
              <w:bottom w:val="nil"/>
              <w:right w:val="single" w:sz="8" w:space="0" w:color="auto"/>
            </w:tcBorders>
            <w:shd w:val="clear" w:color="auto" w:fill="auto"/>
            <w:noWrap/>
            <w:vAlign w:val="bottom"/>
            <w:hideMark/>
          </w:tcPr>
          <w:p w14:paraId="7D94714F"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 </w:t>
            </w:r>
          </w:p>
        </w:tc>
        <w:tc>
          <w:tcPr>
            <w:tcW w:w="784" w:type="dxa"/>
            <w:tcBorders>
              <w:top w:val="nil"/>
              <w:left w:val="nil"/>
              <w:bottom w:val="nil"/>
              <w:right w:val="single" w:sz="8" w:space="0" w:color="auto"/>
            </w:tcBorders>
            <w:shd w:val="clear" w:color="auto" w:fill="auto"/>
            <w:noWrap/>
            <w:vAlign w:val="bottom"/>
            <w:hideMark/>
          </w:tcPr>
          <w:p w14:paraId="42CBEA7F"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 </w:t>
            </w:r>
          </w:p>
        </w:tc>
        <w:tc>
          <w:tcPr>
            <w:tcW w:w="784" w:type="dxa"/>
            <w:tcBorders>
              <w:top w:val="nil"/>
              <w:left w:val="nil"/>
              <w:bottom w:val="nil"/>
              <w:right w:val="single" w:sz="8" w:space="0" w:color="auto"/>
            </w:tcBorders>
            <w:shd w:val="clear" w:color="auto" w:fill="auto"/>
            <w:noWrap/>
            <w:vAlign w:val="bottom"/>
            <w:hideMark/>
          </w:tcPr>
          <w:p w14:paraId="23EFDB4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 </w:t>
            </w:r>
          </w:p>
        </w:tc>
        <w:tc>
          <w:tcPr>
            <w:tcW w:w="784" w:type="dxa"/>
            <w:tcBorders>
              <w:top w:val="nil"/>
              <w:left w:val="nil"/>
              <w:bottom w:val="nil"/>
              <w:right w:val="single" w:sz="8" w:space="0" w:color="auto"/>
            </w:tcBorders>
            <w:shd w:val="clear" w:color="auto" w:fill="auto"/>
            <w:noWrap/>
            <w:vAlign w:val="bottom"/>
            <w:hideMark/>
          </w:tcPr>
          <w:p w14:paraId="43BC4E7E"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 </w:t>
            </w:r>
          </w:p>
        </w:tc>
        <w:tc>
          <w:tcPr>
            <w:tcW w:w="784" w:type="dxa"/>
            <w:tcBorders>
              <w:top w:val="nil"/>
              <w:left w:val="nil"/>
              <w:bottom w:val="nil"/>
              <w:right w:val="single" w:sz="8" w:space="0" w:color="auto"/>
            </w:tcBorders>
            <w:shd w:val="clear" w:color="auto" w:fill="auto"/>
            <w:noWrap/>
            <w:vAlign w:val="bottom"/>
            <w:hideMark/>
          </w:tcPr>
          <w:p w14:paraId="2A1C22D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 </w:t>
            </w:r>
          </w:p>
        </w:tc>
      </w:tr>
      <w:tr w:rsidR="003656FA" w:rsidRPr="003656FA" w14:paraId="2AFD8B0F"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67456CFE"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For. Official</w:t>
            </w:r>
          </w:p>
        </w:tc>
        <w:tc>
          <w:tcPr>
            <w:tcW w:w="784" w:type="dxa"/>
            <w:tcBorders>
              <w:top w:val="nil"/>
              <w:left w:val="single" w:sz="8" w:space="0" w:color="auto"/>
              <w:bottom w:val="nil"/>
              <w:right w:val="single" w:sz="8" w:space="0" w:color="auto"/>
            </w:tcBorders>
            <w:shd w:val="clear" w:color="auto" w:fill="auto"/>
            <w:noWrap/>
            <w:vAlign w:val="bottom"/>
            <w:hideMark/>
          </w:tcPr>
          <w:p w14:paraId="6D734A4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4200.2</w:t>
            </w:r>
          </w:p>
        </w:tc>
        <w:tc>
          <w:tcPr>
            <w:tcW w:w="784" w:type="dxa"/>
            <w:tcBorders>
              <w:top w:val="nil"/>
              <w:left w:val="nil"/>
              <w:bottom w:val="nil"/>
              <w:right w:val="nil"/>
            </w:tcBorders>
            <w:shd w:val="clear" w:color="auto" w:fill="auto"/>
            <w:noWrap/>
            <w:vAlign w:val="bottom"/>
            <w:hideMark/>
          </w:tcPr>
          <w:p w14:paraId="7AF659BD"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4150.9</w:t>
            </w:r>
          </w:p>
        </w:tc>
        <w:tc>
          <w:tcPr>
            <w:tcW w:w="784" w:type="dxa"/>
            <w:tcBorders>
              <w:top w:val="nil"/>
              <w:left w:val="single" w:sz="8" w:space="0" w:color="auto"/>
              <w:bottom w:val="nil"/>
              <w:right w:val="single" w:sz="8" w:space="0" w:color="auto"/>
            </w:tcBorders>
            <w:shd w:val="clear" w:color="auto" w:fill="auto"/>
            <w:noWrap/>
            <w:vAlign w:val="bottom"/>
            <w:hideMark/>
          </w:tcPr>
          <w:p w14:paraId="57DDABE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4122.9</w:t>
            </w:r>
          </w:p>
        </w:tc>
        <w:tc>
          <w:tcPr>
            <w:tcW w:w="784" w:type="dxa"/>
            <w:tcBorders>
              <w:top w:val="nil"/>
              <w:left w:val="nil"/>
              <w:bottom w:val="nil"/>
              <w:right w:val="nil"/>
            </w:tcBorders>
            <w:shd w:val="clear" w:color="auto" w:fill="auto"/>
            <w:noWrap/>
            <w:vAlign w:val="bottom"/>
            <w:hideMark/>
          </w:tcPr>
          <w:p w14:paraId="6E18D40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4101.2</w:t>
            </w:r>
          </w:p>
        </w:tc>
        <w:tc>
          <w:tcPr>
            <w:tcW w:w="784" w:type="dxa"/>
            <w:tcBorders>
              <w:top w:val="nil"/>
              <w:left w:val="single" w:sz="8" w:space="0" w:color="auto"/>
              <w:bottom w:val="nil"/>
              <w:right w:val="single" w:sz="8" w:space="0" w:color="auto"/>
            </w:tcBorders>
            <w:shd w:val="clear" w:color="auto" w:fill="auto"/>
            <w:noWrap/>
            <w:vAlign w:val="bottom"/>
            <w:hideMark/>
          </w:tcPr>
          <w:p w14:paraId="498BB85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4076.9</w:t>
            </w:r>
          </w:p>
        </w:tc>
        <w:tc>
          <w:tcPr>
            <w:tcW w:w="784" w:type="dxa"/>
            <w:tcBorders>
              <w:top w:val="nil"/>
              <w:left w:val="nil"/>
              <w:bottom w:val="nil"/>
              <w:right w:val="nil"/>
            </w:tcBorders>
            <w:shd w:val="clear" w:color="auto" w:fill="auto"/>
            <w:noWrap/>
            <w:vAlign w:val="bottom"/>
            <w:hideMark/>
          </w:tcPr>
          <w:p w14:paraId="102C7FC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4169.9</w:t>
            </w:r>
          </w:p>
        </w:tc>
        <w:tc>
          <w:tcPr>
            <w:tcW w:w="784" w:type="dxa"/>
            <w:tcBorders>
              <w:top w:val="nil"/>
              <w:left w:val="single" w:sz="8" w:space="0" w:color="auto"/>
              <w:bottom w:val="nil"/>
              <w:right w:val="single" w:sz="8" w:space="0" w:color="auto"/>
            </w:tcBorders>
            <w:shd w:val="clear" w:color="auto" w:fill="auto"/>
            <w:noWrap/>
            <w:vAlign w:val="bottom"/>
            <w:hideMark/>
          </w:tcPr>
          <w:p w14:paraId="162E034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4264.9</w:t>
            </w:r>
          </w:p>
        </w:tc>
        <w:tc>
          <w:tcPr>
            <w:tcW w:w="784" w:type="dxa"/>
            <w:tcBorders>
              <w:top w:val="nil"/>
              <w:left w:val="nil"/>
              <w:bottom w:val="nil"/>
              <w:right w:val="single" w:sz="8" w:space="0" w:color="auto"/>
            </w:tcBorders>
            <w:shd w:val="clear" w:color="auto" w:fill="auto"/>
            <w:noWrap/>
            <w:vAlign w:val="bottom"/>
            <w:hideMark/>
          </w:tcPr>
          <w:p w14:paraId="7E3F9CE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4117.9</w:t>
            </w:r>
          </w:p>
        </w:tc>
        <w:tc>
          <w:tcPr>
            <w:tcW w:w="784" w:type="dxa"/>
            <w:tcBorders>
              <w:top w:val="nil"/>
              <w:left w:val="nil"/>
              <w:bottom w:val="nil"/>
              <w:right w:val="single" w:sz="8" w:space="0" w:color="auto"/>
            </w:tcBorders>
            <w:shd w:val="clear" w:color="auto" w:fill="auto"/>
            <w:noWrap/>
            <w:vAlign w:val="bottom"/>
            <w:hideMark/>
          </w:tcPr>
          <w:p w14:paraId="6973C81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4047.4</w:t>
            </w:r>
          </w:p>
        </w:tc>
        <w:tc>
          <w:tcPr>
            <w:tcW w:w="784" w:type="dxa"/>
            <w:tcBorders>
              <w:top w:val="nil"/>
              <w:left w:val="nil"/>
              <w:bottom w:val="nil"/>
              <w:right w:val="single" w:sz="8" w:space="0" w:color="auto"/>
            </w:tcBorders>
            <w:shd w:val="clear" w:color="auto" w:fill="auto"/>
            <w:noWrap/>
            <w:vAlign w:val="bottom"/>
            <w:hideMark/>
          </w:tcPr>
          <w:p w14:paraId="19CF5F8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4105.9</w:t>
            </w:r>
          </w:p>
        </w:tc>
        <w:tc>
          <w:tcPr>
            <w:tcW w:w="784" w:type="dxa"/>
            <w:tcBorders>
              <w:top w:val="nil"/>
              <w:left w:val="nil"/>
              <w:bottom w:val="nil"/>
              <w:right w:val="single" w:sz="8" w:space="0" w:color="auto"/>
            </w:tcBorders>
            <w:shd w:val="clear" w:color="auto" w:fill="auto"/>
            <w:noWrap/>
            <w:vAlign w:val="bottom"/>
            <w:hideMark/>
          </w:tcPr>
          <w:p w14:paraId="4390F46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4142.3</w:t>
            </w:r>
          </w:p>
        </w:tc>
      </w:tr>
      <w:tr w:rsidR="003656FA" w:rsidRPr="003656FA" w14:paraId="761203BF" w14:textId="77777777" w:rsidTr="00A92684">
        <w:trPr>
          <w:trHeight w:val="267"/>
        </w:trPr>
        <w:tc>
          <w:tcPr>
            <w:tcW w:w="1634" w:type="dxa"/>
            <w:tcBorders>
              <w:top w:val="nil"/>
              <w:left w:val="single" w:sz="8" w:space="0" w:color="auto"/>
              <w:bottom w:val="nil"/>
              <w:right w:val="nil"/>
            </w:tcBorders>
            <w:shd w:val="clear" w:color="auto" w:fill="auto"/>
            <w:noWrap/>
            <w:vAlign w:val="center"/>
            <w:hideMark/>
          </w:tcPr>
          <w:p w14:paraId="5BCC7E49"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Treasury Bills</w:t>
            </w:r>
          </w:p>
        </w:tc>
        <w:tc>
          <w:tcPr>
            <w:tcW w:w="784" w:type="dxa"/>
            <w:tcBorders>
              <w:top w:val="nil"/>
              <w:left w:val="single" w:sz="8" w:space="0" w:color="auto"/>
              <w:bottom w:val="nil"/>
              <w:right w:val="single" w:sz="8" w:space="0" w:color="auto"/>
            </w:tcBorders>
            <w:shd w:val="clear" w:color="auto" w:fill="auto"/>
            <w:noWrap/>
            <w:vAlign w:val="bottom"/>
            <w:hideMark/>
          </w:tcPr>
          <w:p w14:paraId="4F15AD6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295.2</w:t>
            </w:r>
          </w:p>
        </w:tc>
        <w:tc>
          <w:tcPr>
            <w:tcW w:w="784" w:type="dxa"/>
            <w:tcBorders>
              <w:top w:val="nil"/>
              <w:left w:val="nil"/>
              <w:bottom w:val="nil"/>
              <w:right w:val="nil"/>
            </w:tcBorders>
            <w:shd w:val="clear" w:color="auto" w:fill="auto"/>
            <w:noWrap/>
            <w:vAlign w:val="bottom"/>
            <w:hideMark/>
          </w:tcPr>
          <w:p w14:paraId="0DAB38EB"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290.8</w:t>
            </w:r>
          </w:p>
        </w:tc>
        <w:tc>
          <w:tcPr>
            <w:tcW w:w="784" w:type="dxa"/>
            <w:tcBorders>
              <w:top w:val="nil"/>
              <w:left w:val="single" w:sz="8" w:space="0" w:color="auto"/>
              <w:bottom w:val="nil"/>
              <w:right w:val="single" w:sz="8" w:space="0" w:color="auto"/>
            </w:tcBorders>
            <w:shd w:val="clear" w:color="auto" w:fill="auto"/>
            <w:noWrap/>
            <w:vAlign w:val="bottom"/>
            <w:hideMark/>
          </w:tcPr>
          <w:p w14:paraId="7CB34EAF"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288.1</w:t>
            </w:r>
          </w:p>
        </w:tc>
        <w:tc>
          <w:tcPr>
            <w:tcW w:w="784" w:type="dxa"/>
            <w:tcBorders>
              <w:top w:val="nil"/>
              <w:left w:val="nil"/>
              <w:bottom w:val="nil"/>
              <w:right w:val="nil"/>
            </w:tcBorders>
            <w:shd w:val="clear" w:color="auto" w:fill="auto"/>
            <w:noWrap/>
            <w:vAlign w:val="bottom"/>
            <w:hideMark/>
          </w:tcPr>
          <w:p w14:paraId="05DE7C1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273.6</w:t>
            </w:r>
          </w:p>
        </w:tc>
        <w:tc>
          <w:tcPr>
            <w:tcW w:w="784" w:type="dxa"/>
            <w:tcBorders>
              <w:top w:val="nil"/>
              <w:left w:val="single" w:sz="8" w:space="0" w:color="auto"/>
              <w:bottom w:val="nil"/>
              <w:right w:val="single" w:sz="8" w:space="0" w:color="auto"/>
            </w:tcBorders>
            <w:shd w:val="clear" w:color="auto" w:fill="auto"/>
            <w:noWrap/>
            <w:vAlign w:val="bottom"/>
            <w:hideMark/>
          </w:tcPr>
          <w:p w14:paraId="434A98F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268.6</w:t>
            </w:r>
          </w:p>
        </w:tc>
        <w:tc>
          <w:tcPr>
            <w:tcW w:w="784" w:type="dxa"/>
            <w:tcBorders>
              <w:top w:val="nil"/>
              <w:left w:val="nil"/>
              <w:bottom w:val="nil"/>
              <w:right w:val="nil"/>
            </w:tcBorders>
            <w:shd w:val="clear" w:color="auto" w:fill="auto"/>
            <w:noWrap/>
            <w:vAlign w:val="bottom"/>
            <w:hideMark/>
          </w:tcPr>
          <w:p w14:paraId="1FDB91E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294.8</w:t>
            </w:r>
          </w:p>
        </w:tc>
        <w:tc>
          <w:tcPr>
            <w:tcW w:w="784" w:type="dxa"/>
            <w:tcBorders>
              <w:top w:val="nil"/>
              <w:left w:val="single" w:sz="8" w:space="0" w:color="auto"/>
              <w:bottom w:val="nil"/>
              <w:right w:val="single" w:sz="8" w:space="0" w:color="auto"/>
            </w:tcBorders>
            <w:shd w:val="clear" w:color="auto" w:fill="auto"/>
            <w:noWrap/>
            <w:vAlign w:val="bottom"/>
            <w:hideMark/>
          </w:tcPr>
          <w:p w14:paraId="45781D29"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306.1</w:t>
            </w:r>
          </w:p>
        </w:tc>
        <w:tc>
          <w:tcPr>
            <w:tcW w:w="784" w:type="dxa"/>
            <w:tcBorders>
              <w:top w:val="nil"/>
              <w:left w:val="nil"/>
              <w:bottom w:val="nil"/>
              <w:right w:val="single" w:sz="8" w:space="0" w:color="auto"/>
            </w:tcBorders>
            <w:shd w:val="clear" w:color="auto" w:fill="auto"/>
            <w:noWrap/>
            <w:vAlign w:val="bottom"/>
            <w:hideMark/>
          </w:tcPr>
          <w:p w14:paraId="2C037F1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283.2</w:t>
            </w:r>
          </w:p>
        </w:tc>
        <w:tc>
          <w:tcPr>
            <w:tcW w:w="784" w:type="dxa"/>
            <w:tcBorders>
              <w:top w:val="nil"/>
              <w:left w:val="nil"/>
              <w:bottom w:val="nil"/>
              <w:right w:val="single" w:sz="8" w:space="0" w:color="auto"/>
            </w:tcBorders>
            <w:shd w:val="clear" w:color="auto" w:fill="auto"/>
            <w:noWrap/>
            <w:vAlign w:val="bottom"/>
            <w:hideMark/>
          </w:tcPr>
          <w:p w14:paraId="1D3077D8"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331</w:t>
            </w:r>
          </w:p>
        </w:tc>
        <w:tc>
          <w:tcPr>
            <w:tcW w:w="784" w:type="dxa"/>
            <w:tcBorders>
              <w:top w:val="nil"/>
              <w:left w:val="nil"/>
              <w:bottom w:val="nil"/>
              <w:right w:val="single" w:sz="8" w:space="0" w:color="auto"/>
            </w:tcBorders>
            <w:shd w:val="clear" w:color="auto" w:fill="auto"/>
            <w:noWrap/>
            <w:vAlign w:val="bottom"/>
            <w:hideMark/>
          </w:tcPr>
          <w:p w14:paraId="67725A0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355.7</w:t>
            </w:r>
          </w:p>
        </w:tc>
        <w:tc>
          <w:tcPr>
            <w:tcW w:w="784" w:type="dxa"/>
            <w:tcBorders>
              <w:top w:val="nil"/>
              <w:left w:val="nil"/>
              <w:bottom w:val="nil"/>
              <w:right w:val="single" w:sz="8" w:space="0" w:color="auto"/>
            </w:tcBorders>
            <w:shd w:val="clear" w:color="auto" w:fill="auto"/>
            <w:noWrap/>
            <w:vAlign w:val="bottom"/>
            <w:hideMark/>
          </w:tcPr>
          <w:p w14:paraId="28F5BAF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382.5</w:t>
            </w:r>
          </w:p>
        </w:tc>
      </w:tr>
      <w:tr w:rsidR="003656FA" w:rsidRPr="003656FA" w14:paraId="680D8754" w14:textId="77777777" w:rsidTr="00A92684">
        <w:trPr>
          <w:trHeight w:val="281"/>
        </w:trPr>
        <w:tc>
          <w:tcPr>
            <w:tcW w:w="1634" w:type="dxa"/>
            <w:tcBorders>
              <w:top w:val="nil"/>
              <w:left w:val="single" w:sz="8" w:space="0" w:color="auto"/>
              <w:bottom w:val="single" w:sz="8" w:space="0" w:color="auto"/>
              <w:right w:val="nil"/>
            </w:tcBorders>
            <w:shd w:val="clear" w:color="auto" w:fill="auto"/>
            <w:noWrap/>
            <w:vAlign w:val="center"/>
            <w:hideMark/>
          </w:tcPr>
          <w:p w14:paraId="2C269FD0" w14:textId="77777777" w:rsidR="003656FA" w:rsidRPr="003656FA" w:rsidRDefault="003656FA" w:rsidP="003656FA">
            <w:pPr>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T-Bonds &amp; Notes</w:t>
            </w:r>
          </w:p>
        </w:tc>
        <w:tc>
          <w:tcPr>
            <w:tcW w:w="784" w:type="dxa"/>
            <w:tcBorders>
              <w:top w:val="nil"/>
              <w:left w:val="single" w:sz="8" w:space="0" w:color="auto"/>
              <w:bottom w:val="single" w:sz="8" w:space="0" w:color="auto"/>
              <w:right w:val="single" w:sz="8" w:space="0" w:color="auto"/>
            </w:tcBorders>
            <w:shd w:val="clear" w:color="auto" w:fill="auto"/>
            <w:noWrap/>
            <w:vAlign w:val="bottom"/>
            <w:hideMark/>
          </w:tcPr>
          <w:p w14:paraId="60CDB7E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3905</w:t>
            </w:r>
          </w:p>
        </w:tc>
        <w:tc>
          <w:tcPr>
            <w:tcW w:w="784" w:type="dxa"/>
            <w:tcBorders>
              <w:top w:val="nil"/>
              <w:left w:val="nil"/>
              <w:bottom w:val="single" w:sz="8" w:space="0" w:color="auto"/>
              <w:right w:val="nil"/>
            </w:tcBorders>
            <w:shd w:val="clear" w:color="auto" w:fill="auto"/>
            <w:noWrap/>
            <w:vAlign w:val="bottom"/>
            <w:hideMark/>
          </w:tcPr>
          <w:p w14:paraId="4F15858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3860.1</w:t>
            </w:r>
          </w:p>
        </w:tc>
        <w:tc>
          <w:tcPr>
            <w:tcW w:w="784" w:type="dxa"/>
            <w:tcBorders>
              <w:top w:val="nil"/>
              <w:left w:val="single" w:sz="8" w:space="0" w:color="auto"/>
              <w:bottom w:val="single" w:sz="8" w:space="0" w:color="auto"/>
              <w:right w:val="single" w:sz="8" w:space="0" w:color="auto"/>
            </w:tcBorders>
            <w:shd w:val="clear" w:color="auto" w:fill="auto"/>
            <w:noWrap/>
            <w:vAlign w:val="bottom"/>
            <w:hideMark/>
          </w:tcPr>
          <w:p w14:paraId="07B0F0C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3834.8</w:t>
            </w:r>
          </w:p>
        </w:tc>
        <w:tc>
          <w:tcPr>
            <w:tcW w:w="784" w:type="dxa"/>
            <w:tcBorders>
              <w:top w:val="nil"/>
              <w:left w:val="nil"/>
              <w:bottom w:val="single" w:sz="8" w:space="0" w:color="auto"/>
              <w:right w:val="nil"/>
            </w:tcBorders>
            <w:shd w:val="clear" w:color="auto" w:fill="auto"/>
            <w:noWrap/>
            <w:vAlign w:val="bottom"/>
            <w:hideMark/>
          </w:tcPr>
          <w:p w14:paraId="2A12B101"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3827.6</w:t>
            </w:r>
          </w:p>
        </w:tc>
        <w:tc>
          <w:tcPr>
            <w:tcW w:w="784" w:type="dxa"/>
            <w:tcBorders>
              <w:top w:val="nil"/>
              <w:left w:val="single" w:sz="8" w:space="0" w:color="auto"/>
              <w:bottom w:val="single" w:sz="8" w:space="0" w:color="auto"/>
              <w:right w:val="single" w:sz="8" w:space="0" w:color="auto"/>
            </w:tcBorders>
            <w:shd w:val="clear" w:color="auto" w:fill="auto"/>
            <w:noWrap/>
            <w:vAlign w:val="bottom"/>
            <w:hideMark/>
          </w:tcPr>
          <w:p w14:paraId="2A1D469C"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3808.3</w:t>
            </w:r>
          </w:p>
        </w:tc>
        <w:tc>
          <w:tcPr>
            <w:tcW w:w="784" w:type="dxa"/>
            <w:tcBorders>
              <w:top w:val="nil"/>
              <w:left w:val="nil"/>
              <w:bottom w:val="single" w:sz="8" w:space="0" w:color="auto"/>
              <w:right w:val="nil"/>
            </w:tcBorders>
            <w:shd w:val="clear" w:color="auto" w:fill="auto"/>
            <w:noWrap/>
            <w:vAlign w:val="bottom"/>
            <w:hideMark/>
          </w:tcPr>
          <w:p w14:paraId="402AA0F2"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3875.1</w:t>
            </w:r>
          </w:p>
        </w:tc>
        <w:tc>
          <w:tcPr>
            <w:tcW w:w="784" w:type="dxa"/>
            <w:tcBorders>
              <w:top w:val="nil"/>
              <w:left w:val="single" w:sz="8" w:space="0" w:color="auto"/>
              <w:bottom w:val="single" w:sz="8" w:space="0" w:color="auto"/>
              <w:right w:val="single" w:sz="8" w:space="0" w:color="auto"/>
            </w:tcBorders>
            <w:shd w:val="clear" w:color="auto" w:fill="auto"/>
            <w:noWrap/>
            <w:vAlign w:val="bottom"/>
            <w:hideMark/>
          </w:tcPr>
          <w:p w14:paraId="3E6D2853"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3958.8</w:t>
            </w:r>
          </w:p>
        </w:tc>
        <w:tc>
          <w:tcPr>
            <w:tcW w:w="784" w:type="dxa"/>
            <w:tcBorders>
              <w:top w:val="nil"/>
              <w:left w:val="nil"/>
              <w:bottom w:val="single" w:sz="8" w:space="0" w:color="auto"/>
              <w:right w:val="single" w:sz="8" w:space="0" w:color="auto"/>
            </w:tcBorders>
            <w:shd w:val="clear" w:color="auto" w:fill="auto"/>
            <w:noWrap/>
            <w:vAlign w:val="bottom"/>
            <w:hideMark/>
          </w:tcPr>
          <w:p w14:paraId="7CB0CBC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3834.6</w:t>
            </w:r>
          </w:p>
        </w:tc>
        <w:tc>
          <w:tcPr>
            <w:tcW w:w="784" w:type="dxa"/>
            <w:tcBorders>
              <w:top w:val="nil"/>
              <w:left w:val="nil"/>
              <w:bottom w:val="single" w:sz="8" w:space="0" w:color="auto"/>
              <w:right w:val="single" w:sz="8" w:space="0" w:color="auto"/>
            </w:tcBorders>
            <w:shd w:val="clear" w:color="auto" w:fill="auto"/>
            <w:noWrap/>
            <w:vAlign w:val="bottom"/>
            <w:hideMark/>
          </w:tcPr>
          <w:p w14:paraId="258639AE"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3716.4</w:t>
            </w:r>
          </w:p>
        </w:tc>
        <w:tc>
          <w:tcPr>
            <w:tcW w:w="784" w:type="dxa"/>
            <w:tcBorders>
              <w:top w:val="nil"/>
              <w:left w:val="nil"/>
              <w:bottom w:val="single" w:sz="8" w:space="0" w:color="auto"/>
              <w:right w:val="single" w:sz="8" w:space="0" w:color="auto"/>
            </w:tcBorders>
            <w:shd w:val="clear" w:color="auto" w:fill="auto"/>
            <w:noWrap/>
            <w:vAlign w:val="bottom"/>
            <w:hideMark/>
          </w:tcPr>
          <w:p w14:paraId="295F9E75"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3750.2</w:t>
            </w:r>
          </w:p>
        </w:tc>
        <w:tc>
          <w:tcPr>
            <w:tcW w:w="784" w:type="dxa"/>
            <w:tcBorders>
              <w:top w:val="nil"/>
              <w:left w:val="nil"/>
              <w:bottom w:val="single" w:sz="8" w:space="0" w:color="auto"/>
              <w:right w:val="single" w:sz="8" w:space="0" w:color="auto"/>
            </w:tcBorders>
            <w:shd w:val="clear" w:color="auto" w:fill="auto"/>
            <w:noWrap/>
            <w:vAlign w:val="bottom"/>
            <w:hideMark/>
          </w:tcPr>
          <w:p w14:paraId="544EA49A" w14:textId="77777777" w:rsidR="003656FA" w:rsidRPr="003656FA" w:rsidRDefault="003656FA" w:rsidP="003656FA">
            <w:pPr>
              <w:jc w:val="right"/>
              <w:rPr>
                <w:rFonts w:ascii="Garamond" w:eastAsia="Times New Roman" w:hAnsi="Garamond" w:cs="Calibri"/>
                <w:color w:val="000000"/>
                <w:sz w:val="20"/>
                <w:szCs w:val="20"/>
                <w:lang w:val="en-IN" w:eastAsia="en-IN" w:bidi="hi-IN"/>
              </w:rPr>
            </w:pPr>
            <w:r w:rsidRPr="003656FA">
              <w:rPr>
                <w:rFonts w:ascii="Garamond" w:eastAsia="Times New Roman" w:hAnsi="Garamond" w:cs="Calibri"/>
                <w:color w:val="000000"/>
                <w:sz w:val="20"/>
                <w:szCs w:val="20"/>
                <w:lang w:val="en-IN" w:eastAsia="en-IN" w:bidi="hi-IN"/>
              </w:rPr>
              <w:t>3759.8</w:t>
            </w:r>
          </w:p>
        </w:tc>
      </w:tr>
    </w:tbl>
    <w:p w14:paraId="6A0D841E" w14:textId="77777777" w:rsidR="003656FA" w:rsidRPr="003656FA" w:rsidRDefault="003656FA" w:rsidP="003656FA">
      <w:pPr>
        <w:spacing w:line="23" w:lineRule="atLeast"/>
        <w:rPr>
          <w:rFonts w:ascii="Garamond" w:hAnsi="Garamond"/>
          <w:bCs/>
          <w:sz w:val="18"/>
          <w:szCs w:val="18"/>
        </w:rPr>
      </w:pPr>
      <w:r w:rsidRPr="003656FA">
        <w:rPr>
          <w:rFonts w:ascii="Garamond" w:hAnsi="Garamond"/>
          <w:bCs/>
          <w:sz w:val="18"/>
          <w:szCs w:val="18"/>
        </w:rPr>
        <w:t xml:space="preserve"> Note: </w:t>
      </w:r>
    </w:p>
    <w:p w14:paraId="2392749A" w14:textId="77777777" w:rsidR="003656FA" w:rsidRPr="003656FA" w:rsidRDefault="003656FA" w:rsidP="003656FA">
      <w:pPr>
        <w:numPr>
          <w:ilvl w:val="0"/>
          <w:numId w:val="2"/>
        </w:numPr>
        <w:spacing w:line="23" w:lineRule="atLeast"/>
        <w:ind w:left="360"/>
        <w:contextualSpacing/>
        <w:jc w:val="both"/>
        <w:rPr>
          <w:rFonts w:ascii="Garamond" w:eastAsia="Calibri" w:hAnsi="Garamond"/>
          <w:bCs/>
          <w:sz w:val="18"/>
          <w:szCs w:val="18"/>
          <w:lang w:val="en-US"/>
        </w:rPr>
      </w:pPr>
      <w:r w:rsidRPr="003656FA">
        <w:rPr>
          <w:rFonts w:ascii="Garamond" w:eastAsia="Calibri" w:hAnsi="Garamond"/>
          <w:bCs/>
          <w:sz w:val="18"/>
          <w:szCs w:val="18"/>
          <w:lang w:val="en-US"/>
        </w:rPr>
        <w:t>Data available as on 14 September, 2020</w:t>
      </w:r>
    </w:p>
    <w:p w14:paraId="448FFB88" w14:textId="77777777" w:rsidR="003656FA" w:rsidRPr="003656FA" w:rsidRDefault="003656FA" w:rsidP="003656FA">
      <w:pPr>
        <w:numPr>
          <w:ilvl w:val="0"/>
          <w:numId w:val="2"/>
        </w:numPr>
        <w:spacing w:line="23" w:lineRule="atLeast"/>
        <w:ind w:left="360"/>
        <w:contextualSpacing/>
        <w:jc w:val="both"/>
        <w:rPr>
          <w:rFonts w:ascii="Garamond" w:eastAsia="Calibri" w:hAnsi="Garamond"/>
          <w:bCs/>
          <w:sz w:val="18"/>
          <w:szCs w:val="18"/>
          <w:lang w:val="en-US"/>
        </w:rPr>
      </w:pPr>
      <w:r w:rsidRPr="003656FA">
        <w:rPr>
          <w:rFonts w:ascii="Garamond" w:eastAsia="Calibri" w:hAnsi="Garamond"/>
          <w:bCs/>
          <w:sz w:val="18"/>
          <w:szCs w:val="18"/>
          <w:lang w:val="en-US"/>
        </w:rPr>
        <w:t>The data in this table are collected primarily from U.S.-based custodians and broker-dealers. Since U.S. securities held in overseas custody accounts may not be attributed to the actual owners, the data may not provide a precise accounting of individual country ownership of Treasury securities (see TIC FAQ #7 at: http://www.treasury.gov/resource-center/data-chart-center/tic/Pages/ticfaq1.aspx)</w:t>
      </w:r>
    </w:p>
    <w:p w14:paraId="62B16419" w14:textId="77777777" w:rsidR="003656FA" w:rsidRPr="003656FA" w:rsidRDefault="003656FA" w:rsidP="003656FA">
      <w:pPr>
        <w:numPr>
          <w:ilvl w:val="0"/>
          <w:numId w:val="2"/>
        </w:numPr>
        <w:spacing w:line="23" w:lineRule="atLeast"/>
        <w:ind w:left="360"/>
        <w:contextualSpacing/>
        <w:jc w:val="both"/>
        <w:rPr>
          <w:rFonts w:ascii="Garamond" w:eastAsia="Calibri" w:hAnsi="Garamond"/>
          <w:bCs/>
          <w:sz w:val="18"/>
          <w:szCs w:val="18"/>
          <w:lang w:val="en-US"/>
        </w:rPr>
      </w:pPr>
      <w:r w:rsidRPr="003656FA">
        <w:rPr>
          <w:rFonts w:ascii="Garamond" w:eastAsia="Calibri" w:hAnsi="Garamond"/>
          <w:bCs/>
          <w:sz w:val="18"/>
          <w:szCs w:val="18"/>
          <w:lang w:val="en-US"/>
        </w:rPr>
        <w:t>Estimated foreign holdings of U.S. Treasury marketable and non-marketable bills, bonds, and notes reported under the Treasury  International Capital (TIC) reporting system are based on monthly data on holdings of Treasury bonds and notes  as reported on TIC Form SLT, Aggregate Holdings of Long-Term Securities by U.S. and Foreign Residents  and on TIC Form BL2, Report of Customers' U.S. Dollar Liabilities to Foreign Residents.</w:t>
      </w:r>
    </w:p>
    <w:p w14:paraId="4A5A0F2A" w14:textId="77777777" w:rsidR="003656FA" w:rsidRPr="003656FA" w:rsidRDefault="003656FA" w:rsidP="003656FA">
      <w:pPr>
        <w:spacing w:line="23" w:lineRule="atLeast"/>
        <w:rPr>
          <w:rFonts w:ascii="Times New Roman" w:hAnsi="Times New Roman"/>
          <w:bCs/>
          <w:sz w:val="18"/>
          <w:szCs w:val="18"/>
        </w:rPr>
      </w:pPr>
      <w:r w:rsidRPr="003656FA">
        <w:rPr>
          <w:rFonts w:ascii="Garamond" w:hAnsi="Garamond"/>
          <w:bCs/>
          <w:sz w:val="18"/>
          <w:szCs w:val="18"/>
        </w:rPr>
        <w:t>Source: Department of the Treasury/Federal Reserve Board</w:t>
      </w:r>
    </w:p>
    <w:p w14:paraId="7C04904D" w14:textId="77777777" w:rsidR="00D46528" w:rsidRPr="00D46528" w:rsidRDefault="00D46528" w:rsidP="007737AA">
      <w:pPr>
        <w:spacing w:line="23" w:lineRule="atLeast"/>
        <w:rPr>
          <w:rFonts w:ascii="Times New Roman" w:hAnsi="Times New Roman"/>
          <w:bCs/>
          <w:sz w:val="18"/>
          <w:szCs w:val="18"/>
        </w:rPr>
      </w:pPr>
    </w:p>
    <w:p w14:paraId="5620D634" w14:textId="77777777" w:rsidR="00C64A64" w:rsidRPr="00C64A64" w:rsidRDefault="00C64A64" w:rsidP="00C64A64">
      <w:pPr>
        <w:spacing w:line="23" w:lineRule="atLeast"/>
        <w:jc w:val="both"/>
        <w:rPr>
          <w:rFonts w:asciiTheme="minorHAnsi" w:hAnsiTheme="minorHAnsi" w:cstheme="minorHAnsi"/>
          <w:bCs/>
          <w:strike/>
          <w:sz w:val="18"/>
          <w:szCs w:val="18"/>
        </w:rPr>
      </w:pPr>
    </w:p>
    <w:p w14:paraId="44C66906" w14:textId="77777777" w:rsidR="00FC1D6F" w:rsidRDefault="00FC1D6F" w:rsidP="002E1620">
      <w:pPr>
        <w:tabs>
          <w:tab w:val="left" w:pos="8160"/>
        </w:tabs>
        <w:jc w:val="both"/>
        <w:rPr>
          <w:rFonts w:ascii="Palatino Linotype" w:hAnsi="Palatino Linotype"/>
          <w:b/>
          <w:color w:val="1F3864" w:themeColor="accent5" w:themeShade="80"/>
          <w:sz w:val="40"/>
          <w:szCs w:val="40"/>
        </w:rPr>
      </w:pPr>
    </w:p>
    <w:p w14:paraId="0AB7E6BF" w14:textId="77777777" w:rsidR="001D68DB" w:rsidRPr="00FC1D6F" w:rsidRDefault="001D68DB" w:rsidP="000920E5">
      <w:pPr>
        <w:jc w:val="both"/>
        <w:rPr>
          <w:rFonts w:ascii="Palatino Linotype" w:hAnsi="Palatino Linotype" w:cstheme="minorHAnsi"/>
          <w:b/>
          <w:sz w:val="36"/>
          <w:szCs w:val="36"/>
        </w:rPr>
      </w:pPr>
      <w:r w:rsidRPr="00FC1D6F">
        <w:rPr>
          <w:rFonts w:ascii="Palatino Linotype" w:hAnsi="Palatino Linotype" w:cstheme="minorHAnsi"/>
          <w:b/>
          <w:sz w:val="36"/>
          <w:szCs w:val="36"/>
        </w:rPr>
        <w:lastRenderedPageBreak/>
        <w:t>HIGHLIGHTS OF DEVELOPMENTS IN INTERNATIONAL SECURITIES MARKET</w:t>
      </w:r>
    </w:p>
    <w:p w14:paraId="4C1BDF83" w14:textId="77777777" w:rsidR="001D68DB" w:rsidRPr="00B93856" w:rsidRDefault="001D68DB" w:rsidP="009271A2">
      <w:pPr>
        <w:tabs>
          <w:tab w:val="left" w:pos="8160"/>
        </w:tabs>
        <w:jc w:val="both"/>
        <w:rPr>
          <w:rFonts w:ascii="Palatino Linotype" w:hAnsi="Palatino Linotype"/>
          <w:b/>
          <w:sz w:val="22"/>
          <w:szCs w:val="22"/>
        </w:rPr>
      </w:pPr>
    </w:p>
    <w:p w14:paraId="645A9248" w14:textId="77777777" w:rsidR="00B93856" w:rsidRDefault="00B93856" w:rsidP="003B6B7F">
      <w:pPr>
        <w:pStyle w:val="NormalWeb"/>
        <w:shd w:val="clear" w:color="auto" w:fill="FFFFFF"/>
        <w:spacing w:before="0" w:beforeAutospacing="0" w:after="0" w:afterAutospacing="0"/>
        <w:textAlignment w:val="baseline"/>
        <w:rPr>
          <w:rFonts w:ascii="Palatino Linotype" w:hAnsi="Palatino Linotype" w:cs="Arial"/>
          <w:b/>
          <w:bCs/>
          <w:sz w:val="22"/>
          <w:szCs w:val="22"/>
          <w:bdr w:val="none" w:sz="0" w:space="0" w:color="auto" w:frame="1"/>
        </w:rPr>
      </w:pPr>
    </w:p>
    <w:p w14:paraId="01AAD15E" w14:textId="4C6AC041" w:rsidR="001C0BDA" w:rsidRPr="001C0BDA" w:rsidRDefault="001C0BDA" w:rsidP="001C0BDA">
      <w:pPr>
        <w:shd w:val="clear" w:color="auto" w:fill="FFFFFF"/>
        <w:spacing w:line="276" w:lineRule="auto"/>
        <w:jc w:val="both"/>
        <w:textAlignment w:val="baseline"/>
        <w:rPr>
          <w:rFonts w:ascii="Palatino Linotype" w:hAnsi="Palatino Linotype"/>
          <w:b/>
          <w:bCs/>
          <w:sz w:val="22"/>
          <w:szCs w:val="22"/>
          <w:lang w:val="en-US" w:bidi="hi-IN"/>
        </w:rPr>
      </w:pPr>
      <w:r w:rsidRPr="001C0BDA">
        <w:rPr>
          <w:rFonts w:ascii="Palatino Linotype" w:hAnsi="Palatino Linotype"/>
          <w:b/>
          <w:bCs/>
          <w:sz w:val="22"/>
          <w:szCs w:val="22"/>
          <w:lang w:val="en-US" w:bidi="hi-IN"/>
        </w:rPr>
        <w:t xml:space="preserve">1) </w:t>
      </w:r>
      <w:r w:rsidR="005A4D17">
        <w:rPr>
          <w:rFonts w:ascii="Palatino Linotype" w:hAnsi="Palatino Linotype"/>
          <w:b/>
          <w:bCs/>
          <w:sz w:val="22"/>
          <w:szCs w:val="22"/>
          <w:lang w:val="en-US" w:bidi="hi-IN"/>
        </w:rPr>
        <w:t xml:space="preserve">SEC </w:t>
      </w:r>
      <w:r w:rsidR="00BA7EC6">
        <w:rPr>
          <w:rFonts w:ascii="Palatino Linotype" w:hAnsi="Palatino Linotype"/>
          <w:b/>
          <w:bCs/>
          <w:sz w:val="22"/>
          <w:szCs w:val="22"/>
          <w:lang w:val="en-US" w:bidi="hi-IN"/>
        </w:rPr>
        <w:t>P</w:t>
      </w:r>
      <w:r w:rsidR="005A4D17">
        <w:rPr>
          <w:rFonts w:ascii="Palatino Linotype" w:hAnsi="Palatino Linotype"/>
          <w:b/>
          <w:bCs/>
          <w:sz w:val="22"/>
          <w:szCs w:val="22"/>
          <w:lang w:val="en-US" w:bidi="hi-IN"/>
        </w:rPr>
        <w:t xml:space="preserve">roposes to </w:t>
      </w:r>
      <w:r w:rsidR="00BA7EC6">
        <w:rPr>
          <w:rFonts w:ascii="Palatino Linotype" w:hAnsi="Palatino Linotype"/>
          <w:b/>
          <w:bCs/>
          <w:sz w:val="22"/>
          <w:szCs w:val="22"/>
          <w:lang w:val="en-US" w:bidi="hi-IN"/>
        </w:rPr>
        <w:t>I</w:t>
      </w:r>
      <w:r w:rsidR="005A4D17" w:rsidRPr="005A4D17">
        <w:rPr>
          <w:rFonts w:ascii="Palatino Linotype" w:hAnsi="Palatino Linotype"/>
          <w:b/>
          <w:bCs/>
          <w:sz w:val="22"/>
          <w:szCs w:val="22"/>
          <w:lang w:val="en-US" w:bidi="hi-IN"/>
        </w:rPr>
        <w:t xml:space="preserve">mprove the </w:t>
      </w:r>
      <w:r w:rsidR="00BA7EC6">
        <w:rPr>
          <w:rFonts w:ascii="Palatino Linotype" w:hAnsi="Palatino Linotype"/>
          <w:b/>
          <w:bCs/>
          <w:sz w:val="22"/>
          <w:szCs w:val="22"/>
          <w:lang w:val="en-US" w:bidi="hi-IN"/>
        </w:rPr>
        <w:t>R</w:t>
      </w:r>
      <w:r w:rsidR="00BA7EC6" w:rsidRPr="005A4D17">
        <w:rPr>
          <w:rFonts w:ascii="Palatino Linotype" w:hAnsi="Palatino Linotype"/>
          <w:b/>
          <w:bCs/>
          <w:sz w:val="22"/>
          <w:szCs w:val="22"/>
          <w:lang w:val="en-US" w:bidi="hi-IN"/>
        </w:rPr>
        <w:t xml:space="preserve">etail </w:t>
      </w:r>
      <w:r w:rsidR="00BA7EC6">
        <w:rPr>
          <w:rFonts w:ascii="Palatino Linotype" w:hAnsi="Palatino Linotype"/>
          <w:b/>
          <w:bCs/>
          <w:sz w:val="22"/>
          <w:szCs w:val="22"/>
          <w:lang w:val="en-US" w:bidi="hi-IN"/>
        </w:rPr>
        <w:t>I</w:t>
      </w:r>
      <w:r w:rsidR="00BA7EC6" w:rsidRPr="005A4D17">
        <w:rPr>
          <w:rFonts w:ascii="Palatino Linotype" w:hAnsi="Palatino Linotype"/>
          <w:b/>
          <w:bCs/>
          <w:sz w:val="22"/>
          <w:szCs w:val="22"/>
          <w:lang w:val="en-US" w:bidi="hi-IN"/>
        </w:rPr>
        <w:t xml:space="preserve">nvestor </w:t>
      </w:r>
      <w:r w:rsidR="00BA7EC6">
        <w:rPr>
          <w:rFonts w:ascii="Palatino Linotype" w:hAnsi="Palatino Linotype"/>
          <w:b/>
          <w:bCs/>
          <w:sz w:val="22"/>
          <w:szCs w:val="22"/>
          <w:lang w:val="en-US" w:bidi="hi-IN"/>
        </w:rPr>
        <w:t>E</w:t>
      </w:r>
      <w:r w:rsidR="00BA7EC6" w:rsidRPr="005A4D17">
        <w:rPr>
          <w:rFonts w:ascii="Palatino Linotype" w:hAnsi="Palatino Linotype"/>
          <w:b/>
          <w:bCs/>
          <w:sz w:val="22"/>
          <w:szCs w:val="22"/>
          <w:lang w:val="en-US" w:bidi="hi-IN"/>
        </w:rPr>
        <w:t xml:space="preserve">xperience </w:t>
      </w:r>
      <w:r w:rsidR="005A4D17" w:rsidRPr="005A4D17">
        <w:rPr>
          <w:rFonts w:ascii="Palatino Linotype" w:hAnsi="Palatino Linotype"/>
          <w:b/>
          <w:bCs/>
          <w:sz w:val="22"/>
          <w:szCs w:val="22"/>
          <w:lang w:val="en-US" w:bidi="hi-IN"/>
        </w:rPr>
        <w:t>through Modernized Fund Shareholder Reports and Disclosures</w:t>
      </w:r>
    </w:p>
    <w:p w14:paraId="112EA445" w14:textId="77777777" w:rsidR="001C0BDA" w:rsidRPr="001C0BDA" w:rsidRDefault="001C0BDA" w:rsidP="001C0BDA">
      <w:pPr>
        <w:shd w:val="clear" w:color="auto" w:fill="FFFFFF"/>
        <w:spacing w:line="276" w:lineRule="auto"/>
        <w:jc w:val="both"/>
        <w:textAlignment w:val="baseline"/>
        <w:rPr>
          <w:rFonts w:ascii="Palatino Linotype" w:hAnsi="Palatino Linotype"/>
          <w:b/>
          <w:bCs/>
          <w:sz w:val="22"/>
          <w:szCs w:val="22"/>
          <w:lang w:val="en-US" w:bidi="hi-IN"/>
        </w:rPr>
      </w:pPr>
    </w:p>
    <w:p w14:paraId="2852D04B" w14:textId="09391AB3" w:rsidR="005A4D17" w:rsidRDefault="005A4D17" w:rsidP="001C0BDA">
      <w:pPr>
        <w:shd w:val="clear" w:color="auto" w:fill="FFFFFF"/>
        <w:spacing w:line="276" w:lineRule="auto"/>
        <w:jc w:val="both"/>
        <w:textAlignment w:val="baseline"/>
        <w:rPr>
          <w:rFonts w:ascii="Palatino Linotype" w:hAnsi="Palatino Linotype"/>
          <w:sz w:val="22"/>
          <w:szCs w:val="22"/>
          <w:lang w:val="en-US" w:bidi="hi-IN"/>
        </w:rPr>
      </w:pPr>
      <w:r w:rsidRPr="005A4D17">
        <w:rPr>
          <w:rFonts w:ascii="Palatino Linotype" w:hAnsi="Palatino Linotype"/>
          <w:sz w:val="22"/>
          <w:szCs w:val="22"/>
          <w:lang w:val="en-US" w:bidi="hi-IN"/>
        </w:rPr>
        <w:t xml:space="preserve">The Securities and Exchange Commission </w:t>
      </w:r>
      <w:r>
        <w:rPr>
          <w:rFonts w:ascii="Palatino Linotype" w:hAnsi="Palatino Linotype"/>
          <w:sz w:val="22"/>
          <w:szCs w:val="22"/>
          <w:lang w:val="en-US" w:bidi="hi-IN"/>
        </w:rPr>
        <w:t xml:space="preserve">(SEC) </w:t>
      </w:r>
      <w:r w:rsidRPr="005A4D17">
        <w:rPr>
          <w:rFonts w:ascii="Palatino Linotype" w:hAnsi="Palatino Linotype"/>
          <w:sz w:val="22"/>
          <w:szCs w:val="22"/>
          <w:lang w:val="en-US" w:bidi="hi-IN"/>
        </w:rPr>
        <w:t xml:space="preserve">proposed comprehensive modifications to the mutual fund and exchange-traded fund disclosure framework to better serve the needs of retail investors. </w:t>
      </w:r>
    </w:p>
    <w:p w14:paraId="0C0D8359" w14:textId="6EC1FB59" w:rsidR="005A4D17" w:rsidRPr="005A4D17" w:rsidRDefault="005A4D17" w:rsidP="005A4D17">
      <w:pPr>
        <w:shd w:val="clear" w:color="auto" w:fill="FFFFFF"/>
        <w:spacing w:line="276" w:lineRule="auto"/>
        <w:jc w:val="both"/>
        <w:textAlignment w:val="baseline"/>
        <w:rPr>
          <w:rFonts w:ascii="Palatino Linotype" w:hAnsi="Palatino Linotype"/>
          <w:sz w:val="22"/>
          <w:szCs w:val="22"/>
          <w:lang w:val="en-US" w:bidi="hi-IN"/>
        </w:rPr>
      </w:pPr>
      <w:r w:rsidRPr="005A4D17">
        <w:rPr>
          <w:rFonts w:ascii="Palatino Linotype" w:hAnsi="Palatino Linotype"/>
          <w:sz w:val="22"/>
          <w:szCs w:val="22"/>
          <w:lang w:val="en-US" w:bidi="hi-IN"/>
        </w:rPr>
        <w:t>The proposed framework would provide an alternative approach to keeping investors informed about their ongoing fund investments. Instead of receiving both prospectus updates and shareholder reports,  existing investors would receive the streamlined shareholder report.</w:t>
      </w:r>
      <w:r>
        <w:rPr>
          <w:rFonts w:ascii="Palatino Linotype" w:hAnsi="Palatino Linotype"/>
          <w:sz w:val="22"/>
          <w:szCs w:val="22"/>
          <w:lang w:val="en-US" w:bidi="hi-IN"/>
        </w:rPr>
        <w:t xml:space="preserve">  I</w:t>
      </w:r>
      <w:r w:rsidRPr="005A4D17">
        <w:rPr>
          <w:rFonts w:ascii="Palatino Linotype" w:hAnsi="Palatino Linotype"/>
          <w:sz w:val="22"/>
          <w:szCs w:val="22"/>
          <w:lang w:val="en-US" w:bidi="hi-IN"/>
        </w:rPr>
        <w:t>n addition, the proposal would amend prospectus disclosure requirements to provide greater clarity and more consistent information regarding fees, expenses, and principal risks.</w:t>
      </w:r>
    </w:p>
    <w:p w14:paraId="7D74A659" w14:textId="77777777" w:rsidR="005A4D17" w:rsidRPr="001D7B80" w:rsidRDefault="005A4D17" w:rsidP="001C0BDA">
      <w:pPr>
        <w:shd w:val="clear" w:color="auto" w:fill="FFFFFF"/>
        <w:spacing w:line="276" w:lineRule="auto"/>
        <w:jc w:val="both"/>
        <w:textAlignment w:val="baseline"/>
        <w:rPr>
          <w:rFonts w:ascii="Palatino Linotype" w:eastAsia="Times New Roman" w:hAnsi="Palatino Linotype"/>
          <w:sz w:val="22"/>
          <w:szCs w:val="22"/>
          <w:bdr w:val="none" w:sz="0" w:space="0" w:color="auto" w:frame="1"/>
          <w:lang w:val="en-US" w:bidi="hi-IN"/>
        </w:rPr>
      </w:pPr>
    </w:p>
    <w:p w14:paraId="7F1EAD4C" w14:textId="77777777" w:rsidR="004A4D62" w:rsidRPr="00E71481" w:rsidRDefault="004A4D62" w:rsidP="004A4D62">
      <w:pPr>
        <w:spacing w:line="276" w:lineRule="auto"/>
        <w:jc w:val="both"/>
        <w:rPr>
          <w:rFonts w:ascii="Palatino Linotype" w:hAnsi="Palatino Linotype"/>
          <w:b/>
          <w:i/>
          <w:iCs/>
          <w:sz w:val="20"/>
          <w:szCs w:val="20"/>
          <w:u w:val="single"/>
          <w:lang w:val="en-US" w:bidi="hi-IN"/>
        </w:rPr>
      </w:pPr>
      <w:r w:rsidRPr="00E71481">
        <w:rPr>
          <w:rFonts w:ascii="Palatino Linotype" w:hAnsi="Palatino Linotype"/>
          <w:b/>
          <w:i/>
          <w:iCs/>
          <w:sz w:val="20"/>
          <w:szCs w:val="20"/>
          <w:u w:val="single"/>
          <w:lang w:val="en-US" w:bidi="hi-IN"/>
        </w:rPr>
        <w:t>Source:  https://www.sec.gov/news/press-release/2020-1</w:t>
      </w:r>
      <w:r w:rsidR="005A4D17">
        <w:rPr>
          <w:rFonts w:ascii="Palatino Linotype" w:hAnsi="Palatino Linotype"/>
          <w:b/>
          <w:i/>
          <w:iCs/>
          <w:sz w:val="20"/>
          <w:szCs w:val="20"/>
          <w:u w:val="single"/>
          <w:lang w:val="en-US" w:bidi="hi-IN"/>
        </w:rPr>
        <w:t>72</w:t>
      </w:r>
    </w:p>
    <w:p w14:paraId="56EB3E4F" w14:textId="77777777" w:rsidR="004A4D62" w:rsidRPr="00E71481" w:rsidRDefault="004A4D62" w:rsidP="004A4D62">
      <w:pPr>
        <w:spacing w:line="276" w:lineRule="auto"/>
        <w:jc w:val="both"/>
        <w:rPr>
          <w:rFonts w:ascii="Palatino Linotype" w:hAnsi="Palatino Linotype"/>
          <w:i/>
          <w:iCs/>
          <w:lang w:val="en-US" w:bidi="hi-IN"/>
        </w:rPr>
      </w:pPr>
    </w:p>
    <w:p w14:paraId="69CA1310" w14:textId="4002D30D" w:rsidR="005A4D17" w:rsidRDefault="001C0BDA" w:rsidP="00620D83">
      <w:pPr>
        <w:spacing w:line="276" w:lineRule="auto"/>
        <w:jc w:val="both"/>
        <w:rPr>
          <w:rFonts w:ascii="Palatino Linotype" w:hAnsi="Palatino Linotype"/>
          <w:b/>
          <w:i/>
          <w:iCs/>
          <w:sz w:val="20"/>
          <w:szCs w:val="20"/>
          <w:u w:val="single"/>
          <w:lang w:val="en-US" w:bidi="hi-IN"/>
        </w:rPr>
      </w:pPr>
      <w:r w:rsidRPr="001C0BDA">
        <w:rPr>
          <w:rFonts w:ascii="Palatino Linotype" w:hAnsi="Palatino Linotype"/>
          <w:b/>
          <w:sz w:val="22"/>
          <w:szCs w:val="22"/>
        </w:rPr>
        <w:t xml:space="preserve">2) </w:t>
      </w:r>
    </w:p>
    <w:p w14:paraId="084A3E8F" w14:textId="77777777" w:rsidR="004A4D62" w:rsidRPr="00E71481" w:rsidRDefault="004A4D62" w:rsidP="004A4D62">
      <w:pPr>
        <w:tabs>
          <w:tab w:val="left" w:pos="8160"/>
        </w:tabs>
        <w:jc w:val="both"/>
        <w:rPr>
          <w:rFonts w:ascii="Palatino Linotype" w:hAnsi="Palatino Linotype"/>
          <w:b/>
        </w:rPr>
      </w:pPr>
    </w:p>
    <w:p w14:paraId="234E9D16" w14:textId="77777777" w:rsidR="004A4D62" w:rsidRDefault="00291F28" w:rsidP="004A4D62">
      <w:pPr>
        <w:tabs>
          <w:tab w:val="left" w:pos="8160"/>
        </w:tabs>
        <w:jc w:val="both"/>
        <w:rPr>
          <w:rFonts w:ascii="Palatino Linotype" w:hAnsi="Palatino Linotype"/>
          <w:b/>
        </w:rPr>
      </w:pPr>
      <w:r>
        <w:rPr>
          <w:rFonts w:ascii="Palatino Linotype" w:hAnsi="Palatino Linotype"/>
          <w:b/>
        </w:rPr>
        <w:t xml:space="preserve">3) </w:t>
      </w:r>
      <w:r w:rsidR="005A4D17" w:rsidRPr="005A4D17">
        <w:rPr>
          <w:rFonts w:ascii="Palatino Linotype" w:hAnsi="Palatino Linotype"/>
          <w:b/>
        </w:rPr>
        <w:t>IOSCO examines the evolution of liquidity provision in equity securities markets</w:t>
      </w:r>
    </w:p>
    <w:p w14:paraId="19ED241E" w14:textId="77777777" w:rsidR="00291F28" w:rsidRDefault="00291F28" w:rsidP="004A4D62">
      <w:pPr>
        <w:tabs>
          <w:tab w:val="left" w:pos="8160"/>
        </w:tabs>
        <w:jc w:val="both"/>
        <w:rPr>
          <w:rFonts w:ascii="Palatino Linotype" w:hAnsi="Palatino Linotype"/>
          <w:b/>
        </w:rPr>
      </w:pPr>
    </w:p>
    <w:p w14:paraId="398F658C" w14:textId="77777777" w:rsidR="005A4D17" w:rsidRPr="005A4D17" w:rsidRDefault="005A4D17" w:rsidP="005A4D17">
      <w:pPr>
        <w:tabs>
          <w:tab w:val="left" w:pos="8160"/>
        </w:tabs>
        <w:jc w:val="both"/>
        <w:rPr>
          <w:rFonts w:ascii="Palatino Linotype" w:hAnsi="Palatino Linotype"/>
          <w:bCs/>
          <w:sz w:val="22"/>
          <w:szCs w:val="22"/>
        </w:rPr>
      </w:pPr>
      <w:r w:rsidRPr="005A4D17">
        <w:rPr>
          <w:rFonts w:ascii="Palatino Linotype" w:hAnsi="Palatino Linotype"/>
          <w:bCs/>
          <w:sz w:val="22"/>
          <w:szCs w:val="22"/>
        </w:rPr>
        <w:t>The Board of the International Organization of Securities Commissions (IOSCO) published a report that explores how liquidity provision has evolved in equity securities</w:t>
      </w:r>
      <w:r>
        <w:rPr>
          <w:rFonts w:ascii="Palatino Linotype" w:hAnsi="Palatino Linotype"/>
          <w:bCs/>
          <w:sz w:val="22"/>
          <w:szCs w:val="22"/>
        </w:rPr>
        <w:t xml:space="preserve"> </w:t>
      </w:r>
      <w:r w:rsidRPr="005A4D17">
        <w:rPr>
          <w:rFonts w:ascii="Palatino Linotype" w:hAnsi="Palatino Linotype"/>
          <w:bCs/>
          <w:sz w:val="22"/>
          <w:szCs w:val="22"/>
        </w:rPr>
        <w:t>markets in recent years.</w:t>
      </w:r>
    </w:p>
    <w:p w14:paraId="4D376CBF" w14:textId="77777777" w:rsidR="0009638E" w:rsidRDefault="0009638E" w:rsidP="005A4D17">
      <w:pPr>
        <w:tabs>
          <w:tab w:val="left" w:pos="8160"/>
        </w:tabs>
        <w:jc w:val="both"/>
        <w:rPr>
          <w:rFonts w:ascii="Palatino Linotype" w:hAnsi="Palatino Linotype"/>
          <w:bCs/>
          <w:sz w:val="22"/>
          <w:szCs w:val="22"/>
        </w:rPr>
      </w:pPr>
    </w:p>
    <w:p w14:paraId="6253C0C3" w14:textId="77777777" w:rsidR="001C0BDA" w:rsidRDefault="005A4D17" w:rsidP="005A4D17">
      <w:pPr>
        <w:tabs>
          <w:tab w:val="left" w:pos="8160"/>
        </w:tabs>
        <w:jc w:val="both"/>
        <w:rPr>
          <w:rFonts w:ascii="Palatino Linotype" w:hAnsi="Palatino Linotype"/>
          <w:bCs/>
          <w:sz w:val="22"/>
          <w:szCs w:val="22"/>
        </w:rPr>
      </w:pPr>
      <w:r w:rsidRPr="005A4D17">
        <w:rPr>
          <w:rFonts w:ascii="Palatino Linotype" w:hAnsi="Palatino Linotype"/>
          <w:bCs/>
          <w:sz w:val="22"/>
          <w:szCs w:val="22"/>
        </w:rPr>
        <w:t>The report, titled Liquidity Provision in the Secondary Markets for Equity Securities, identifies</w:t>
      </w:r>
      <w:r w:rsidR="0009638E">
        <w:rPr>
          <w:rFonts w:ascii="Palatino Linotype" w:hAnsi="Palatino Linotype"/>
          <w:bCs/>
          <w:sz w:val="22"/>
          <w:szCs w:val="22"/>
        </w:rPr>
        <w:t xml:space="preserve"> </w:t>
      </w:r>
      <w:r w:rsidRPr="005A4D17">
        <w:rPr>
          <w:rFonts w:ascii="Palatino Linotype" w:hAnsi="Palatino Linotype"/>
          <w:bCs/>
          <w:sz w:val="22"/>
          <w:szCs w:val="22"/>
        </w:rPr>
        <w:t>some of the key elements of market making programs that may help promote the provision of</w:t>
      </w:r>
      <w:r w:rsidR="0009638E">
        <w:rPr>
          <w:rFonts w:ascii="Palatino Linotype" w:hAnsi="Palatino Linotype"/>
          <w:bCs/>
          <w:sz w:val="22"/>
          <w:szCs w:val="22"/>
        </w:rPr>
        <w:t xml:space="preserve"> </w:t>
      </w:r>
      <w:r w:rsidRPr="005A4D17">
        <w:rPr>
          <w:rFonts w:ascii="Palatino Linotype" w:hAnsi="Palatino Linotype"/>
          <w:bCs/>
          <w:sz w:val="22"/>
          <w:szCs w:val="22"/>
        </w:rPr>
        <w:t>liquidity, strengthen investor confidence and foster fair and efficient markets.</w:t>
      </w:r>
    </w:p>
    <w:p w14:paraId="4216EFD3" w14:textId="77777777" w:rsidR="005A4D17" w:rsidRPr="00E71481" w:rsidRDefault="005A4D17" w:rsidP="005A4D17">
      <w:pPr>
        <w:tabs>
          <w:tab w:val="left" w:pos="8160"/>
        </w:tabs>
        <w:jc w:val="both"/>
        <w:rPr>
          <w:rFonts w:ascii="Palatino Linotype" w:hAnsi="Palatino Linotype"/>
          <w:b/>
        </w:rPr>
      </w:pPr>
    </w:p>
    <w:p w14:paraId="04FB5C94" w14:textId="77777777" w:rsidR="004A4D62" w:rsidRDefault="00291F28" w:rsidP="0009638E">
      <w:pPr>
        <w:jc w:val="both"/>
        <w:rPr>
          <w:rFonts w:ascii="Palatino Linotype" w:hAnsi="Palatino Linotype" w:cstheme="minorHAnsi"/>
          <w:b/>
        </w:rPr>
      </w:pPr>
      <w:r>
        <w:rPr>
          <w:rFonts w:ascii="Palatino Linotype" w:hAnsi="Palatino Linotype" w:cstheme="minorHAnsi"/>
          <w:b/>
        </w:rPr>
        <w:t xml:space="preserve">Source: </w:t>
      </w:r>
      <w:hyperlink r:id="rId34" w:history="1">
        <w:r w:rsidR="00080500" w:rsidRPr="004C0BDD">
          <w:rPr>
            <w:rStyle w:val="Hyperlink"/>
            <w:rFonts w:ascii="Palatino Linotype" w:hAnsi="Palatino Linotype" w:cstheme="minorHAnsi"/>
            <w:b/>
          </w:rPr>
          <w:t>https://www.iosco.org/news/pdf/IOSCONEWS574.pdf</w:t>
        </w:r>
      </w:hyperlink>
    </w:p>
    <w:p w14:paraId="3A1B54F6" w14:textId="77777777" w:rsidR="00080500" w:rsidRPr="00E71481" w:rsidRDefault="00080500" w:rsidP="0009638E">
      <w:pPr>
        <w:jc w:val="both"/>
        <w:rPr>
          <w:rFonts w:ascii="Palatino Linotype" w:hAnsi="Palatino Linotype" w:cstheme="minorHAnsi"/>
          <w:b/>
        </w:rPr>
      </w:pPr>
    </w:p>
    <w:p w14:paraId="459727E0" w14:textId="77777777" w:rsidR="004A4D62" w:rsidRPr="00E71481" w:rsidRDefault="004A4D62" w:rsidP="004A4D62">
      <w:pPr>
        <w:rPr>
          <w:rFonts w:ascii="Palatino Linotype" w:hAnsi="Palatino Linotype"/>
          <w:b/>
          <w:sz w:val="22"/>
          <w:szCs w:val="22"/>
        </w:rPr>
      </w:pPr>
    </w:p>
    <w:p w14:paraId="52E1934A" w14:textId="77777777" w:rsidR="00321324" w:rsidRPr="00E71481" w:rsidRDefault="00321324" w:rsidP="00321324">
      <w:pPr>
        <w:jc w:val="center"/>
        <w:rPr>
          <w:rFonts w:ascii="Palatino Linotype" w:hAnsi="Palatino Linotype" w:cstheme="minorHAnsi"/>
          <w:b/>
          <w:sz w:val="36"/>
          <w:szCs w:val="36"/>
        </w:rPr>
      </w:pPr>
      <w:r w:rsidRPr="00E71481">
        <w:rPr>
          <w:rFonts w:ascii="Palatino Linotype" w:hAnsi="Palatino Linotype" w:cstheme="minorHAnsi"/>
          <w:b/>
          <w:sz w:val="36"/>
          <w:szCs w:val="36"/>
        </w:rPr>
        <w:t>POLICY DEVELOPMENTS AT SEBI</w:t>
      </w:r>
    </w:p>
    <w:p w14:paraId="32DC72B2" w14:textId="77777777" w:rsidR="00321324" w:rsidRPr="00E71481" w:rsidRDefault="00321324" w:rsidP="00321324">
      <w:pPr>
        <w:rPr>
          <w:rFonts w:ascii="Palatino Linotype" w:hAnsi="Palatino Linotype"/>
          <w:b/>
          <w:sz w:val="22"/>
          <w:szCs w:val="22"/>
        </w:rPr>
      </w:pPr>
    </w:p>
    <w:p w14:paraId="4E28F752" w14:textId="77777777" w:rsidR="00550AAC" w:rsidRPr="00371718" w:rsidRDefault="00550AAC" w:rsidP="00550AAC">
      <w:pPr>
        <w:numPr>
          <w:ilvl w:val="0"/>
          <w:numId w:val="37"/>
        </w:numPr>
        <w:spacing w:line="276" w:lineRule="auto"/>
        <w:jc w:val="both"/>
        <w:rPr>
          <w:rFonts w:ascii="Palatino Linotype" w:hAnsi="Palatino Linotype"/>
          <w:b/>
          <w:color w:val="000000" w:themeColor="text1"/>
        </w:rPr>
      </w:pPr>
      <w:r w:rsidRPr="00796AAB">
        <w:rPr>
          <w:rFonts w:ascii="Palatino Linotype" w:hAnsi="Palatino Linotype"/>
          <w:b/>
          <w:color w:val="000000" w:themeColor="text1"/>
        </w:rPr>
        <w:t>Procedural Guidelines for Proxy Advisors</w:t>
      </w:r>
    </w:p>
    <w:p w14:paraId="14A4EAC5"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15CF4336" w14:textId="2FBAF5CC" w:rsidR="00550AAC" w:rsidRDefault="00AD5F18" w:rsidP="00550AAC">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t>P</w:t>
      </w:r>
      <w:r w:rsidR="00550AAC" w:rsidRPr="002D08C0">
        <w:rPr>
          <w:rFonts w:ascii="Palatino Linotype" w:hAnsi="Palatino Linotype"/>
          <w:color w:val="000000" w:themeColor="text1"/>
        </w:rPr>
        <w:t xml:space="preserve">roxy advisory firms </w:t>
      </w:r>
      <w:r>
        <w:rPr>
          <w:rFonts w:ascii="Palatino Linotype" w:hAnsi="Palatino Linotype"/>
          <w:color w:val="000000" w:themeColor="text1"/>
        </w:rPr>
        <w:t xml:space="preserve">have mandated </w:t>
      </w:r>
      <w:r w:rsidR="00550AAC" w:rsidRPr="002D08C0">
        <w:rPr>
          <w:rFonts w:ascii="Palatino Linotype" w:hAnsi="Palatino Linotype"/>
          <w:color w:val="000000" w:themeColor="text1"/>
        </w:rPr>
        <w:t>to disclose the methodologies and processes followed in the development of their research and in the corresponding recommendations to their clients.</w:t>
      </w:r>
      <w:r w:rsidR="00550AAC">
        <w:rPr>
          <w:rFonts w:ascii="Palatino Linotype" w:hAnsi="Palatino Linotype"/>
          <w:color w:val="000000" w:themeColor="text1"/>
        </w:rPr>
        <w:t xml:space="preserve">  </w:t>
      </w:r>
      <w:r w:rsidR="00550AAC" w:rsidRPr="002D08C0">
        <w:rPr>
          <w:rFonts w:ascii="Palatino Linotype" w:hAnsi="Palatino Linotype"/>
          <w:color w:val="000000" w:themeColor="text1"/>
        </w:rPr>
        <w:t>Proxy advisors have also been told to share their reports with clients and the company being reviewed.</w:t>
      </w:r>
      <w:r w:rsidR="005537D2">
        <w:rPr>
          <w:rFonts w:ascii="Palatino Linotype" w:hAnsi="Palatino Linotype"/>
          <w:color w:val="000000" w:themeColor="text1"/>
        </w:rPr>
        <w:t xml:space="preserve"> The provisions of this circular are applicable from </w:t>
      </w:r>
      <w:r w:rsidR="00C852D4">
        <w:rPr>
          <w:rFonts w:ascii="Palatino Linotype" w:hAnsi="Palatino Linotype"/>
          <w:color w:val="000000" w:themeColor="text1"/>
        </w:rPr>
        <w:t>September 01, 2020.</w:t>
      </w:r>
      <w:r w:rsidR="005537D2">
        <w:rPr>
          <w:rFonts w:ascii="Palatino Linotype" w:hAnsi="Palatino Linotype"/>
          <w:color w:val="000000" w:themeColor="text1"/>
        </w:rPr>
        <w:t xml:space="preserve"> </w:t>
      </w:r>
    </w:p>
    <w:p w14:paraId="4B523892" w14:textId="77777777" w:rsidR="00550AAC" w:rsidRPr="00371718" w:rsidRDefault="00550AAC" w:rsidP="00550AAC">
      <w:pPr>
        <w:shd w:val="clear" w:color="auto" w:fill="FFFFFF"/>
        <w:spacing w:line="276" w:lineRule="auto"/>
        <w:jc w:val="both"/>
        <w:rPr>
          <w:rFonts w:ascii="Palatino Linotype" w:hAnsi="Palatino Linotype"/>
          <w:color w:val="333333"/>
          <w:sz w:val="18"/>
          <w:szCs w:val="18"/>
        </w:rPr>
      </w:pPr>
    </w:p>
    <w:p w14:paraId="2C511D98"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796AAB">
        <w:rPr>
          <w:rFonts w:ascii="Palatino Linotype" w:hAnsi="Palatino Linotype"/>
          <w:b/>
          <w:color w:val="000000" w:themeColor="text1"/>
        </w:rPr>
        <w:t>SEBI/HO/IMD/DF1/CIR/P/2020/147</w:t>
      </w:r>
      <w:r w:rsidRPr="00371718">
        <w:rPr>
          <w:rFonts w:ascii="Palatino Linotype" w:hAnsi="Palatino Linotype"/>
          <w:b/>
          <w:color w:val="000000" w:themeColor="text1"/>
        </w:rPr>
        <w:t xml:space="preserve"> dated </w:t>
      </w:r>
      <w:r>
        <w:rPr>
          <w:rFonts w:ascii="Palatino Linotype" w:hAnsi="Palatino Linotype"/>
          <w:b/>
          <w:color w:val="000000" w:themeColor="text1"/>
        </w:rPr>
        <w:t>August</w:t>
      </w:r>
      <w:r w:rsidRPr="00371718">
        <w:rPr>
          <w:rFonts w:ascii="Palatino Linotype" w:hAnsi="Palatino Linotype"/>
          <w:b/>
          <w:color w:val="000000" w:themeColor="text1"/>
        </w:rPr>
        <w:t xml:space="preserve"> </w:t>
      </w:r>
      <w:r>
        <w:rPr>
          <w:rFonts w:ascii="Palatino Linotype" w:hAnsi="Palatino Linotype"/>
          <w:b/>
          <w:color w:val="000000" w:themeColor="text1"/>
        </w:rPr>
        <w:t>03</w:t>
      </w:r>
      <w:r w:rsidRPr="00371718">
        <w:rPr>
          <w:rFonts w:ascii="Palatino Linotype" w:hAnsi="Palatino Linotype"/>
          <w:b/>
          <w:color w:val="000000" w:themeColor="text1"/>
        </w:rPr>
        <w:t>, 2020</w:t>
      </w:r>
    </w:p>
    <w:p w14:paraId="3EE920EB" w14:textId="77777777" w:rsidR="00550AAC" w:rsidRPr="00371718" w:rsidRDefault="00550AAC" w:rsidP="00550AAC">
      <w:pPr>
        <w:shd w:val="clear" w:color="auto" w:fill="FFFFFF"/>
        <w:spacing w:line="276" w:lineRule="auto"/>
        <w:jc w:val="both"/>
        <w:rPr>
          <w:rFonts w:ascii="Palatino Linotype" w:hAnsi="Palatino Linotype"/>
          <w:color w:val="333333"/>
          <w:sz w:val="18"/>
          <w:szCs w:val="18"/>
        </w:rPr>
      </w:pPr>
    </w:p>
    <w:p w14:paraId="10A0A2E7" w14:textId="77777777" w:rsidR="00550AAC" w:rsidRPr="00371718" w:rsidRDefault="00550AAC" w:rsidP="00550AAC">
      <w:pPr>
        <w:spacing w:line="276" w:lineRule="auto"/>
        <w:jc w:val="both"/>
        <w:rPr>
          <w:rFonts w:ascii="Palatino Linotype" w:hAnsi="Palatino Linotype"/>
          <w:color w:val="000000" w:themeColor="text1"/>
        </w:rPr>
      </w:pPr>
    </w:p>
    <w:p w14:paraId="7D962EFD" w14:textId="22354E72" w:rsidR="00550AAC" w:rsidRPr="00371718" w:rsidRDefault="00550AAC" w:rsidP="00550AAC">
      <w:pPr>
        <w:numPr>
          <w:ilvl w:val="0"/>
          <w:numId w:val="37"/>
        </w:numPr>
        <w:spacing w:line="276" w:lineRule="auto"/>
        <w:jc w:val="both"/>
        <w:rPr>
          <w:rFonts w:ascii="Palatino Linotype" w:hAnsi="Palatino Linotype"/>
          <w:b/>
          <w:color w:val="000000" w:themeColor="text1"/>
        </w:rPr>
      </w:pPr>
      <w:r w:rsidRPr="00796AAB">
        <w:rPr>
          <w:rFonts w:ascii="Palatino Linotype" w:hAnsi="Palatino Linotype"/>
          <w:b/>
          <w:color w:val="000000" w:themeColor="text1"/>
        </w:rPr>
        <w:t xml:space="preserve">Grievance Resolution between </w:t>
      </w:r>
      <w:r w:rsidR="00620D83">
        <w:rPr>
          <w:rFonts w:ascii="Palatino Linotype" w:hAnsi="Palatino Linotype"/>
          <w:b/>
          <w:color w:val="000000" w:themeColor="text1"/>
        </w:rPr>
        <w:t>L</w:t>
      </w:r>
      <w:r w:rsidRPr="00796AAB">
        <w:rPr>
          <w:rFonts w:ascii="Palatino Linotype" w:hAnsi="Palatino Linotype"/>
          <w:b/>
          <w:color w:val="000000" w:themeColor="text1"/>
        </w:rPr>
        <w:t xml:space="preserve">isted </w:t>
      </w:r>
      <w:r w:rsidR="00620D83">
        <w:rPr>
          <w:rFonts w:ascii="Palatino Linotype" w:hAnsi="Palatino Linotype"/>
          <w:b/>
          <w:color w:val="000000" w:themeColor="text1"/>
        </w:rPr>
        <w:t>E</w:t>
      </w:r>
      <w:r w:rsidRPr="00796AAB">
        <w:rPr>
          <w:rFonts w:ascii="Palatino Linotype" w:hAnsi="Palatino Linotype"/>
          <w:b/>
          <w:color w:val="000000" w:themeColor="text1"/>
        </w:rPr>
        <w:t xml:space="preserve">ntities and </w:t>
      </w:r>
      <w:r w:rsidR="00620D83">
        <w:rPr>
          <w:rFonts w:ascii="Palatino Linotype" w:hAnsi="Palatino Linotype"/>
          <w:b/>
          <w:color w:val="000000" w:themeColor="text1"/>
        </w:rPr>
        <w:t>P</w:t>
      </w:r>
      <w:r w:rsidRPr="00796AAB">
        <w:rPr>
          <w:rFonts w:ascii="Palatino Linotype" w:hAnsi="Palatino Linotype"/>
          <w:b/>
          <w:color w:val="000000" w:themeColor="text1"/>
        </w:rPr>
        <w:t xml:space="preserve">roxy </w:t>
      </w:r>
      <w:r w:rsidR="00620D83">
        <w:rPr>
          <w:rFonts w:ascii="Palatino Linotype" w:hAnsi="Palatino Linotype"/>
          <w:b/>
          <w:color w:val="000000" w:themeColor="text1"/>
        </w:rPr>
        <w:t>A</w:t>
      </w:r>
      <w:r w:rsidRPr="00796AAB">
        <w:rPr>
          <w:rFonts w:ascii="Palatino Linotype" w:hAnsi="Palatino Linotype"/>
          <w:b/>
          <w:color w:val="000000" w:themeColor="text1"/>
        </w:rPr>
        <w:t>dvisers</w:t>
      </w:r>
    </w:p>
    <w:p w14:paraId="05958D29"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55550B13" w14:textId="77777777" w:rsidR="00620D83" w:rsidRPr="00620D83" w:rsidRDefault="00620D83" w:rsidP="00620D83">
      <w:pPr>
        <w:autoSpaceDE w:val="0"/>
        <w:autoSpaceDN w:val="0"/>
        <w:adjustRightInd w:val="0"/>
        <w:rPr>
          <w:rFonts w:ascii="Roboto" w:hAnsi="Roboto" w:cs="Roboto"/>
          <w:color w:val="000000"/>
          <w:lang w:val="en-IN" w:bidi="hi-IN"/>
        </w:rPr>
      </w:pPr>
    </w:p>
    <w:p w14:paraId="3A96C60C" w14:textId="77777777" w:rsidR="00620D83" w:rsidRPr="003E1929" w:rsidRDefault="00620D83" w:rsidP="003E1929">
      <w:pPr>
        <w:shd w:val="clear" w:color="auto" w:fill="FFFFFF"/>
        <w:spacing w:line="276" w:lineRule="auto"/>
        <w:jc w:val="both"/>
        <w:rPr>
          <w:rFonts w:ascii="Palatino Linotype" w:hAnsi="Palatino Linotype"/>
          <w:color w:val="000000" w:themeColor="text1"/>
        </w:rPr>
      </w:pPr>
      <w:r w:rsidRPr="00620D83">
        <w:rPr>
          <w:rFonts w:ascii="Palatino Linotype" w:hAnsi="Palatino Linotype"/>
          <w:color w:val="000000" w:themeColor="text1"/>
        </w:rPr>
        <w:t xml:space="preserve">Proxy advisors, over the past few years, have played a key role in enabling shareholders to effectively participate in corporate governance decisions. Due to the inherent nature of the work, it is probable that proxy advisors and listed entities may have different views on any agenda item of the listed entity leading to grievances. </w:t>
      </w:r>
    </w:p>
    <w:p w14:paraId="453894A6" w14:textId="77777777" w:rsidR="00620D83" w:rsidRPr="00620D83" w:rsidRDefault="00620D83" w:rsidP="00620D83">
      <w:pPr>
        <w:autoSpaceDE w:val="0"/>
        <w:autoSpaceDN w:val="0"/>
        <w:adjustRightInd w:val="0"/>
        <w:rPr>
          <w:rFonts w:ascii="Roboto" w:hAnsi="Roboto" w:cs="Roboto"/>
          <w:color w:val="000000"/>
          <w:sz w:val="22"/>
          <w:szCs w:val="22"/>
          <w:lang w:val="en-IN" w:bidi="hi-IN"/>
        </w:rPr>
      </w:pPr>
    </w:p>
    <w:p w14:paraId="26AB796D" w14:textId="77777777" w:rsidR="00620D83" w:rsidRPr="003E1929" w:rsidRDefault="00620D83" w:rsidP="003E1929">
      <w:pPr>
        <w:pStyle w:val="Default"/>
        <w:jc w:val="both"/>
        <w:rPr>
          <w:rFonts w:ascii="Roboto" w:hAnsi="Roboto" w:cs="Roboto"/>
          <w:lang w:val="en-IN" w:bidi="hi-IN"/>
        </w:rPr>
      </w:pPr>
      <w:r w:rsidRPr="00620D83">
        <w:rPr>
          <w:rFonts w:ascii="Palatino Linotype" w:eastAsiaTheme="minorHAnsi" w:hAnsi="Palatino Linotype" w:cs="Times New Roman"/>
          <w:color w:val="000000" w:themeColor="text1"/>
          <w:lang w:val="en-GB"/>
        </w:rPr>
        <w:t>In order to facilitate resolution of such grievances of listed entities against SEBI registered proxy advisors, the listed entities now may approach SEBI</w:t>
      </w:r>
      <w:r>
        <w:rPr>
          <w:rFonts w:ascii="Palatino Linotype" w:eastAsiaTheme="minorHAnsi" w:hAnsi="Palatino Linotype" w:cs="Times New Roman"/>
          <w:color w:val="000000" w:themeColor="text1"/>
          <w:lang w:val="en-GB"/>
        </w:rPr>
        <w:t xml:space="preserve"> which </w:t>
      </w:r>
      <w:r w:rsidRPr="00620D83">
        <w:rPr>
          <w:rFonts w:ascii="Palatino Linotype" w:eastAsiaTheme="minorHAnsi" w:hAnsi="Palatino Linotype" w:cs="Times New Roman"/>
          <w:color w:val="000000" w:themeColor="text1"/>
          <w:lang w:val="en-GB"/>
        </w:rPr>
        <w:t>will examine the matter for non-compliance by proxy advisors with the provisions of the Code of Conduct under regulation 24(2) read with regulation 23(1) of the SEBI (Research Analyst) Regulations, 2014 and the procedural guidelines for proxy advisors issued vide SEBI circular no. SEBI/HO/IMD/DF1/CIR/P/2020/147 dated August 03, 2020.</w:t>
      </w:r>
      <w:r w:rsidRPr="00620D83">
        <w:rPr>
          <w:rFonts w:ascii="Roboto" w:hAnsi="Roboto" w:cs="Roboto"/>
          <w:sz w:val="22"/>
          <w:szCs w:val="22"/>
          <w:lang w:val="en-IN" w:bidi="hi-IN"/>
        </w:rPr>
        <w:t xml:space="preserve"> </w:t>
      </w:r>
    </w:p>
    <w:p w14:paraId="1B5E0B43" w14:textId="77777777" w:rsidR="00620D83" w:rsidRPr="003E1929" w:rsidRDefault="00620D83" w:rsidP="003E1929">
      <w:pPr>
        <w:pStyle w:val="Default"/>
        <w:rPr>
          <w:rFonts w:ascii="Palatino Linotype" w:hAnsi="Palatino Linotype" w:cs="Times New Roman"/>
          <w:color w:val="000000" w:themeColor="text1"/>
          <w:lang w:val="en-GB"/>
        </w:rPr>
      </w:pPr>
      <w:r w:rsidRPr="00620D83">
        <w:rPr>
          <w:rFonts w:ascii="Palatino Linotype" w:eastAsiaTheme="minorHAnsi" w:hAnsi="Palatino Linotype" w:cs="Times New Roman"/>
          <w:color w:val="000000" w:themeColor="text1"/>
          <w:lang w:val="en-GB"/>
        </w:rPr>
        <w:t xml:space="preserve"> </w:t>
      </w:r>
    </w:p>
    <w:p w14:paraId="76CADD8C" w14:textId="17B42CCA" w:rsidR="00550AAC" w:rsidRPr="00371718" w:rsidRDefault="00620D83" w:rsidP="00550AAC">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t xml:space="preserve"> </w:t>
      </w:r>
    </w:p>
    <w:p w14:paraId="5FA22DA9"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796AAB">
        <w:rPr>
          <w:rFonts w:ascii="Palatino Linotype" w:hAnsi="Palatino Linotype"/>
          <w:b/>
          <w:color w:val="000000" w:themeColor="text1"/>
        </w:rPr>
        <w:t>SEBI/HO/CFD/CMD1/CIR/P/2020/119</w:t>
      </w:r>
      <w:r w:rsidRPr="00371718">
        <w:rPr>
          <w:rFonts w:ascii="Palatino Linotype" w:hAnsi="Palatino Linotype"/>
          <w:b/>
          <w:color w:val="000000" w:themeColor="text1"/>
        </w:rPr>
        <w:t xml:space="preserve"> dated </w:t>
      </w:r>
      <w:r>
        <w:rPr>
          <w:rFonts w:ascii="Palatino Linotype" w:hAnsi="Palatino Linotype"/>
          <w:b/>
          <w:color w:val="000000" w:themeColor="text1"/>
        </w:rPr>
        <w:t>August</w:t>
      </w:r>
      <w:r w:rsidRPr="00371718">
        <w:rPr>
          <w:rFonts w:ascii="Palatino Linotype" w:hAnsi="Palatino Linotype"/>
          <w:b/>
          <w:color w:val="000000" w:themeColor="text1"/>
        </w:rPr>
        <w:t xml:space="preserve"> </w:t>
      </w:r>
      <w:r>
        <w:rPr>
          <w:rFonts w:ascii="Palatino Linotype" w:hAnsi="Palatino Linotype"/>
          <w:b/>
          <w:color w:val="000000" w:themeColor="text1"/>
        </w:rPr>
        <w:t>04</w:t>
      </w:r>
      <w:r w:rsidRPr="00371718">
        <w:rPr>
          <w:rFonts w:ascii="Palatino Linotype" w:hAnsi="Palatino Linotype"/>
          <w:b/>
          <w:color w:val="000000" w:themeColor="text1"/>
        </w:rPr>
        <w:t>, 2020</w:t>
      </w:r>
    </w:p>
    <w:p w14:paraId="6BBE893A" w14:textId="77777777" w:rsidR="00550AAC" w:rsidRPr="00371718" w:rsidRDefault="00550AAC" w:rsidP="00550AAC">
      <w:pPr>
        <w:shd w:val="clear" w:color="auto" w:fill="FFFFFF"/>
        <w:spacing w:line="276" w:lineRule="auto"/>
        <w:jc w:val="both"/>
        <w:rPr>
          <w:rFonts w:ascii="Palatino Linotype" w:hAnsi="Palatino Linotype"/>
          <w:color w:val="000000" w:themeColor="text1"/>
        </w:rPr>
      </w:pPr>
    </w:p>
    <w:p w14:paraId="07A3784D" w14:textId="77777777" w:rsidR="00550AAC" w:rsidRDefault="00550AAC" w:rsidP="00550AAC">
      <w:pPr>
        <w:shd w:val="clear" w:color="auto" w:fill="FFFFFF"/>
        <w:spacing w:line="276" w:lineRule="auto"/>
        <w:jc w:val="both"/>
        <w:rPr>
          <w:rFonts w:ascii="Palatino Linotype" w:hAnsi="Palatino Linotype"/>
          <w:b/>
          <w:color w:val="000000" w:themeColor="text1"/>
        </w:rPr>
      </w:pPr>
      <w:r>
        <w:rPr>
          <w:rFonts w:ascii="Palatino Linotype" w:hAnsi="Palatino Linotype"/>
          <w:b/>
          <w:color w:val="000000" w:themeColor="text1"/>
        </w:rPr>
        <w:t xml:space="preserve">3.   </w:t>
      </w:r>
      <w:r w:rsidRPr="00796AAB">
        <w:rPr>
          <w:rFonts w:ascii="Palatino Linotype" w:hAnsi="Palatino Linotype"/>
          <w:b/>
          <w:color w:val="000000" w:themeColor="text1"/>
        </w:rPr>
        <w:t>Administration and Supervision of Investment Advisers</w:t>
      </w:r>
      <w:r w:rsidR="00AD5F18">
        <w:rPr>
          <w:rFonts w:ascii="Palatino Linotype" w:hAnsi="Palatino Linotype"/>
          <w:b/>
          <w:color w:val="000000" w:themeColor="text1"/>
        </w:rPr>
        <w:t xml:space="preserve"> </w:t>
      </w:r>
    </w:p>
    <w:p w14:paraId="254AC9C3"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412B02A0" w14:textId="4E6E0437" w:rsidR="00550AAC" w:rsidRDefault="00A756FC" w:rsidP="00550AAC">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t xml:space="preserve">It was decided to recognize </w:t>
      </w:r>
      <w:r w:rsidR="00550AAC" w:rsidRPr="009D01E3">
        <w:rPr>
          <w:rFonts w:ascii="Palatino Linotype" w:hAnsi="Palatino Linotype"/>
          <w:color w:val="000000" w:themeColor="text1"/>
        </w:rPr>
        <w:t xml:space="preserve"> a wholly owned subsidiary </w:t>
      </w:r>
      <w:r>
        <w:rPr>
          <w:rFonts w:ascii="Palatino Linotype" w:hAnsi="Palatino Linotype"/>
          <w:color w:val="000000" w:themeColor="text1"/>
        </w:rPr>
        <w:t xml:space="preserve">of the stock exchanges </w:t>
      </w:r>
      <w:r w:rsidR="00550AAC" w:rsidRPr="009D01E3">
        <w:rPr>
          <w:rFonts w:ascii="Palatino Linotype" w:hAnsi="Palatino Linotype"/>
          <w:color w:val="000000" w:themeColor="text1"/>
        </w:rPr>
        <w:t>to administer and supervise I</w:t>
      </w:r>
      <w:r w:rsidR="00AD5F18">
        <w:rPr>
          <w:rFonts w:ascii="Palatino Linotype" w:hAnsi="Palatino Linotype"/>
          <w:color w:val="000000" w:themeColor="text1"/>
        </w:rPr>
        <w:t xml:space="preserve">nvestment </w:t>
      </w:r>
      <w:r w:rsidR="00550AAC" w:rsidRPr="009D01E3">
        <w:rPr>
          <w:rFonts w:ascii="Palatino Linotype" w:hAnsi="Palatino Linotype"/>
          <w:color w:val="000000" w:themeColor="text1"/>
        </w:rPr>
        <w:t>A</w:t>
      </w:r>
      <w:r w:rsidR="00AD5F18">
        <w:rPr>
          <w:rFonts w:ascii="Palatino Linotype" w:hAnsi="Palatino Linotype"/>
          <w:color w:val="000000" w:themeColor="text1"/>
        </w:rPr>
        <w:t>dvisers (IA</w:t>
      </w:r>
      <w:r w:rsidR="00550AAC" w:rsidRPr="009D01E3">
        <w:rPr>
          <w:rFonts w:ascii="Palatino Linotype" w:hAnsi="Palatino Linotype"/>
          <w:color w:val="000000" w:themeColor="text1"/>
        </w:rPr>
        <w:t>s</w:t>
      </w:r>
      <w:r w:rsidR="00AD5F18">
        <w:rPr>
          <w:rFonts w:ascii="Palatino Linotype" w:hAnsi="Palatino Linotype"/>
          <w:color w:val="000000" w:themeColor="text1"/>
        </w:rPr>
        <w:t>) registered with SEBI</w:t>
      </w:r>
      <w:r w:rsidR="00550AAC" w:rsidRPr="009D01E3">
        <w:rPr>
          <w:rFonts w:ascii="Palatino Linotype" w:hAnsi="Palatino Linotype"/>
          <w:color w:val="000000" w:themeColor="text1"/>
        </w:rPr>
        <w:t>.</w:t>
      </w:r>
      <w:r w:rsidR="00550AAC">
        <w:rPr>
          <w:rFonts w:ascii="Palatino Linotype" w:hAnsi="Palatino Linotype"/>
          <w:color w:val="000000" w:themeColor="text1"/>
        </w:rPr>
        <w:t xml:space="preserve"> </w:t>
      </w:r>
      <w:r>
        <w:rPr>
          <w:rFonts w:ascii="Palatino Linotype" w:hAnsi="Palatino Linotype"/>
          <w:color w:val="000000" w:themeColor="text1"/>
        </w:rPr>
        <w:t xml:space="preserve">Such recognition will be based on the eligibility of the parent entity for which the eligibility criteria is defined. </w:t>
      </w:r>
    </w:p>
    <w:p w14:paraId="2A10843A" w14:textId="77777777" w:rsidR="00550AAC" w:rsidRPr="00371718" w:rsidRDefault="00550AAC" w:rsidP="00550AAC">
      <w:pPr>
        <w:shd w:val="clear" w:color="auto" w:fill="FFFFFF"/>
        <w:spacing w:line="276" w:lineRule="auto"/>
        <w:jc w:val="both"/>
        <w:rPr>
          <w:rFonts w:ascii="Palatino Linotype" w:hAnsi="Palatino Linotype"/>
          <w:color w:val="000000" w:themeColor="text1"/>
        </w:rPr>
      </w:pPr>
    </w:p>
    <w:p w14:paraId="56AD5F37"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796AAB">
        <w:rPr>
          <w:rFonts w:ascii="Palatino Linotype" w:hAnsi="Palatino Linotype"/>
          <w:b/>
          <w:color w:val="000000" w:themeColor="text1"/>
        </w:rPr>
        <w:t>SEBI/HO/IMD/DF1/CIR/P/2020/148</w:t>
      </w:r>
      <w:r w:rsidRPr="00371718">
        <w:rPr>
          <w:rFonts w:ascii="Palatino Linotype" w:hAnsi="Palatino Linotype"/>
          <w:b/>
          <w:color w:val="000000" w:themeColor="text1"/>
        </w:rPr>
        <w:t xml:space="preserve"> dated </w:t>
      </w:r>
      <w:r>
        <w:rPr>
          <w:rFonts w:ascii="Palatino Linotype" w:hAnsi="Palatino Linotype"/>
          <w:b/>
          <w:color w:val="000000" w:themeColor="text1"/>
        </w:rPr>
        <w:t>August 06</w:t>
      </w:r>
      <w:r w:rsidRPr="00371718">
        <w:rPr>
          <w:rFonts w:ascii="Palatino Linotype" w:hAnsi="Palatino Linotype"/>
          <w:b/>
          <w:color w:val="000000" w:themeColor="text1"/>
        </w:rPr>
        <w:t>, 2020</w:t>
      </w:r>
    </w:p>
    <w:p w14:paraId="542A9905" w14:textId="77777777" w:rsidR="00550AAC" w:rsidRPr="00371718" w:rsidRDefault="00550AAC" w:rsidP="00550AAC">
      <w:pPr>
        <w:spacing w:line="276" w:lineRule="auto"/>
        <w:jc w:val="both"/>
        <w:rPr>
          <w:rFonts w:ascii="Palatino Linotype" w:hAnsi="Palatino Linotype"/>
          <w:color w:val="000000" w:themeColor="text1"/>
        </w:rPr>
      </w:pPr>
    </w:p>
    <w:p w14:paraId="013D3F12" w14:textId="77777777" w:rsidR="00550AAC" w:rsidRPr="00371718" w:rsidRDefault="00550AAC" w:rsidP="00550AAC">
      <w:pPr>
        <w:spacing w:line="276" w:lineRule="auto"/>
        <w:jc w:val="both"/>
        <w:rPr>
          <w:rFonts w:ascii="Palatino Linotype" w:hAnsi="Palatino Linotype"/>
          <w:color w:val="000000" w:themeColor="text1"/>
        </w:rPr>
      </w:pPr>
    </w:p>
    <w:p w14:paraId="25A93862" w14:textId="77777777" w:rsidR="00550AAC" w:rsidRDefault="00550AAC" w:rsidP="00550AAC">
      <w:pPr>
        <w:shd w:val="clear" w:color="auto" w:fill="FFFFFF"/>
        <w:spacing w:line="276" w:lineRule="auto"/>
        <w:jc w:val="both"/>
        <w:textAlignment w:val="baseline"/>
        <w:rPr>
          <w:rFonts w:ascii="Palatino Linotype" w:hAnsi="Palatino Linotype"/>
          <w:b/>
          <w:color w:val="000000" w:themeColor="text1"/>
        </w:rPr>
      </w:pPr>
      <w:r>
        <w:rPr>
          <w:rFonts w:ascii="Palatino Linotype" w:hAnsi="Palatino Linotype"/>
          <w:b/>
          <w:color w:val="000000" w:themeColor="text1"/>
        </w:rPr>
        <w:t xml:space="preserve">4. </w:t>
      </w:r>
      <w:r w:rsidRPr="00796AAB">
        <w:rPr>
          <w:rFonts w:ascii="Palatino Linotype" w:hAnsi="Palatino Linotype"/>
          <w:b/>
          <w:color w:val="000000" w:themeColor="text1"/>
        </w:rPr>
        <w:t>SEBI (International Financial Services Centres) Guidelines, 2015 - Amendment</w:t>
      </w:r>
    </w:p>
    <w:p w14:paraId="67E4CCD6" w14:textId="77777777" w:rsidR="00550AAC" w:rsidRDefault="00550AAC" w:rsidP="00550AAC">
      <w:pPr>
        <w:shd w:val="clear" w:color="auto" w:fill="FFFFFF"/>
        <w:spacing w:line="276" w:lineRule="auto"/>
        <w:jc w:val="both"/>
        <w:textAlignment w:val="baseline"/>
        <w:rPr>
          <w:rFonts w:ascii="Palatino Linotype" w:hAnsi="Palatino Linotype"/>
          <w:color w:val="000000" w:themeColor="text1"/>
        </w:rPr>
      </w:pPr>
    </w:p>
    <w:p w14:paraId="4F930CCA" w14:textId="5FF60208" w:rsidR="00550AAC" w:rsidRDefault="00550AAC" w:rsidP="00550AAC">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t>I</w:t>
      </w:r>
      <w:r w:rsidRPr="009D01E3">
        <w:rPr>
          <w:rFonts w:ascii="Palatino Linotype" w:hAnsi="Palatino Linotype"/>
          <w:color w:val="000000" w:themeColor="text1"/>
        </w:rPr>
        <w:t xml:space="preserve">nternational </w:t>
      </w:r>
      <w:r>
        <w:rPr>
          <w:rFonts w:ascii="Palatino Linotype" w:hAnsi="Palatino Linotype"/>
          <w:color w:val="000000" w:themeColor="text1"/>
        </w:rPr>
        <w:t>F</w:t>
      </w:r>
      <w:r w:rsidRPr="009D01E3">
        <w:rPr>
          <w:rFonts w:ascii="Palatino Linotype" w:hAnsi="Palatino Linotype"/>
          <w:color w:val="000000" w:themeColor="text1"/>
        </w:rPr>
        <w:t xml:space="preserve">inancial </w:t>
      </w:r>
      <w:r>
        <w:rPr>
          <w:rFonts w:ascii="Palatino Linotype" w:hAnsi="Palatino Linotype"/>
          <w:color w:val="000000" w:themeColor="text1"/>
        </w:rPr>
        <w:t>S</w:t>
      </w:r>
      <w:r w:rsidRPr="009D01E3">
        <w:rPr>
          <w:rFonts w:ascii="Palatino Linotype" w:hAnsi="Palatino Linotype"/>
          <w:color w:val="000000" w:themeColor="text1"/>
        </w:rPr>
        <w:t xml:space="preserve">ervices </w:t>
      </w:r>
      <w:r>
        <w:rPr>
          <w:rFonts w:ascii="Palatino Linotype" w:hAnsi="Palatino Linotype"/>
          <w:color w:val="000000" w:themeColor="text1"/>
        </w:rPr>
        <w:t>C</w:t>
      </w:r>
      <w:r w:rsidRPr="009D01E3">
        <w:rPr>
          <w:rFonts w:ascii="Palatino Linotype" w:hAnsi="Palatino Linotype"/>
          <w:color w:val="000000" w:themeColor="text1"/>
        </w:rPr>
        <w:t>entre (IFSC) guidelines pertaining to eligibility criteria and shareholding limit for clearing corporations that wish to operate in such centres</w:t>
      </w:r>
      <w:r w:rsidR="00A756FC">
        <w:rPr>
          <w:rFonts w:ascii="Palatino Linotype" w:hAnsi="Palatino Linotype"/>
          <w:color w:val="000000" w:themeColor="text1"/>
        </w:rPr>
        <w:t xml:space="preserve"> were amended</w:t>
      </w:r>
      <w:r w:rsidRPr="009D01E3">
        <w:rPr>
          <w:rFonts w:ascii="Palatino Linotype" w:hAnsi="Palatino Linotype"/>
          <w:color w:val="000000" w:themeColor="text1"/>
        </w:rPr>
        <w:t>. The decision, aimed at streamlining the operations of IFSC, has been taken after consultation with stakeholders</w:t>
      </w:r>
      <w:r>
        <w:rPr>
          <w:rFonts w:ascii="Palatino Linotype" w:hAnsi="Palatino Linotype"/>
          <w:color w:val="000000" w:themeColor="text1"/>
        </w:rPr>
        <w:t>.</w:t>
      </w:r>
    </w:p>
    <w:p w14:paraId="575E77D9" w14:textId="77777777" w:rsidR="00550AAC" w:rsidRDefault="00550AAC" w:rsidP="00550AAC">
      <w:pPr>
        <w:shd w:val="clear" w:color="auto" w:fill="FFFFFF"/>
        <w:spacing w:line="276" w:lineRule="auto"/>
        <w:jc w:val="both"/>
        <w:rPr>
          <w:rFonts w:ascii="Palatino Linotype" w:hAnsi="Palatino Linotype"/>
          <w:b/>
          <w:color w:val="000000" w:themeColor="text1"/>
        </w:rPr>
      </w:pPr>
    </w:p>
    <w:p w14:paraId="5E28B132"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796AAB">
        <w:rPr>
          <w:rFonts w:ascii="Palatino Linotype" w:hAnsi="Palatino Linotype"/>
          <w:b/>
          <w:color w:val="000000" w:themeColor="text1"/>
        </w:rPr>
        <w:t>SEBI/HO/MRD2/DCAP/CIR/P/2020/149</w:t>
      </w:r>
      <w:r w:rsidRPr="00371718">
        <w:rPr>
          <w:rFonts w:ascii="Palatino Linotype" w:hAnsi="Palatino Linotype"/>
          <w:b/>
          <w:color w:val="000000" w:themeColor="text1"/>
        </w:rPr>
        <w:t xml:space="preserve"> dated </w:t>
      </w:r>
      <w:r>
        <w:rPr>
          <w:rFonts w:ascii="Palatino Linotype" w:hAnsi="Palatino Linotype"/>
          <w:b/>
          <w:color w:val="000000" w:themeColor="text1"/>
        </w:rPr>
        <w:t>August 07</w:t>
      </w:r>
      <w:r w:rsidRPr="00371718">
        <w:rPr>
          <w:rFonts w:ascii="Palatino Linotype" w:hAnsi="Palatino Linotype"/>
          <w:b/>
          <w:color w:val="000000" w:themeColor="text1"/>
        </w:rPr>
        <w:t>, 2020</w:t>
      </w:r>
    </w:p>
    <w:p w14:paraId="5A22C48C" w14:textId="77777777" w:rsidR="00D01E89" w:rsidRDefault="00D01E89" w:rsidP="00D01E89">
      <w:pPr>
        <w:jc w:val="both"/>
        <w:rPr>
          <w:rFonts w:ascii="Palatino Linotype" w:hAnsi="Palatino Linotype"/>
          <w:b/>
          <w:bCs/>
        </w:rPr>
      </w:pPr>
    </w:p>
    <w:p w14:paraId="02DB1298" w14:textId="77777777" w:rsidR="00550AAC" w:rsidRDefault="00550AAC" w:rsidP="00550AAC">
      <w:pPr>
        <w:shd w:val="clear" w:color="auto" w:fill="FFFFFF"/>
        <w:spacing w:line="276" w:lineRule="auto"/>
        <w:jc w:val="both"/>
        <w:rPr>
          <w:rFonts w:ascii="Palatino Linotype" w:hAnsi="Palatino Linotype"/>
          <w:b/>
          <w:color w:val="000000" w:themeColor="text1"/>
        </w:rPr>
      </w:pPr>
      <w:r>
        <w:rPr>
          <w:rFonts w:ascii="Palatino Linotype" w:hAnsi="Palatino Linotype"/>
          <w:b/>
          <w:color w:val="000000" w:themeColor="text1"/>
        </w:rPr>
        <w:t xml:space="preserve">5. </w:t>
      </w:r>
      <w:r w:rsidRPr="000930EA">
        <w:rPr>
          <w:rFonts w:ascii="Palatino Linotype" w:hAnsi="Palatino Linotype"/>
          <w:b/>
          <w:color w:val="000000" w:themeColor="text1"/>
        </w:rPr>
        <w:t>Resources for Trustees of Mutual Funds</w:t>
      </w:r>
    </w:p>
    <w:p w14:paraId="2964FBA1"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221621FD" w14:textId="33AA5947" w:rsidR="00550AAC" w:rsidRPr="00EE2454" w:rsidRDefault="00A756FC" w:rsidP="00550AAC">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lastRenderedPageBreak/>
        <w:t>In addition to the existing provisions, some additional criteria were prescribed to</w:t>
      </w:r>
      <w:r w:rsidR="00550AAC">
        <w:rPr>
          <w:rFonts w:ascii="Palatino Linotype" w:hAnsi="Palatino Linotype"/>
          <w:color w:val="000000" w:themeColor="text1"/>
        </w:rPr>
        <w:t xml:space="preserve"> provide administrative assistance to trustees of mutual funds in monitoring various activities of asset management companies .  This will come into force from October 01, 2020.</w:t>
      </w:r>
    </w:p>
    <w:p w14:paraId="4622B0DD" w14:textId="77777777" w:rsidR="00550AAC" w:rsidRPr="00EE2454" w:rsidRDefault="00550AAC" w:rsidP="00550AAC">
      <w:pPr>
        <w:shd w:val="clear" w:color="auto" w:fill="FFFFFF"/>
        <w:spacing w:line="276" w:lineRule="auto"/>
        <w:jc w:val="both"/>
        <w:rPr>
          <w:rFonts w:ascii="Palatino Linotype" w:hAnsi="Palatino Linotype"/>
          <w:color w:val="000000" w:themeColor="text1"/>
        </w:rPr>
      </w:pPr>
    </w:p>
    <w:p w14:paraId="3BE7F2D7"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0930EA">
        <w:rPr>
          <w:rFonts w:ascii="Palatino Linotype" w:hAnsi="Palatino Linotype"/>
          <w:b/>
          <w:color w:val="000000" w:themeColor="text1"/>
        </w:rPr>
        <w:t>SEBI/HO/IMD/DF4/CIR/P/2020/0000000151</w:t>
      </w:r>
      <w:r w:rsidRPr="00371718">
        <w:rPr>
          <w:rFonts w:ascii="Palatino Linotype" w:hAnsi="Palatino Linotype"/>
          <w:b/>
          <w:color w:val="000000" w:themeColor="text1"/>
        </w:rPr>
        <w:t xml:space="preserve"> dated </w:t>
      </w:r>
      <w:r>
        <w:rPr>
          <w:rFonts w:ascii="Palatino Linotype" w:hAnsi="Palatino Linotype"/>
          <w:b/>
          <w:color w:val="000000" w:themeColor="text1"/>
        </w:rPr>
        <w:t>August</w:t>
      </w:r>
      <w:r w:rsidRPr="00371718">
        <w:rPr>
          <w:rFonts w:ascii="Palatino Linotype" w:hAnsi="Palatino Linotype"/>
          <w:b/>
          <w:color w:val="000000" w:themeColor="text1"/>
        </w:rPr>
        <w:t xml:space="preserve"> </w:t>
      </w:r>
      <w:r>
        <w:rPr>
          <w:rFonts w:ascii="Palatino Linotype" w:hAnsi="Palatino Linotype"/>
          <w:b/>
          <w:color w:val="000000" w:themeColor="text1"/>
        </w:rPr>
        <w:t>10</w:t>
      </w:r>
      <w:r w:rsidRPr="00371718">
        <w:rPr>
          <w:rFonts w:ascii="Palatino Linotype" w:hAnsi="Palatino Linotype"/>
          <w:b/>
          <w:color w:val="000000" w:themeColor="text1"/>
        </w:rPr>
        <w:t>, 2020</w:t>
      </w:r>
    </w:p>
    <w:p w14:paraId="4C5BF2CE" w14:textId="77777777" w:rsidR="00550AAC" w:rsidRPr="00371718" w:rsidRDefault="00550AAC" w:rsidP="00550AAC">
      <w:pPr>
        <w:shd w:val="clear" w:color="auto" w:fill="FFFFFF"/>
        <w:spacing w:line="276" w:lineRule="auto"/>
        <w:jc w:val="both"/>
        <w:rPr>
          <w:rFonts w:ascii="Palatino Linotype" w:hAnsi="Palatino Linotype"/>
          <w:color w:val="333333"/>
          <w:sz w:val="18"/>
          <w:szCs w:val="18"/>
        </w:rPr>
      </w:pPr>
    </w:p>
    <w:p w14:paraId="7E7E945C" w14:textId="77777777" w:rsidR="00550AAC" w:rsidRPr="00371718" w:rsidRDefault="00550AAC" w:rsidP="00550AAC">
      <w:pPr>
        <w:spacing w:line="276" w:lineRule="auto"/>
        <w:jc w:val="both"/>
        <w:rPr>
          <w:rFonts w:ascii="Palatino Linotype" w:hAnsi="Palatino Linotype"/>
          <w:color w:val="000000" w:themeColor="text1"/>
        </w:rPr>
      </w:pPr>
    </w:p>
    <w:p w14:paraId="590E9138" w14:textId="67F0D0A6" w:rsidR="00550AAC" w:rsidRPr="00371718" w:rsidRDefault="00550AAC" w:rsidP="00550AAC">
      <w:pPr>
        <w:spacing w:line="276" w:lineRule="auto"/>
        <w:jc w:val="both"/>
        <w:rPr>
          <w:rFonts w:ascii="Palatino Linotype" w:hAnsi="Palatino Linotype"/>
          <w:b/>
          <w:color w:val="000000" w:themeColor="text1"/>
        </w:rPr>
      </w:pPr>
      <w:r>
        <w:rPr>
          <w:rFonts w:ascii="Palatino Linotype" w:hAnsi="Palatino Linotype"/>
          <w:b/>
          <w:color w:val="000000" w:themeColor="text1"/>
        </w:rPr>
        <w:t>6.</w:t>
      </w:r>
      <w:r>
        <w:rPr>
          <w:rFonts w:ascii="Palatino Linotype" w:hAnsi="Palatino Linotype"/>
          <w:b/>
          <w:color w:val="000000" w:themeColor="text1"/>
        </w:rPr>
        <w:tab/>
      </w:r>
      <w:r w:rsidRPr="000930EA">
        <w:rPr>
          <w:rFonts w:ascii="Palatino Linotype" w:hAnsi="Palatino Linotype"/>
          <w:b/>
          <w:color w:val="000000" w:themeColor="text1"/>
        </w:rPr>
        <w:t xml:space="preserve">Investor grievances </w:t>
      </w:r>
      <w:r>
        <w:rPr>
          <w:rFonts w:ascii="Palatino Linotype" w:hAnsi="Palatino Linotype"/>
          <w:b/>
          <w:color w:val="000000" w:themeColor="text1"/>
        </w:rPr>
        <w:t>R</w:t>
      </w:r>
      <w:r w:rsidRPr="000930EA">
        <w:rPr>
          <w:rFonts w:ascii="Palatino Linotype" w:hAnsi="Palatino Linotype"/>
          <w:b/>
          <w:color w:val="000000" w:themeColor="text1"/>
        </w:rPr>
        <w:t xml:space="preserve">edressal </w:t>
      </w:r>
      <w:r>
        <w:rPr>
          <w:rFonts w:ascii="Palatino Linotype" w:hAnsi="Palatino Linotype"/>
          <w:b/>
          <w:color w:val="000000" w:themeColor="text1"/>
        </w:rPr>
        <w:t>M</w:t>
      </w:r>
      <w:r w:rsidRPr="000930EA">
        <w:rPr>
          <w:rFonts w:ascii="Palatino Linotype" w:hAnsi="Palatino Linotype"/>
          <w:b/>
          <w:color w:val="000000" w:themeColor="text1"/>
        </w:rPr>
        <w:t xml:space="preserve">echanism – Handling of SCORES </w:t>
      </w:r>
      <w:r w:rsidR="00A756FC">
        <w:rPr>
          <w:rFonts w:ascii="Palatino Linotype" w:hAnsi="Palatino Linotype"/>
          <w:b/>
          <w:color w:val="000000" w:themeColor="text1"/>
        </w:rPr>
        <w:t>C</w:t>
      </w:r>
      <w:r w:rsidRPr="000930EA">
        <w:rPr>
          <w:rFonts w:ascii="Palatino Linotype" w:hAnsi="Palatino Linotype"/>
          <w:b/>
          <w:color w:val="000000" w:themeColor="text1"/>
        </w:rPr>
        <w:t xml:space="preserve">omplaints by </w:t>
      </w:r>
      <w:r w:rsidR="00A756FC">
        <w:rPr>
          <w:rFonts w:ascii="Palatino Linotype" w:hAnsi="Palatino Linotype"/>
          <w:b/>
          <w:color w:val="000000" w:themeColor="text1"/>
        </w:rPr>
        <w:t>S</w:t>
      </w:r>
      <w:r w:rsidRPr="000930EA">
        <w:rPr>
          <w:rFonts w:ascii="Palatino Linotype" w:hAnsi="Palatino Linotype"/>
          <w:b/>
          <w:color w:val="000000" w:themeColor="text1"/>
        </w:rPr>
        <w:t xml:space="preserve">tock </w:t>
      </w:r>
      <w:r w:rsidR="00A756FC">
        <w:rPr>
          <w:rFonts w:ascii="Palatino Linotype" w:hAnsi="Palatino Linotype"/>
          <w:b/>
          <w:color w:val="000000" w:themeColor="text1"/>
        </w:rPr>
        <w:t>E</w:t>
      </w:r>
      <w:r w:rsidRPr="000930EA">
        <w:rPr>
          <w:rFonts w:ascii="Palatino Linotype" w:hAnsi="Palatino Linotype"/>
          <w:b/>
          <w:color w:val="000000" w:themeColor="text1"/>
        </w:rPr>
        <w:t xml:space="preserve">xchanges and Standard Operating Procedure for </w:t>
      </w:r>
      <w:r w:rsidR="00A756FC">
        <w:rPr>
          <w:rFonts w:ascii="Palatino Linotype" w:hAnsi="Palatino Linotype"/>
          <w:b/>
          <w:color w:val="000000" w:themeColor="text1"/>
        </w:rPr>
        <w:t>N</w:t>
      </w:r>
      <w:r w:rsidRPr="000930EA">
        <w:rPr>
          <w:rFonts w:ascii="Palatino Linotype" w:hAnsi="Palatino Linotype"/>
          <w:b/>
          <w:color w:val="000000" w:themeColor="text1"/>
        </w:rPr>
        <w:t xml:space="preserve">on-redressal of </w:t>
      </w:r>
      <w:r w:rsidR="00A756FC">
        <w:rPr>
          <w:rFonts w:ascii="Palatino Linotype" w:hAnsi="Palatino Linotype"/>
          <w:b/>
          <w:color w:val="000000" w:themeColor="text1"/>
        </w:rPr>
        <w:t>G</w:t>
      </w:r>
      <w:r w:rsidRPr="000930EA">
        <w:rPr>
          <w:rFonts w:ascii="Palatino Linotype" w:hAnsi="Palatino Linotype"/>
          <w:b/>
          <w:color w:val="000000" w:themeColor="text1"/>
        </w:rPr>
        <w:t xml:space="preserve">rievances by </w:t>
      </w:r>
      <w:r w:rsidR="00A756FC">
        <w:rPr>
          <w:rFonts w:ascii="Palatino Linotype" w:hAnsi="Palatino Linotype"/>
          <w:b/>
          <w:color w:val="000000" w:themeColor="text1"/>
        </w:rPr>
        <w:t>L</w:t>
      </w:r>
      <w:r w:rsidRPr="000930EA">
        <w:rPr>
          <w:rFonts w:ascii="Palatino Linotype" w:hAnsi="Palatino Linotype"/>
          <w:b/>
          <w:color w:val="000000" w:themeColor="text1"/>
        </w:rPr>
        <w:t xml:space="preserve">isted </w:t>
      </w:r>
      <w:r w:rsidR="00A756FC">
        <w:rPr>
          <w:rFonts w:ascii="Palatino Linotype" w:hAnsi="Palatino Linotype"/>
          <w:b/>
          <w:color w:val="000000" w:themeColor="text1"/>
        </w:rPr>
        <w:t>C</w:t>
      </w:r>
      <w:r w:rsidRPr="000930EA">
        <w:rPr>
          <w:rFonts w:ascii="Palatino Linotype" w:hAnsi="Palatino Linotype"/>
          <w:b/>
          <w:color w:val="000000" w:themeColor="text1"/>
        </w:rPr>
        <w:t>ompanies</w:t>
      </w:r>
    </w:p>
    <w:p w14:paraId="1EE5FEAB"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78679A1E" w14:textId="1C815383" w:rsidR="00550AAC" w:rsidRDefault="00227EA4" w:rsidP="00550AAC">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t>Procedure</w:t>
      </w:r>
      <w:r w:rsidR="00550AAC">
        <w:rPr>
          <w:rFonts w:ascii="Palatino Linotype" w:hAnsi="Palatino Linotype"/>
          <w:color w:val="000000" w:themeColor="text1"/>
        </w:rPr>
        <w:t xml:space="preserve"> </w:t>
      </w:r>
      <w:r>
        <w:rPr>
          <w:rFonts w:ascii="Palatino Linotype" w:hAnsi="Palatino Linotype"/>
          <w:color w:val="000000" w:themeColor="text1"/>
        </w:rPr>
        <w:t xml:space="preserve">was defined </w:t>
      </w:r>
      <w:r w:rsidR="00550AAC">
        <w:rPr>
          <w:rFonts w:ascii="Palatino Linotype" w:hAnsi="Palatino Linotype"/>
          <w:color w:val="000000" w:themeColor="text1"/>
        </w:rPr>
        <w:t>for handling investor complaints by exchanges as well as standard operating procedure for actions to be taken against listed companies for failure to redress such grievances.  This will come into force from September 01, 2020.</w:t>
      </w:r>
    </w:p>
    <w:p w14:paraId="39907359" w14:textId="77777777" w:rsidR="00550AAC" w:rsidRPr="00371718" w:rsidRDefault="00550AAC" w:rsidP="00550AAC">
      <w:pPr>
        <w:shd w:val="clear" w:color="auto" w:fill="FFFFFF"/>
        <w:spacing w:line="276" w:lineRule="auto"/>
        <w:jc w:val="both"/>
        <w:rPr>
          <w:rFonts w:ascii="Palatino Linotype" w:hAnsi="Palatino Linotype"/>
          <w:color w:val="000000" w:themeColor="text1"/>
        </w:rPr>
      </w:pPr>
    </w:p>
    <w:p w14:paraId="75A6004F"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0930EA">
        <w:rPr>
          <w:rFonts w:ascii="Palatino Linotype" w:hAnsi="Palatino Linotype"/>
          <w:b/>
          <w:color w:val="000000" w:themeColor="text1"/>
        </w:rPr>
        <w:t>SEBI/HO/OIAE/IGRD/CIR/P/2020/152</w:t>
      </w:r>
      <w:r>
        <w:rPr>
          <w:rFonts w:ascii="Palatino Linotype" w:hAnsi="Palatino Linotype"/>
          <w:b/>
          <w:color w:val="000000" w:themeColor="text1"/>
        </w:rPr>
        <w:t xml:space="preserve"> </w:t>
      </w:r>
      <w:r w:rsidRPr="00371718">
        <w:rPr>
          <w:rFonts w:ascii="Palatino Linotype" w:hAnsi="Palatino Linotype"/>
          <w:b/>
          <w:color w:val="000000" w:themeColor="text1"/>
        </w:rPr>
        <w:t xml:space="preserve">dated </w:t>
      </w:r>
      <w:r>
        <w:rPr>
          <w:rFonts w:ascii="Palatino Linotype" w:hAnsi="Palatino Linotype"/>
          <w:b/>
          <w:color w:val="000000" w:themeColor="text1"/>
        </w:rPr>
        <w:t>August</w:t>
      </w:r>
      <w:r w:rsidRPr="00371718">
        <w:rPr>
          <w:rFonts w:ascii="Palatino Linotype" w:hAnsi="Palatino Linotype"/>
          <w:b/>
          <w:color w:val="000000" w:themeColor="text1"/>
        </w:rPr>
        <w:t xml:space="preserve"> </w:t>
      </w:r>
      <w:r>
        <w:rPr>
          <w:rFonts w:ascii="Palatino Linotype" w:hAnsi="Palatino Linotype"/>
          <w:b/>
          <w:color w:val="000000" w:themeColor="text1"/>
        </w:rPr>
        <w:t>13</w:t>
      </w:r>
      <w:r w:rsidRPr="00371718">
        <w:rPr>
          <w:rFonts w:ascii="Palatino Linotype" w:hAnsi="Palatino Linotype"/>
          <w:b/>
          <w:color w:val="000000" w:themeColor="text1"/>
        </w:rPr>
        <w:t>, 2020</w:t>
      </w:r>
    </w:p>
    <w:p w14:paraId="7C66D4E0" w14:textId="77777777" w:rsidR="00550AAC" w:rsidRDefault="00550AAC" w:rsidP="00D01E89">
      <w:pPr>
        <w:jc w:val="both"/>
        <w:rPr>
          <w:rFonts w:ascii="Palatino Linotype" w:hAnsi="Palatino Linotype"/>
          <w:b/>
          <w:bCs/>
        </w:rPr>
      </w:pPr>
    </w:p>
    <w:p w14:paraId="10019116" w14:textId="77777777" w:rsidR="00550AAC" w:rsidRDefault="00550AAC" w:rsidP="00550AAC">
      <w:pPr>
        <w:shd w:val="clear" w:color="auto" w:fill="FFFFFF"/>
        <w:spacing w:line="276" w:lineRule="auto"/>
        <w:jc w:val="both"/>
        <w:rPr>
          <w:rFonts w:ascii="Palatino Linotype" w:hAnsi="Palatino Linotype"/>
          <w:b/>
          <w:color w:val="000000" w:themeColor="text1"/>
        </w:rPr>
      </w:pPr>
      <w:r>
        <w:rPr>
          <w:rFonts w:ascii="Palatino Linotype" w:hAnsi="Palatino Linotype"/>
          <w:b/>
          <w:color w:val="000000" w:themeColor="text1"/>
        </w:rPr>
        <w:t xml:space="preserve">7. </w:t>
      </w:r>
      <w:r w:rsidRPr="007E462A">
        <w:rPr>
          <w:rFonts w:ascii="Palatino Linotype" w:hAnsi="Palatino Linotype"/>
          <w:b/>
          <w:color w:val="000000" w:themeColor="text1"/>
        </w:rPr>
        <w:t>Corrigendum to Master Circular for Depositories dated October 25, 2019 on preservation of records</w:t>
      </w:r>
    </w:p>
    <w:p w14:paraId="2727A846"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376F5082" w14:textId="07693C51" w:rsidR="00550AAC" w:rsidRPr="00465C45" w:rsidRDefault="00550AAC" w:rsidP="00227EA4">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t xml:space="preserve">SEBI </w:t>
      </w:r>
      <w:r w:rsidRPr="00465C45">
        <w:rPr>
          <w:rFonts w:ascii="Palatino Linotype" w:hAnsi="Palatino Linotype"/>
          <w:color w:val="000000" w:themeColor="text1"/>
        </w:rPr>
        <w:t xml:space="preserve">has issued a corrigendum to its circular issued in October </w:t>
      </w:r>
      <w:r>
        <w:rPr>
          <w:rFonts w:ascii="Palatino Linotype" w:hAnsi="Palatino Linotype"/>
          <w:color w:val="000000" w:themeColor="text1"/>
        </w:rPr>
        <w:t xml:space="preserve">25, </w:t>
      </w:r>
      <w:r w:rsidRPr="00465C45">
        <w:rPr>
          <w:rFonts w:ascii="Palatino Linotype" w:hAnsi="Palatino Linotype"/>
          <w:color w:val="000000" w:themeColor="text1"/>
        </w:rPr>
        <w:t>2019, wherein it was mentioned that such records need to be maintained for five years.</w:t>
      </w:r>
      <w:r w:rsidR="00227EA4">
        <w:rPr>
          <w:rFonts w:ascii="Palatino Linotype" w:hAnsi="Palatino Linotype"/>
          <w:color w:val="000000" w:themeColor="text1"/>
        </w:rPr>
        <w:t xml:space="preserve"> As per the new direction, </w:t>
      </w:r>
      <w:r w:rsidR="00227EA4" w:rsidRPr="00465C45">
        <w:rPr>
          <w:rFonts w:ascii="Palatino Linotype" w:hAnsi="Palatino Linotype"/>
          <w:color w:val="000000" w:themeColor="text1"/>
        </w:rPr>
        <w:t>depositories and depository participants need to preserve the records and documents for a minimum period of eight years.</w:t>
      </w:r>
    </w:p>
    <w:p w14:paraId="44706537" w14:textId="77777777" w:rsidR="00550AAC" w:rsidRPr="00465C45" w:rsidRDefault="00550AAC" w:rsidP="00550AAC">
      <w:pPr>
        <w:shd w:val="clear" w:color="auto" w:fill="FFFFFF"/>
        <w:spacing w:line="276" w:lineRule="auto"/>
        <w:jc w:val="both"/>
        <w:rPr>
          <w:rFonts w:ascii="Palatino Linotype" w:hAnsi="Palatino Linotype"/>
          <w:color w:val="000000" w:themeColor="text1"/>
        </w:rPr>
      </w:pPr>
    </w:p>
    <w:p w14:paraId="26E7CE97"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465C45">
        <w:rPr>
          <w:rFonts w:ascii="Palatino Linotype" w:hAnsi="Palatino Linotype"/>
          <w:b/>
          <w:color w:val="000000" w:themeColor="text1"/>
        </w:rPr>
        <w:t>SEBI/HO/MRD2/DDAP/CIR/P/2020/153</w:t>
      </w:r>
      <w:r w:rsidRPr="00371718">
        <w:rPr>
          <w:rFonts w:ascii="Palatino Linotype" w:hAnsi="Palatino Linotype"/>
          <w:b/>
          <w:color w:val="000000" w:themeColor="text1"/>
        </w:rPr>
        <w:t xml:space="preserve"> dated </w:t>
      </w:r>
      <w:r>
        <w:rPr>
          <w:rFonts w:ascii="Palatino Linotype" w:hAnsi="Palatino Linotype"/>
          <w:b/>
          <w:color w:val="000000" w:themeColor="text1"/>
        </w:rPr>
        <w:t>August</w:t>
      </w:r>
      <w:r w:rsidRPr="00371718">
        <w:rPr>
          <w:rFonts w:ascii="Palatino Linotype" w:hAnsi="Palatino Linotype"/>
          <w:b/>
          <w:color w:val="000000" w:themeColor="text1"/>
        </w:rPr>
        <w:t xml:space="preserve"> </w:t>
      </w:r>
      <w:r>
        <w:rPr>
          <w:rFonts w:ascii="Palatino Linotype" w:hAnsi="Palatino Linotype"/>
          <w:b/>
          <w:color w:val="000000" w:themeColor="text1"/>
        </w:rPr>
        <w:t>18</w:t>
      </w:r>
      <w:r w:rsidRPr="00371718">
        <w:rPr>
          <w:rFonts w:ascii="Palatino Linotype" w:hAnsi="Palatino Linotype"/>
          <w:b/>
          <w:color w:val="000000" w:themeColor="text1"/>
        </w:rPr>
        <w:t>, 2020</w:t>
      </w:r>
    </w:p>
    <w:p w14:paraId="25ED4801" w14:textId="77777777" w:rsidR="00550AAC" w:rsidRPr="00371718" w:rsidRDefault="00550AAC" w:rsidP="00550AAC">
      <w:pPr>
        <w:shd w:val="clear" w:color="auto" w:fill="FFFFFF"/>
        <w:spacing w:line="276" w:lineRule="auto"/>
        <w:jc w:val="both"/>
        <w:rPr>
          <w:rFonts w:ascii="Palatino Linotype" w:hAnsi="Palatino Linotype"/>
          <w:color w:val="333333"/>
          <w:sz w:val="18"/>
          <w:szCs w:val="18"/>
        </w:rPr>
      </w:pPr>
    </w:p>
    <w:p w14:paraId="1AF01D57" w14:textId="77777777" w:rsidR="00550AAC" w:rsidRPr="00371718" w:rsidRDefault="00550AAC" w:rsidP="00550AAC">
      <w:pPr>
        <w:spacing w:line="276" w:lineRule="auto"/>
        <w:jc w:val="both"/>
        <w:rPr>
          <w:rFonts w:ascii="Palatino Linotype" w:hAnsi="Palatino Linotype"/>
          <w:b/>
          <w:color w:val="000000" w:themeColor="text1"/>
        </w:rPr>
      </w:pPr>
      <w:r>
        <w:rPr>
          <w:rFonts w:ascii="Palatino Linotype" w:hAnsi="Palatino Linotype"/>
          <w:b/>
          <w:color w:val="000000" w:themeColor="text1"/>
        </w:rPr>
        <w:t>8.</w:t>
      </w:r>
      <w:r>
        <w:rPr>
          <w:rFonts w:ascii="Palatino Linotype" w:hAnsi="Palatino Linotype"/>
          <w:b/>
          <w:color w:val="000000" w:themeColor="text1"/>
        </w:rPr>
        <w:tab/>
      </w:r>
      <w:r w:rsidRPr="00465C45">
        <w:rPr>
          <w:rFonts w:ascii="Palatino Linotype" w:hAnsi="Palatino Linotype"/>
          <w:b/>
          <w:color w:val="000000" w:themeColor="text1"/>
        </w:rPr>
        <w:t>Securities and Exchange Board of India (International Financial Services Centres) Guidelines, 2015- Amendments</w:t>
      </w:r>
    </w:p>
    <w:p w14:paraId="08A25752"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56FC878E" w14:textId="77AACD3B" w:rsidR="00550AAC" w:rsidRDefault="00345A4F" w:rsidP="00550AAC">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t>G</w:t>
      </w:r>
      <w:r w:rsidR="00550AAC" w:rsidRPr="00465C45">
        <w:rPr>
          <w:rFonts w:ascii="Palatino Linotype" w:hAnsi="Palatino Linotype"/>
          <w:color w:val="000000" w:themeColor="text1"/>
        </w:rPr>
        <w:t xml:space="preserve">uidelines </w:t>
      </w:r>
      <w:r w:rsidR="00550AAC">
        <w:rPr>
          <w:rFonts w:ascii="Palatino Linotype" w:hAnsi="Palatino Linotype"/>
          <w:color w:val="000000" w:themeColor="text1"/>
        </w:rPr>
        <w:t>o</w:t>
      </w:r>
      <w:r w:rsidR="00550AAC" w:rsidRPr="00465C45">
        <w:rPr>
          <w:rFonts w:ascii="Palatino Linotype" w:hAnsi="Palatino Linotype"/>
          <w:color w:val="000000" w:themeColor="text1"/>
        </w:rPr>
        <w:t>n reporting of statement of accounts for entities listing their debt securities in International Financial Services Centre (IFSC)</w:t>
      </w:r>
      <w:r w:rsidR="00227EA4">
        <w:rPr>
          <w:rFonts w:ascii="Palatino Linotype" w:hAnsi="Palatino Linotype"/>
          <w:color w:val="000000" w:themeColor="text1"/>
        </w:rPr>
        <w:t xml:space="preserve"> were amended</w:t>
      </w:r>
      <w:r w:rsidR="00550AAC" w:rsidRPr="00465C45">
        <w:rPr>
          <w:rFonts w:ascii="Palatino Linotype" w:hAnsi="Palatino Linotype"/>
          <w:color w:val="000000" w:themeColor="text1"/>
        </w:rPr>
        <w:t>in an effort to further streamlines the operations.</w:t>
      </w:r>
      <w:r w:rsidR="00550AAC">
        <w:rPr>
          <w:rFonts w:ascii="Palatino Linotype" w:hAnsi="Palatino Linotype"/>
          <w:color w:val="000000" w:themeColor="text1"/>
        </w:rPr>
        <w:t xml:space="preserve">  </w:t>
      </w:r>
    </w:p>
    <w:p w14:paraId="30E93737"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7DF810A5" w14:textId="6E904372" w:rsidR="00550AAC" w:rsidRPr="009E0B82" w:rsidRDefault="00345A4F" w:rsidP="005537D2">
      <w:pPr>
        <w:autoSpaceDE w:val="0"/>
        <w:autoSpaceDN w:val="0"/>
        <w:adjustRightInd w:val="0"/>
        <w:jc w:val="both"/>
        <w:rPr>
          <w:rFonts w:ascii="Palatino Linotype" w:hAnsi="Palatino Linotype"/>
          <w:color w:val="000000" w:themeColor="text1"/>
        </w:rPr>
      </w:pPr>
      <w:r>
        <w:rPr>
          <w:rFonts w:ascii="Palatino Linotype" w:hAnsi="Palatino Linotype"/>
          <w:color w:val="000000" w:themeColor="text1"/>
        </w:rPr>
        <w:t>The e</w:t>
      </w:r>
      <w:r w:rsidR="00550AAC" w:rsidRPr="009E0B82">
        <w:rPr>
          <w:rFonts w:ascii="Palatino Linotype" w:hAnsi="Palatino Linotype"/>
          <w:color w:val="000000" w:themeColor="text1"/>
        </w:rPr>
        <w:t xml:space="preserve">ntities listing their debt securities in IFSC </w:t>
      </w:r>
      <w:r w:rsidR="00227EA4">
        <w:rPr>
          <w:rFonts w:ascii="Palatino Linotype" w:hAnsi="Palatino Linotype"/>
          <w:color w:val="000000" w:themeColor="text1"/>
        </w:rPr>
        <w:t>were directed to</w:t>
      </w:r>
      <w:r w:rsidR="00550AAC" w:rsidRPr="009E0B82">
        <w:rPr>
          <w:rFonts w:ascii="Palatino Linotype" w:hAnsi="Palatino Linotype"/>
          <w:color w:val="000000" w:themeColor="text1"/>
        </w:rPr>
        <w:t xml:space="preserve"> prepare their statement of accounts in accordance with International Financial Reporting Standards (IFRS) or US GAAP (Generally Accepted Accounting Principles) or Indian accounting standards (IND-AS) or as applicable in the place of their incorporation, and incorporate it in the relevant disclosure documents to be filed with the exchange.</w:t>
      </w:r>
      <w:r w:rsidR="005537D2">
        <w:rPr>
          <w:rFonts w:ascii="Palatino Linotype" w:hAnsi="Palatino Linotype"/>
          <w:color w:val="000000" w:themeColor="text1"/>
        </w:rPr>
        <w:t xml:space="preserve"> </w:t>
      </w:r>
      <w:r w:rsidR="005537D2" w:rsidRPr="005537D2">
        <w:rPr>
          <w:rFonts w:ascii="Palatino Linotype" w:hAnsi="Palatino Linotype"/>
          <w:color w:val="000000" w:themeColor="text1"/>
        </w:rPr>
        <w:t>In case an entity does</w:t>
      </w:r>
      <w:r w:rsidR="005537D2">
        <w:rPr>
          <w:rFonts w:ascii="Palatino Linotype" w:hAnsi="Palatino Linotype"/>
          <w:color w:val="000000" w:themeColor="text1"/>
        </w:rPr>
        <w:t xml:space="preserve"> </w:t>
      </w:r>
      <w:r w:rsidR="005537D2" w:rsidRPr="005537D2">
        <w:rPr>
          <w:rFonts w:ascii="Palatino Linotype" w:hAnsi="Palatino Linotype"/>
          <w:color w:val="000000" w:themeColor="text1"/>
        </w:rPr>
        <w:t>not prepare its statement of accounts in accordance with IFRS/ US GAAP/ IND AS,</w:t>
      </w:r>
      <w:r w:rsidR="005537D2">
        <w:rPr>
          <w:rFonts w:ascii="Palatino Linotype" w:hAnsi="Palatino Linotype"/>
          <w:color w:val="000000" w:themeColor="text1"/>
        </w:rPr>
        <w:t xml:space="preserve"> </w:t>
      </w:r>
      <w:r w:rsidR="005537D2" w:rsidRPr="005537D2">
        <w:rPr>
          <w:rFonts w:ascii="Palatino Linotype" w:hAnsi="Palatino Linotype"/>
          <w:color w:val="000000" w:themeColor="text1"/>
        </w:rPr>
        <w:t xml:space="preserve">a quantitative summary of significant </w:t>
      </w:r>
      <w:r w:rsidR="005537D2" w:rsidRPr="005537D2">
        <w:rPr>
          <w:rFonts w:ascii="Palatino Linotype" w:hAnsi="Palatino Linotype"/>
          <w:color w:val="000000" w:themeColor="text1"/>
        </w:rPr>
        <w:lastRenderedPageBreak/>
        <w:t>differences between national accounting</w:t>
      </w:r>
      <w:r w:rsidR="005537D2">
        <w:rPr>
          <w:rFonts w:ascii="Palatino Linotype" w:hAnsi="Palatino Linotype"/>
          <w:color w:val="000000" w:themeColor="text1"/>
        </w:rPr>
        <w:t xml:space="preserve"> </w:t>
      </w:r>
      <w:r w:rsidR="005537D2" w:rsidRPr="005537D2">
        <w:rPr>
          <w:rFonts w:ascii="Palatino Linotype" w:hAnsi="Palatino Linotype"/>
          <w:color w:val="000000" w:themeColor="text1"/>
        </w:rPr>
        <w:t>standards and IFRS shall be prepared by such entity and incorporated in the relevant</w:t>
      </w:r>
      <w:r w:rsidR="005537D2">
        <w:rPr>
          <w:rFonts w:ascii="Palatino Linotype" w:hAnsi="Palatino Linotype"/>
          <w:color w:val="000000" w:themeColor="text1"/>
        </w:rPr>
        <w:t xml:space="preserve"> </w:t>
      </w:r>
      <w:r w:rsidR="005537D2" w:rsidRPr="005537D2">
        <w:rPr>
          <w:rFonts w:ascii="Palatino Linotype" w:hAnsi="Palatino Linotype"/>
          <w:color w:val="000000" w:themeColor="text1"/>
        </w:rPr>
        <w:t>disclosure documents to be filed with the exchange.</w:t>
      </w:r>
    </w:p>
    <w:p w14:paraId="30A377B6" w14:textId="77777777" w:rsidR="00550AAC" w:rsidRPr="009E0B82" w:rsidRDefault="00550AAC" w:rsidP="00550AAC">
      <w:pPr>
        <w:shd w:val="clear" w:color="auto" w:fill="FFFFFF"/>
        <w:spacing w:line="276" w:lineRule="auto"/>
        <w:jc w:val="both"/>
        <w:rPr>
          <w:rFonts w:ascii="Palatino Linotype" w:hAnsi="Palatino Linotype"/>
          <w:color w:val="000000" w:themeColor="text1"/>
        </w:rPr>
      </w:pPr>
    </w:p>
    <w:p w14:paraId="0A345F02"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465C45">
        <w:rPr>
          <w:rFonts w:ascii="Palatino Linotype" w:hAnsi="Palatino Linotype"/>
          <w:b/>
          <w:color w:val="000000" w:themeColor="text1"/>
        </w:rPr>
        <w:t>SEBI/HO/MRD1/DSAP/CIR/P/2020/154</w:t>
      </w:r>
      <w:r>
        <w:rPr>
          <w:rFonts w:ascii="Palatino Linotype" w:hAnsi="Palatino Linotype"/>
          <w:b/>
          <w:color w:val="000000" w:themeColor="text1"/>
        </w:rPr>
        <w:t xml:space="preserve"> </w:t>
      </w:r>
      <w:r w:rsidRPr="00371718">
        <w:rPr>
          <w:rFonts w:ascii="Palatino Linotype" w:hAnsi="Palatino Linotype"/>
          <w:b/>
          <w:color w:val="000000" w:themeColor="text1"/>
        </w:rPr>
        <w:t xml:space="preserve">dated </w:t>
      </w:r>
      <w:r>
        <w:rPr>
          <w:rFonts w:ascii="Palatino Linotype" w:hAnsi="Palatino Linotype"/>
          <w:b/>
          <w:color w:val="000000" w:themeColor="text1"/>
        </w:rPr>
        <w:t>August</w:t>
      </w:r>
      <w:r w:rsidRPr="00371718">
        <w:rPr>
          <w:rFonts w:ascii="Palatino Linotype" w:hAnsi="Palatino Linotype"/>
          <w:b/>
          <w:color w:val="000000" w:themeColor="text1"/>
        </w:rPr>
        <w:t xml:space="preserve"> </w:t>
      </w:r>
      <w:r>
        <w:rPr>
          <w:rFonts w:ascii="Palatino Linotype" w:hAnsi="Palatino Linotype"/>
          <w:b/>
          <w:color w:val="000000" w:themeColor="text1"/>
        </w:rPr>
        <w:t>21</w:t>
      </w:r>
      <w:r w:rsidRPr="00371718">
        <w:rPr>
          <w:rFonts w:ascii="Palatino Linotype" w:hAnsi="Palatino Linotype"/>
          <w:b/>
          <w:color w:val="000000" w:themeColor="text1"/>
        </w:rPr>
        <w:t>, 2020</w:t>
      </w:r>
    </w:p>
    <w:p w14:paraId="162D73B2" w14:textId="77777777" w:rsidR="00550AAC" w:rsidRDefault="00550AAC" w:rsidP="00D01E89">
      <w:pPr>
        <w:jc w:val="both"/>
        <w:rPr>
          <w:rFonts w:ascii="Palatino Linotype" w:hAnsi="Palatino Linotype"/>
          <w:b/>
          <w:bCs/>
        </w:rPr>
      </w:pPr>
    </w:p>
    <w:p w14:paraId="68BC2E55" w14:textId="77777777" w:rsidR="00550AAC" w:rsidRPr="00371718" w:rsidRDefault="00550AAC" w:rsidP="00550AAC">
      <w:pPr>
        <w:spacing w:line="276" w:lineRule="auto"/>
        <w:jc w:val="both"/>
        <w:rPr>
          <w:rFonts w:ascii="Palatino Linotype" w:hAnsi="Palatino Linotype"/>
          <w:b/>
          <w:color w:val="000000" w:themeColor="text1"/>
        </w:rPr>
      </w:pPr>
      <w:r>
        <w:rPr>
          <w:rFonts w:ascii="Palatino Linotype" w:hAnsi="Palatino Linotype"/>
          <w:b/>
          <w:color w:val="000000" w:themeColor="text1"/>
        </w:rPr>
        <w:t>9.</w:t>
      </w:r>
      <w:r>
        <w:rPr>
          <w:rFonts w:ascii="Palatino Linotype" w:hAnsi="Palatino Linotype"/>
          <w:b/>
          <w:color w:val="000000" w:themeColor="text1"/>
        </w:rPr>
        <w:tab/>
      </w:r>
      <w:r w:rsidRPr="00465C45">
        <w:rPr>
          <w:rFonts w:ascii="Palatino Linotype" w:hAnsi="Palatino Linotype"/>
          <w:b/>
          <w:color w:val="000000" w:themeColor="text1"/>
        </w:rPr>
        <w:t>Securities and Exchange Board of India (International Financial Services Centres) Guidelines, 2015 - Amendments</w:t>
      </w:r>
    </w:p>
    <w:p w14:paraId="164A5556"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3CB891A5" w14:textId="38E3470B" w:rsidR="00550AAC" w:rsidRPr="009E0B82" w:rsidRDefault="005537D2" w:rsidP="00550AAC">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t>Based on the consultations of the stakeholders, e</w:t>
      </w:r>
      <w:r w:rsidR="00550AAC" w:rsidRPr="009E0B82">
        <w:rPr>
          <w:rFonts w:ascii="Palatino Linotype" w:hAnsi="Palatino Linotype"/>
          <w:color w:val="000000" w:themeColor="text1"/>
        </w:rPr>
        <w:t>nti</w:t>
      </w:r>
      <w:r w:rsidR="00715C48">
        <w:rPr>
          <w:rFonts w:ascii="Palatino Linotype" w:hAnsi="Palatino Linotype"/>
          <w:color w:val="000000" w:themeColor="text1"/>
        </w:rPr>
        <w:t xml:space="preserve">ties </w:t>
      </w:r>
      <w:r w:rsidR="00550AAC" w:rsidRPr="009E0B82">
        <w:rPr>
          <w:rFonts w:ascii="Palatino Linotype" w:hAnsi="Palatino Linotype"/>
          <w:color w:val="000000" w:themeColor="text1"/>
        </w:rPr>
        <w:t xml:space="preserve">based in India or in a foreign jurisdiction </w:t>
      </w:r>
      <w:r>
        <w:rPr>
          <w:rFonts w:ascii="Palatino Linotype" w:hAnsi="Palatino Linotype"/>
          <w:color w:val="000000" w:themeColor="text1"/>
        </w:rPr>
        <w:t>were allowed to</w:t>
      </w:r>
      <w:r w:rsidRPr="009E0B82">
        <w:rPr>
          <w:rFonts w:ascii="Palatino Linotype" w:hAnsi="Palatino Linotype"/>
          <w:color w:val="000000" w:themeColor="text1"/>
        </w:rPr>
        <w:t xml:space="preserve"> </w:t>
      </w:r>
      <w:r w:rsidR="00550AAC" w:rsidRPr="009E0B82">
        <w:rPr>
          <w:rFonts w:ascii="Palatino Linotype" w:hAnsi="Palatino Linotype"/>
          <w:color w:val="000000" w:themeColor="text1"/>
        </w:rPr>
        <w:t>provide financial services in IFSC, subject to compliance with the applicable regulatory framework</w:t>
      </w:r>
      <w:r>
        <w:rPr>
          <w:rFonts w:ascii="Palatino Linotype" w:hAnsi="Palatino Linotype"/>
          <w:color w:val="000000" w:themeColor="text1"/>
        </w:rPr>
        <w:t>/guidelines for such financial services as specified by SEBI from time to time</w:t>
      </w:r>
      <w:r w:rsidR="00550AAC" w:rsidRPr="009E0B82">
        <w:rPr>
          <w:rFonts w:ascii="Palatino Linotype" w:hAnsi="Palatino Linotype"/>
          <w:color w:val="000000" w:themeColor="text1"/>
        </w:rPr>
        <w:t>.</w:t>
      </w:r>
    </w:p>
    <w:p w14:paraId="0FB832C6" w14:textId="77777777" w:rsidR="00550AAC" w:rsidRPr="009E0B82" w:rsidRDefault="00550AAC" w:rsidP="00550AAC">
      <w:pPr>
        <w:shd w:val="clear" w:color="auto" w:fill="FFFFFF"/>
        <w:spacing w:line="276" w:lineRule="auto"/>
        <w:jc w:val="both"/>
        <w:rPr>
          <w:rFonts w:ascii="Palatino Linotype" w:hAnsi="Palatino Linotype"/>
          <w:color w:val="000000" w:themeColor="text1"/>
        </w:rPr>
      </w:pPr>
    </w:p>
    <w:p w14:paraId="28808284"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465C45">
        <w:rPr>
          <w:rFonts w:ascii="Palatino Linotype" w:hAnsi="Palatino Linotype"/>
          <w:b/>
          <w:color w:val="000000" w:themeColor="text1"/>
        </w:rPr>
        <w:t>SEBI/HO/MRD1/DSAP/CIR/P/2020/15</w:t>
      </w:r>
      <w:r>
        <w:rPr>
          <w:rFonts w:ascii="Palatino Linotype" w:hAnsi="Palatino Linotype"/>
          <w:b/>
          <w:color w:val="000000" w:themeColor="text1"/>
        </w:rPr>
        <w:t xml:space="preserve">5 </w:t>
      </w:r>
      <w:r w:rsidRPr="00371718">
        <w:rPr>
          <w:rFonts w:ascii="Palatino Linotype" w:hAnsi="Palatino Linotype"/>
          <w:b/>
          <w:color w:val="000000" w:themeColor="text1"/>
        </w:rPr>
        <w:t xml:space="preserve">dated </w:t>
      </w:r>
      <w:r>
        <w:rPr>
          <w:rFonts w:ascii="Palatino Linotype" w:hAnsi="Palatino Linotype"/>
          <w:b/>
          <w:color w:val="000000" w:themeColor="text1"/>
        </w:rPr>
        <w:t>August</w:t>
      </w:r>
      <w:r w:rsidRPr="00371718">
        <w:rPr>
          <w:rFonts w:ascii="Palatino Linotype" w:hAnsi="Palatino Linotype"/>
          <w:b/>
          <w:color w:val="000000" w:themeColor="text1"/>
        </w:rPr>
        <w:t xml:space="preserve"> </w:t>
      </w:r>
      <w:r>
        <w:rPr>
          <w:rFonts w:ascii="Palatino Linotype" w:hAnsi="Palatino Linotype"/>
          <w:b/>
          <w:color w:val="000000" w:themeColor="text1"/>
        </w:rPr>
        <w:t>21</w:t>
      </w:r>
      <w:r w:rsidRPr="00371718">
        <w:rPr>
          <w:rFonts w:ascii="Palatino Linotype" w:hAnsi="Palatino Linotype"/>
          <w:b/>
          <w:color w:val="000000" w:themeColor="text1"/>
        </w:rPr>
        <w:t>, 2020</w:t>
      </w:r>
    </w:p>
    <w:p w14:paraId="651BB859" w14:textId="77777777" w:rsidR="00550AAC" w:rsidRDefault="00550AAC" w:rsidP="00D01E89">
      <w:pPr>
        <w:jc w:val="both"/>
        <w:rPr>
          <w:rFonts w:ascii="Palatino Linotype" w:hAnsi="Palatino Linotype"/>
          <w:b/>
          <w:bCs/>
        </w:rPr>
      </w:pPr>
    </w:p>
    <w:p w14:paraId="737C2996" w14:textId="77777777" w:rsidR="00550AAC" w:rsidRDefault="00550AAC" w:rsidP="00D01E89">
      <w:pPr>
        <w:jc w:val="both"/>
        <w:rPr>
          <w:rFonts w:ascii="Palatino Linotype" w:hAnsi="Palatino Linotype"/>
          <w:b/>
          <w:bCs/>
        </w:rPr>
      </w:pPr>
    </w:p>
    <w:p w14:paraId="7D5457F9" w14:textId="77777777" w:rsidR="00550AAC" w:rsidRDefault="00550AAC" w:rsidP="00550AAC">
      <w:pPr>
        <w:shd w:val="clear" w:color="auto" w:fill="FFFFFF"/>
        <w:spacing w:line="276" w:lineRule="auto"/>
        <w:jc w:val="both"/>
        <w:rPr>
          <w:rFonts w:ascii="Palatino Linotype" w:hAnsi="Palatino Linotype"/>
          <w:b/>
          <w:color w:val="000000" w:themeColor="text1"/>
        </w:rPr>
      </w:pPr>
      <w:r>
        <w:rPr>
          <w:rFonts w:ascii="Palatino Linotype" w:hAnsi="Palatino Linotype"/>
          <w:b/>
          <w:color w:val="000000" w:themeColor="text1"/>
        </w:rPr>
        <w:t xml:space="preserve">10. </w:t>
      </w:r>
      <w:r w:rsidRPr="00FD0556">
        <w:rPr>
          <w:rFonts w:ascii="Palatino Linotype" w:hAnsi="Palatino Linotype"/>
          <w:b/>
          <w:color w:val="000000" w:themeColor="text1"/>
        </w:rPr>
        <w:t>Procedural Guidelines for Proxy Advisors’ - Extension of implementation timeline</w:t>
      </w:r>
    </w:p>
    <w:p w14:paraId="27BFEEA9"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09337EF9" w14:textId="057661ED" w:rsidR="00550AAC" w:rsidRDefault="00345A4F" w:rsidP="00550AAC">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t>T</w:t>
      </w:r>
      <w:r w:rsidR="00550AAC">
        <w:rPr>
          <w:rFonts w:ascii="Palatino Linotype" w:hAnsi="Palatino Linotype"/>
          <w:color w:val="000000" w:themeColor="text1"/>
        </w:rPr>
        <w:t>he timeline</w:t>
      </w:r>
      <w:r>
        <w:rPr>
          <w:rFonts w:ascii="Palatino Linotype" w:hAnsi="Palatino Linotype"/>
          <w:color w:val="000000" w:themeColor="text1"/>
        </w:rPr>
        <w:t xml:space="preserve">s </w:t>
      </w:r>
      <w:r w:rsidR="00C852D4">
        <w:rPr>
          <w:rFonts w:ascii="Palatino Linotype" w:hAnsi="Palatino Linotype"/>
          <w:color w:val="000000" w:themeColor="text1"/>
        </w:rPr>
        <w:t>extended for</w:t>
      </w:r>
      <w:r w:rsidR="00550AAC">
        <w:rPr>
          <w:rFonts w:ascii="Palatino Linotype" w:hAnsi="Palatino Linotype"/>
          <w:color w:val="000000" w:themeColor="text1"/>
        </w:rPr>
        <w:t xml:space="preserve"> implementation of procedural guidelines for proxy advisers to January 01, 2021.   The guidelines issued by SEBI on August 03, 2020 were supposed to come into force from September 01, 2020.</w:t>
      </w:r>
    </w:p>
    <w:p w14:paraId="179AC511" w14:textId="77777777" w:rsidR="00550AAC" w:rsidRPr="00465C45" w:rsidRDefault="00550AAC" w:rsidP="00550AAC">
      <w:pPr>
        <w:shd w:val="clear" w:color="auto" w:fill="FFFFFF"/>
        <w:spacing w:line="276" w:lineRule="auto"/>
        <w:jc w:val="both"/>
        <w:rPr>
          <w:rFonts w:ascii="Palatino Linotype" w:hAnsi="Palatino Linotype"/>
          <w:color w:val="000000" w:themeColor="text1"/>
        </w:rPr>
      </w:pPr>
    </w:p>
    <w:p w14:paraId="2786CFE7"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FD0556">
        <w:rPr>
          <w:rFonts w:ascii="Palatino Linotype" w:hAnsi="Palatino Linotype"/>
          <w:b/>
          <w:color w:val="000000" w:themeColor="text1"/>
        </w:rPr>
        <w:t>SEBI/HO/IMD/DF1/CIR/P/2020/157</w:t>
      </w:r>
      <w:r w:rsidRPr="00371718">
        <w:rPr>
          <w:rFonts w:ascii="Palatino Linotype" w:hAnsi="Palatino Linotype"/>
          <w:b/>
          <w:color w:val="000000" w:themeColor="text1"/>
        </w:rPr>
        <w:t xml:space="preserve"> dated </w:t>
      </w:r>
      <w:r>
        <w:rPr>
          <w:rFonts w:ascii="Palatino Linotype" w:hAnsi="Palatino Linotype"/>
          <w:b/>
          <w:color w:val="000000" w:themeColor="text1"/>
        </w:rPr>
        <w:t>August</w:t>
      </w:r>
      <w:r w:rsidRPr="00371718">
        <w:rPr>
          <w:rFonts w:ascii="Palatino Linotype" w:hAnsi="Palatino Linotype"/>
          <w:b/>
          <w:color w:val="000000" w:themeColor="text1"/>
        </w:rPr>
        <w:t xml:space="preserve"> </w:t>
      </w:r>
      <w:r>
        <w:rPr>
          <w:rFonts w:ascii="Palatino Linotype" w:hAnsi="Palatino Linotype"/>
          <w:b/>
          <w:color w:val="000000" w:themeColor="text1"/>
        </w:rPr>
        <w:t>27</w:t>
      </w:r>
      <w:r w:rsidRPr="00371718">
        <w:rPr>
          <w:rFonts w:ascii="Palatino Linotype" w:hAnsi="Palatino Linotype"/>
          <w:b/>
          <w:color w:val="000000" w:themeColor="text1"/>
        </w:rPr>
        <w:t>, 2020</w:t>
      </w:r>
    </w:p>
    <w:p w14:paraId="79E2A9A1" w14:textId="77777777" w:rsidR="00550AAC" w:rsidRPr="00371718" w:rsidRDefault="00550AAC" w:rsidP="00550AAC">
      <w:pPr>
        <w:shd w:val="clear" w:color="auto" w:fill="FFFFFF"/>
        <w:spacing w:line="276" w:lineRule="auto"/>
        <w:jc w:val="both"/>
        <w:rPr>
          <w:rFonts w:ascii="Palatino Linotype" w:hAnsi="Palatino Linotype"/>
          <w:color w:val="333333"/>
          <w:sz w:val="18"/>
          <w:szCs w:val="18"/>
        </w:rPr>
      </w:pPr>
    </w:p>
    <w:p w14:paraId="07928818" w14:textId="299777F3" w:rsidR="00550AAC" w:rsidRPr="00371718" w:rsidRDefault="00550AAC" w:rsidP="00550AAC">
      <w:pPr>
        <w:spacing w:line="276" w:lineRule="auto"/>
        <w:jc w:val="both"/>
        <w:rPr>
          <w:rFonts w:ascii="Palatino Linotype" w:hAnsi="Palatino Linotype"/>
          <w:b/>
          <w:color w:val="000000" w:themeColor="text1"/>
        </w:rPr>
      </w:pPr>
      <w:r>
        <w:rPr>
          <w:rFonts w:ascii="Palatino Linotype" w:hAnsi="Palatino Linotype"/>
          <w:b/>
          <w:color w:val="000000" w:themeColor="text1"/>
        </w:rPr>
        <w:t>11.</w:t>
      </w:r>
      <w:r>
        <w:rPr>
          <w:rFonts w:ascii="Palatino Linotype" w:hAnsi="Palatino Linotype"/>
          <w:b/>
          <w:color w:val="000000" w:themeColor="text1"/>
        </w:rPr>
        <w:tab/>
      </w:r>
      <w:r w:rsidRPr="00FD0556">
        <w:rPr>
          <w:rFonts w:ascii="Palatino Linotype" w:hAnsi="Palatino Linotype"/>
          <w:b/>
          <w:color w:val="000000" w:themeColor="text1"/>
        </w:rPr>
        <w:t xml:space="preserve">Execution of Power of Attorney by the Client in </w:t>
      </w:r>
      <w:r w:rsidR="005537D2">
        <w:rPr>
          <w:rFonts w:ascii="Palatino Linotype" w:hAnsi="Palatino Linotype"/>
          <w:b/>
          <w:color w:val="000000" w:themeColor="text1"/>
        </w:rPr>
        <w:t>F</w:t>
      </w:r>
      <w:r w:rsidRPr="00FD0556">
        <w:rPr>
          <w:rFonts w:ascii="Palatino Linotype" w:hAnsi="Palatino Linotype"/>
          <w:b/>
          <w:color w:val="000000" w:themeColor="text1"/>
        </w:rPr>
        <w:t>avour of the Stock Broker / Stock Broker and Depository Participant</w:t>
      </w:r>
    </w:p>
    <w:p w14:paraId="1B7BA4E9"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71724E37" w14:textId="50835C31" w:rsidR="00550AAC" w:rsidRDefault="005537D2" w:rsidP="00550AAC">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t>Guidelines</w:t>
      </w:r>
      <w:r w:rsidR="00C852D4">
        <w:rPr>
          <w:rFonts w:ascii="Palatino Linotype" w:hAnsi="Palatino Linotype"/>
          <w:color w:val="000000" w:themeColor="text1"/>
        </w:rPr>
        <w:t xml:space="preserve"> for execution of Power of Attorney (PoA) by client in favour of stock broker/stock broker and depository participant were issued </w:t>
      </w:r>
      <w:r w:rsidR="00550AAC">
        <w:rPr>
          <w:rFonts w:ascii="Palatino Linotype" w:hAnsi="Palatino Linotype"/>
          <w:color w:val="000000" w:themeColor="text1"/>
        </w:rPr>
        <w:t xml:space="preserve">on </w:t>
      </w:r>
      <w:r w:rsidR="00550AAC" w:rsidRPr="00FD0556">
        <w:rPr>
          <w:rFonts w:ascii="Palatino Linotype" w:hAnsi="Palatino Linotype"/>
          <w:color w:val="000000" w:themeColor="text1"/>
        </w:rPr>
        <w:t xml:space="preserve">April </w:t>
      </w:r>
      <w:r w:rsidR="00550AAC">
        <w:rPr>
          <w:rFonts w:ascii="Palatino Linotype" w:hAnsi="Palatino Linotype"/>
          <w:color w:val="000000" w:themeColor="text1"/>
        </w:rPr>
        <w:t xml:space="preserve">23, </w:t>
      </w:r>
      <w:r w:rsidR="00550AAC" w:rsidRPr="00FD0556">
        <w:rPr>
          <w:rFonts w:ascii="Palatino Linotype" w:hAnsi="Palatino Linotype"/>
          <w:color w:val="000000" w:themeColor="text1"/>
        </w:rPr>
        <w:t>2020</w:t>
      </w:r>
      <w:r w:rsidR="00C852D4">
        <w:rPr>
          <w:rFonts w:ascii="Palatino Linotype" w:hAnsi="Palatino Linotype"/>
          <w:color w:val="000000" w:themeColor="text1"/>
        </w:rPr>
        <w:t>. These guidelines were</w:t>
      </w:r>
      <w:r w:rsidR="00345A4F">
        <w:rPr>
          <w:rFonts w:ascii="Palatino Linotype" w:hAnsi="Palatino Linotype"/>
          <w:color w:val="000000" w:themeColor="text1"/>
        </w:rPr>
        <w:t xml:space="preserve"> amended </w:t>
      </w:r>
      <w:r w:rsidR="00550AAC" w:rsidRPr="00FD0556">
        <w:rPr>
          <w:rFonts w:ascii="Palatino Linotype" w:hAnsi="Palatino Linotype"/>
          <w:color w:val="000000" w:themeColor="text1"/>
        </w:rPr>
        <w:t>reiterat</w:t>
      </w:r>
      <w:r w:rsidR="00C852D4">
        <w:rPr>
          <w:rFonts w:ascii="Palatino Linotype" w:hAnsi="Palatino Linotype"/>
          <w:color w:val="000000" w:themeColor="text1"/>
        </w:rPr>
        <w:t xml:space="preserve">ing that </w:t>
      </w:r>
      <w:r w:rsidR="00550AAC" w:rsidRPr="00FD0556">
        <w:rPr>
          <w:rFonts w:ascii="Palatino Linotype" w:hAnsi="Palatino Linotype"/>
          <w:color w:val="000000" w:themeColor="text1"/>
        </w:rPr>
        <w:t xml:space="preserve">that Power of Attorney </w:t>
      </w:r>
      <w:r w:rsidR="00C852D4">
        <w:rPr>
          <w:rFonts w:ascii="Palatino Linotype" w:hAnsi="Palatino Linotype"/>
          <w:color w:val="000000" w:themeColor="text1"/>
        </w:rPr>
        <w:t xml:space="preserve">is </w:t>
      </w:r>
      <w:r w:rsidR="00550AAC" w:rsidRPr="00FD0556">
        <w:rPr>
          <w:rFonts w:ascii="Palatino Linotype" w:hAnsi="Palatino Linotype"/>
          <w:color w:val="000000" w:themeColor="text1"/>
        </w:rPr>
        <w:t xml:space="preserve"> optional for opening of client account by stockbrokers or depository participants. Besides, the Power of Attorney </w:t>
      </w:r>
      <w:r w:rsidR="00C852D4">
        <w:rPr>
          <w:rFonts w:ascii="Palatino Linotype" w:hAnsi="Palatino Linotype"/>
          <w:color w:val="000000" w:themeColor="text1"/>
        </w:rPr>
        <w:t>should</w:t>
      </w:r>
      <w:r w:rsidR="00550AAC" w:rsidRPr="00FD0556">
        <w:rPr>
          <w:rFonts w:ascii="Palatino Linotype" w:hAnsi="Palatino Linotype"/>
          <w:color w:val="000000" w:themeColor="text1"/>
        </w:rPr>
        <w:t xml:space="preserve"> be used for </w:t>
      </w:r>
      <w:r w:rsidR="00C852D4">
        <w:rPr>
          <w:rFonts w:ascii="Palatino Linotype" w:hAnsi="Palatino Linotype"/>
          <w:color w:val="000000" w:themeColor="text1"/>
        </w:rPr>
        <w:t xml:space="preserve">transfer of securities held in the beneficial owner accounts of the client to stock exchanges deliveries/settlement obligations, for </w:t>
      </w:r>
      <w:r w:rsidR="00550AAC" w:rsidRPr="00FD0556">
        <w:rPr>
          <w:rFonts w:ascii="Palatino Linotype" w:hAnsi="Palatino Linotype"/>
          <w:color w:val="000000" w:themeColor="text1"/>
        </w:rPr>
        <w:t>pledging or re-pledging of securities in favo</w:t>
      </w:r>
      <w:r w:rsidR="00345A4F">
        <w:rPr>
          <w:rFonts w:ascii="Palatino Linotype" w:hAnsi="Palatino Linotype"/>
          <w:color w:val="000000" w:themeColor="text1"/>
        </w:rPr>
        <w:t>u</w:t>
      </w:r>
      <w:r w:rsidR="00550AAC" w:rsidRPr="00FD0556">
        <w:rPr>
          <w:rFonts w:ascii="Palatino Linotype" w:hAnsi="Palatino Linotype"/>
          <w:color w:val="000000" w:themeColor="text1"/>
        </w:rPr>
        <w:t>r of trading member or clearing member for the purpose of meeting margin requirements of the clients in connection with the trades executed by the clients on the stock exchange.</w:t>
      </w:r>
    </w:p>
    <w:p w14:paraId="492F9070" w14:textId="77777777" w:rsidR="00550AAC" w:rsidRPr="009E0B82" w:rsidRDefault="00550AAC" w:rsidP="00550AAC">
      <w:pPr>
        <w:shd w:val="clear" w:color="auto" w:fill="FFFFFF"/>
        <w:spacing w:line="276" w:lineRule="auto"/>
        <w:jc w:val="both"/>
        <w:rPr>
          <w:rFonts w:ascii="Palatino Linotype" w:hAnsi="Palatino Linotype"/>
          <w:color w:val="000000" w:themeColor="text1"/>
        </w:rPr>
      </w:pPr>
    </w:p>
    <w:p w14:paraId="40C4E74A"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FD0556">
        <w:rPr>
          <w:rFonts w:ascii="Palatino Linotype" w:hAnsi="Palatino Linotype"/>
          <w:b/>
          <w:color w:val="000000" w:themeColor="text1"/>
        </w:rPr>
        <w:t>SEBI/HO/MIRSD/DOP/CIR/P/2020/158</w:t>
      </w:r>
      <w:r>
        <w:rPr>
          <w:rFonts w:ascii="Palatino Linotype" w:hAnsi="Palatino Linotype"/>
          <w:b/>
          <w:color w:val="000000" w:themeColor="text1"/>
        </w:rPr>
        <w:t xml:space="preserve"> </w:t>
      </w:r>
      <w:r w:rsidRPr="00371718">
        <w:rPr>
          <w:rFonts w:ascii="Palatino Linotype" w:hAnsi="Palatino Linotype"/>
          <w:b/>
          <w:color w:val="000000" w:themeColor="text1"/>
        </w:rPr>
        <w:t xml:space="preserve">dated </w:t>
      </w:r>
      <w:r>
        <w:rPr>
          <w:rFonts w:ascii="Palatino Linotype" w:hAnsi="Palatino Linotype"/>
          <w:b/>
          <w:color w:val="000000" w:themeColor="text1"/>
        </w:rPr>
        <w:t>August</w:t>
      </w:r>
      <w:r w:rsidRPr="00371718">
        <w:rPr>
          <w:rFonts w:ascii="Palatino Linotype" w:hAnsi="Palatino Linotype"/>
          <w:b/>
          <w:color w:val="000000" w:themeColor="text1"/>
        </w:rPr>
        <w:t xml:space="preserve"> </w:t>
      </w:r>
      <w:r>
        <w:rPr>
          <w:rFonts w:ascii="Palatino Linotype" w:hAnsi="Palatino Linotype"/>
          <w:b/>
          <w:color w:val="000000" w:themeColor="text1"/>
        </w:rPr>
        <w:t>27</w:t>
      </w:r>
      <w:r w:rsidRPr="00371718">
        <w:rPr>
          <w:rFonts w:ascii="Palatino Linotype" w:hAnsi="Palatino Linotype"/>
          <w:b/>
          <w:color w:val="000000" w:themeColor="text1"/>
        </w:rPr>
        <w:t>, 2020</w:t>
      </w:r>
    </w:p>
    <w:p w14:paraId="5CE9CA1D"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0FFB9846" w14:textId="3B680789" w:rsidR="00550AAC" w:rsidRPr="00371718" w:rsidRDefault="00550AAC" w:rsidP="00550AAC">
      <w:pPr>
        <w:spacing w:line="276" w:lineRule="auto"/>
        <w:jc w:val="both"/>
        <w:rPr>
          <w:rFonts w:ascii="Palatino Linotype" w:hAnsi="Palatino Linotype"/>
          <w:b/>
          <w:color w:val="000000" w:themeColor="text1"/>
        </w:rPr>
      </w:pPr>
      <w:r>
        <w:rPr>
          <w:rFonts w:ascii="Palatino Linotype" w:hAnsi="Palatino Linotype"/>
          <w:b/>
          <w:color w:val="000000" w:themeColor="text1"/>
        </w:rPr>
        <w:t>12.</w:t>
      </w:r>
      <w:r>
        <w:rPr>
          <w:rFonts w:ascii="Palatino Linotype" w:hAnsi="Palatino Linotype"/>
          <w:b/>
          <w:color w:val="000000" w:themeColor="text1"/>
        </w:rPr>
        <w:tab/>
      </w:r>
      <w:r w:rsidRPr="00FD0556">
        <w:rPr>
          <w:rFonts w:ascii="Palatino Linotype" w:hAnsi="Palatino Linotype"/>
          <w:b/>
          <w:color w:val="000000" w:themeColor="text1"/>
        </w:rPr>
        <w:t xml:space="preserve">‘Grievance Resolution between </w:t>
      </w:r>
      <w:r w:rsidR="00332050">
        <w:rPr>
          <w:rFonts w:ascii="Palatino Linotype" w:hAnsi="Palatino Linotype"/>
          <w:b/>
          <w:color w:val="000000" w:themeColor="text1"/>
        </w:rPr>
        <w:t>L</w:t>
      </w:r>
      <w:r w:rsidRPr="00FD0556">
        <w:rPr>
          <w:rFonts w:ascii="Palatino Linotype" w:hAnsi="Palatino Linotype"/>
          <w:b/>
          <w:color w:val="000000" w:themeColor="text1"/>
        </w:rPr>
        <w:t xml:space="preserve">isted </w:t>
      </w:r>
      <w:r w:rsidR="00332050">
        <w:rPr>
          <w:rFonts w:ascii="Palatino Linotype" w:hAnsi="Palatino Linotype"/>
          <w:b/>
          <w:color w:val="000000" w:themeColor="text1"/>
        </w:rPr>
        <w:t>E</w:t>
      </w:r>
      <w:r w:rsidRPr="00FD0556">
        <w:rPr>
          <w:rFonts w:ascii="Palatino Linotype" w:hAnsi="Palatino Linotype"/>
          <w:b/>
          <w:color w:val="000000" w:themeColor="text1"/>
        </w:rPr>
        <w:t xml:space="preserve">ntities and </w:t>
      </w:r>
      <w:r w:rsidR="00332050">
        <w:rPr>
          <w:rFonts w:ascii="Palatino Linotype" w:hAnsi="Palatino Linotype"/>
          <w:b/>
          <w:color w:val="000000" w:themeColor="text1"/>
        </w:rPr>
        <w:t>P</w:t>
      </w:r>
      <w:r w:rsidRPr="00FD0556">
        <w:rPr>
          <w:rFonts w:ascii="Palatino Linotype" w:hAnsi="Palatino Linotype"/>
          <w:b/>
          <w:color w:val="000000" w:themeColor="text1"/>
        </w:rPr>
        <w:t xml:space="preserve">roxy </w:t>
      </w:r>
      <w:r w:rsidR="00332050">
        <w:rPr>
          <w:rFonts w:ascii="Palatino Linotype" w:hAnsi="Palatino Linotype"/>
          <w:b/>
          <w:color w:val="000000" w:themeColor="text1"/>
        </w:rPr>
        <w:t>A</w:t>
      </w:r>
      <w:r w:rsidRPr="00FD0556">
        <w:rPr>
          <w:rFonts w:ascii="Palatino Linotype" w:hAnsi="Palatino Linotype"/>
          <w:b/>
          <w:color w:val="000000" w:themeColor="text1"/>
        </w:rPr>
        <w:t xml:space="preserve">dvisers’ – Extension of </w:t>
      </w:r>
      <w:r w:rsidR="00332050">
        <w:rPr>
          <w:rFonts w:ascii="Palatino Linotype" w:hAnsi="Palatino Linotype"/>
          <w:b/>
          <w:color w:val="000000" w:themeColor="text1"/>
        </w:rPr>
        <w:t>T</w:t>
      </w:r>
      <w:r w:rsidRPr="00FD0556">
        <w:rPr>
          <w:rFonts w:ascii="Palatino Linotype" w:hAnsi="Palatino Linotype"/>
          <w:b/>
          <w:color w:val="000000" w:themeColor="text1"/>
        </w:rPr>
        <w:t xml:space="preserve">imeline for </w:t>
      </w:r>
      <w:r w:rsidR="00332050">
        <w:rPr>
          <w:rFonts w:ascii="Palatino Linotype" w:hAnsi="Palatino Linotype"/>
          <w:b/>
          <w:color w:val="000000" w:themeColor="text1"/>
        </w:rPr>
        <w:t>I</w:t>
      </w:r>
      <w:r w:rsidRPr="00FD0556">
        <w:rPr>
          <w:rFonts w:ascii="Palatino Linotype" w:hAnsi="Palatino Linotype"/>
          <w:b/>
          <w:color w:val="000000" w:themeColor="text1"/>
        </w:rPr>
        <w:t>mplementation</w:t>
      </w:r>
    </w:p>
    <w:p w14:paraId="420D71D2"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18D46E91" w14:textId="3FD34988" w:rsidR="00550AAC" w:rsidRPr="009E0B82" w:rsidRDefault="00345A4F" w:rsidP="00550AAC">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t>Th</w:t>
      </w:r>
      <w:r w:rsidR="00550AAC" w:rsidRPr="00BE45C2">
        <w:rPr>
          <w:rFonts w:ascii="Palatino Linotype" w:hAnsi="Palatino Linotype"/>
          <w:color w:val="000000" w:themeColor="text1"/>
        </w:rPr>
        <w:t>e timeline</w:t>
      </w:r>
      <w:r>
        <w:rPr>
          <w:rFonts w:ascii="Palatino Linotype" w:hAnsi="Palatino Linotype"/>
          <w:color w:val="000000" w:themeColor="text1"/>
        </w:rPr>
        <w:t>s</w:t>
      </w:r>
      <w:r w:rsidR="00550AAC" w:rsidRPr="00BE45C2">
        <w:rPr>
          <w:rFonts w:ascii="Palatino Linotype" w:hAnsi="Palatino Linotype"/>
          <w:color w:val="000000" w:themeColor="text1"/>
        </w:rPr>
        <w:t xml:space="preserve"> </w:t>
      </w:r>
      <w:r>
        <w:rPr>
          <w:rFonts w:ascii="Palatino Linotype" w:hAnsi="Palatino Linotype"/>
          <w:color w:val="000000" w:themeColor="text1"/>
        </w:rPr>
        <w:t xml:space="preserve">extended </w:t>
      </w:r>
      <w:r w:rsidR="00550AAC" w:rsidRPr="00BE45C2">
        <w:rPr>
          <w:rFonts w:ascii="Palatino Linotype" w:hAnsi="Palatino Linotype"/>
          <w:color w:val="000000" w:themeColor="text1"/>
        </w:rPr>
        <w:t>for implementation of ‘Grievance Resolution between listed entities and proxy advisers’</w:t>
      </w:r>
      <w:r w:rsidR="00550AAC">
        <w:rPr>
          <w:rFonts w:ascii="Palatino Linotype" w:hAnsi="Palatino Linotype"/>
          <w:color w:val="000000" w:themeColor="text1"/>
        </w:rPr>
        <w:t xml:space="preserve"> </w:t>
      </w:r>
      <w:r w:rsidR="00550AAC" w:rsidRPr="00BE45C2">
        <w:rPr>
          <w:rFonts w:ascii="Palatino Linotype" w:hAnsi="Palatino Linotype"/>
          <w:color w:val="000000" w:themeColor="text1"/>
        </w:rPr>
        <w:t xml:space="preserve">to January 01, 2021.   </w:t>
      </w:r>
      <w:r w:rsidR="00332050">
        <w:rPr>
          <w:rFonts w:ascii="Palatino Linotype" w:hAnsi="Palatino Linotype"/>
          <w:color w:val="000000" w:themeColor="text1"/>
        </w:rPr>
        <w:t>Accordingly,</w:t>
      </w:r>
      <w:r w:rsidR="00332050" w:rsidRPr="00BE45C2">
        <w:rPr>
          <w:rFonts w:ascii="Palatino Linotype" w:hAnsi="Palatino Linotype"/>
          <w:color w:val="000000" w:themeColor="text1"/>
        </w:rPr>
        <w:t xml:space="preserve"> </w:t>
      </w:r>
      <w:r w:rsidR="00332050">
        <w:rPr>
          <w:rFonts w:ascii="Palatino Linotype" w:hAnsi="Palatino Linotype"/>
          <w:color w:val="000000" w:themeColor="text1"/>
        </w:rPr>
        <w:t>implementation of grievance resolution between listed entities and proxy advisers was also extended to January 01, 2021.</w:t>
      </w:r>
      <w:r w:rsidR="00550AAC" w:rsidRPr="00BE45C2">
        <w:rPr>
          <w:rFonts w:ascii="Palatino Linotype" w:hAnsi="Palatino Linotype"/>
          <w:color w:val="000000" w:themeColor="text1"/>
        </w:rPr>
        <w:t xml:space="preserve"> </w:t>
      </w:r>
    </w:p>
    <w:p w14:paraId="28A26C05" w14:textId="77777777" w:rsidR="00550AAC" w:rsidRPr="009E0B82" w:rsidRDefault="00550AAC" w:rsidP="00550AAC">
      <w:pPr>
        <w:shd w:val="clear" w:color="auto" w:fill="FFFFFF"/>
        <w:spacing w:line="276" w:lineRule="auto"/>
        <w:jc w:val="both"/>
        <w:rPr>
          <w:rFonts w:ascii="Palatino Linotype" w:hAnsi="Palatino Linotype"/>
          <w:color w:val="000000" w:themeColor="text1"/>
        </w:rPr>
      </w:pPr>
    </w:p>
    <w:p w14:paraId="7A16D042"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FD0556">
        <w:rPr>
          <w:rFonts w:ascii="Palatino Linotype" w:hAnsi="Palatino Linotype"/>
          <w:b/>
          <w:color w:val="000000" w:themeColor="text1"/>
        </w:rPr>
        <w:t>SEBI/HO/CFD/CMD1/CIR/P/2020/159</w:t>
      </w:r>
      <w:r>
        <w:rPr>
          <w:rFonts w:ascii="Palatino Linotype" w:hAnsi="Palatino Linotype"/>
          <w:b/>
          <w:color w:val="000000" w:themeColor="text1"/>
        </w:rPr>
        <w:t xml:space="preserve"> </w:t>
      </w:r>
      <w:r w:rsidRPr="00371718">
        <w:rPr>
          <w:rFonts w:ascii="Palatino Linotype" w:hAnsi="Palatino Linotype"/>
          <w:b/>
          <w:color w:val="000000" w:themeColor="text1"/>
        </w:rPr>
        <w:t xml:space="preserve">dated </w:t>
      </w:r>
      <w:r>
        <w:rPr>
          <w:rFonts w:ascii="Palatino Linotype" w:hAnsi="Palatino Linotype"/>
          <w:b/>
          <w:color w:val="000000" w:themeColor="text1"/>
        </w:rPr>
        <w:t>August</w:t>
      </w:r>
      <w:r w:rsidRPr="00371718">
        <w:rPr>
          <w:rFonts w:ascii="Palatino Linotype" w:hAnsi="Palatino Linotype"/>
          <w:b/>
          <w:color w:val="000000" w:themeColor="text1"/>
        </w:rPr>
        <w:t xml:space="preserve"> </w:t>
      </w:r>
      <w:r>
        <w:rPr>
          <w:rFonts w:ascii="Palatino Linotype" w:hAnsi="Palatino Linotype"/>
          <w:b/>
          <w:color w:val="000000" w:themeColor="text1"/>
        </w:rPr>
        <w:t>27</w:t>
      </w:r>
      <w:r w:rsidRPr="00371718">
        <w:rPr>
          <w:rFonts w:ascii="Palatino Linotype" w:hAnsi="Palatino Linotype"/>
          <w:b/>
          <w:color w:val="000000" w:themeColor="text1"/>
        </w:rPr>
        <w:t>, 2020</w:t>
      </w:r>
    </w:p>
    <w:p w14:paraId="58406903" w14:textId="77777777" w:rsidR="00550AAC" w:rsidRDefault="00550AAC" w:rsidP="00D01E89">
      <w:pPr>
        <w:jc w:val="both"/>
        <w:rPr>
          <w:rFonts w:ascii="Palatino Linotype" w:hAnsi="Palatino Linotype"/>
          <w:b/>
          <w:bCs/>
        </w:rPr>
      </w:pPr>
    </w:p>
    <w:p w14:paraId="3A098DCE" w14:textId="77777777" w:rsidR="00550AAC" w:rsidRDefault="00550AAC" w:rsidP="00D01E89">
      <w:pPr>
        <w:jc w:val="both"/>
        <w:rPr>
          <w:rFonts w:ascii="Palatino Linotype" w:hAnsi="Palatino Linotype"/>
          <w:b/>
          <w:bCs/>
        </w:rPr>
      </w:pPr>
    </w:p>
    <w:p w14:paraId="1B91D907" w14:textId="642BED9B" w:rsidR="00550AAC" w:rsidRDefault="00550AAC" w:rsidP="00550AAC">
      <w:pPr>
        <w:shd w:val="clear" w:color="auto" w:fill="FFFFFF"/>
        <w:spacing w:line="276" w:lineRule="auto"/>
        <w:jc w:val="both"/>
        <w:rPr>
          <w:rFonts w:ascii="Palatino Linotype" w:hAnsi="Palatino Linotype"/>
          <w:b/>
          <w:color w:val="000000" w:themeColor="text1"/>
        </w:rPr>
      </w:pPr>
      <w:r>
        <w:rPr>
          <w:rFonts w:ascii="Palatino Linotype" w:hAnsi="Palatino Linotype"/>
          <w:b/>
          <w:color w:val="000000" w:themeColor="text1"/>
        </w:rPr>
        <w:t xml:space="preserve">13. </w:t>
      </w:r>
      <w:r w:rsidRPr="00537AA1">
        <w:rPr>
          <w:rFonts w:ascii="Palatino Linotype" w:hAnsi="Palatino Linotype"/>
          <w:b/>
          <w:color w:val="000000" w:themeColor="text1"/>
        </w:rPr>
        <w:t xml:space="preserve">Temporary </w:t>
      </w:r>
      <w:r w:rsidR="00332050">
        <w:rPr>
          <w:rFonts w:ascii="Palatino Linotype" w:hAnsi="Palatino Linotype"/>
          <w:b/>
          <w:color w:val="000000" w:themeColor="text1"/>
        </w:rPr>
        <w:t>R</w:t>
      </w:r>
      <w:r w:rsidRPr="00537AA1">
        <w:rPr>
          <w:rFonts w:ascii="Palatino Linotype" w:hAnsi="Palatino Linotype"/>
          <w:b/>
          <w:color w:val="000000" w:themeColor="text1"/>
        </w:rPr>
        <w:t xml:space="preserve">elaxation in </w:t>
      </w:r>
      <w:r w:rsidR="00332050">
        <w:rPr>
          <w:rFonts w:ascii="Palatino Linotype" w:hAnsi="Palatino Linotype"/>
          <w:b/>
          <w:color w:val="000000" w:themeColor="text1"/>
        </w:rPr>
        <w:t>P</w:t>
      </w:r>
      <w:r w:rsidRPr="00537AA1">
        <w:rPr>
          <w:rFonts w:ascii="Palatino Linotype" w:hAnsi="Palatino Linotype"/>
          <w:b/>
          <w:color w:val="000000" w:themeColor="text1"/>
        </w:rPr>
        <w:t xml:space="preserve">rocessing of </w:t>
      </w:r>
      <w:r w:rsidR="00332050">
        <w:rPr>
          <w:rFonts w:ascii="Palatino Linotype" w:hAnsi="Palatino Linotype"/>
          <w:b/>
          <w:color w:val="000000" w:themeColor="text1"/>
        </w:rPr>
        <w:t>d</w:t>
      </w:r>
      <w:r w:rsidRPr="00537AA1">
        <w:rPr>
          <w:rFonts w:ascii="Palatino Linotype" w:hAnsi="Palatino Linotype"/>
          <w:b/>
          <w:color w:val="000000" w:themeColor="text1"/>
        </w:rPr>
        <w:t xml:space="preserve">ocuments </w:t>
      </w:r>
      <w:r w:rsidR="00332050">
        <w:rPr>
          <w:rFonts w:ascii="Palatino Linotype" w:hAnsi="Palatino Linotype"/>
          <w:b/>
          <w:color w:val="000000" w:themeColor="text1"/>
        </w:rPr>
        <w:t>P</w:t>
      </w:r>
      <w:r w:rsidRPr="00537AA1">
        <w:rPr>
          <w:rFonts w:ascii="Palatino Linotype" w:hAnsi="Palatino Linotype"/>
          <w:b/>
          <w:color w:val="000000" w:themeColor="text1"/>
        </w:rPr>
        <w:t>ertaining to FPIs due to COVID-19</w:t>
      </w:r>
    </w:p>
    <w:p w14:paraId="453F9611"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336CF0AE" w14:textId="77777777" w:rsidR="00550AAC" w:rsidRDefault="00550AAC" w:rsidP="00550AAC">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t xml:space="preserve">SEBI extended the relaxations provided to foreign portfolio investors and custodians for processing documents related to new investor registrations, if they belong to jurisdictions still under the lockdown. </w:t>
      </w:r>
    </w:p>
    <w:p w14:paraId="755A0944" w14:textId="77777777" w:rsidR="00550AAC" w:rsidRPr="00465C45" w:rsidRDefault="00550AAC" w:rsidP="00550AAC">
      <w:pPr>
        <w:shd w:val="clear" w:color="auto" w:fill="FFFFFF"/>
        <w:spacing w:line="276" w:lineRule="auto"/>
        <w:jc w:val="both"/>
        <w:rPr>
          <w:rFonts w:ascii="Palatino Linotype" w:hAnsi="Palatino Linotype"/>
          <w:color w:val="000000" w:themeColor="text1"/>
        </w:rPr>
      </w:pPr>
    </w:p>
    <w:p w14:paraId="1A226F8A"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537AA1">
        <w:rPr>
          <w:rFonts w:ascii="Palatino Linotype" w:hAnsi="Palatino Linotype"/>
          <w:b/>
          <w:color w:val="000000" w:themeColor="text1"/>
        </w:rPr>
        <w:t>SEBI/HO/FPI&amp;C/CIR/P/2020/162</w:t>
      </w:r>
      <w:r w:rsidRPr="00371718">
        <w:rPr>
          <w:rFonts w:ascii="Palatino Linotype" w:hAnsi="Palatino Linotype"/>
          <w:b/>
          <w:color w:val="000000" w:themeColor="text1"/>
        </w:rPr>
        <w:t xml:space="preserve"> dated </w:t>
      </w:r>
      <w:r>
        <w:rPr>
          <w:rFonts w:ascii="Palatino Linotype" w:hAnsi="Palatino Linotype"/>
          <w:b/>
          <w:color w:val="000000" w:themeColor="text1"/>
        </w:rPr>
        <w:t>August</w:t>
      </w:r>
      <w:r w:rsidRPr="00371718">
        <w:rPr>
          <w:rFonts w:ascii="Palatino Linotype" w:hAnsi="Palatino Linotype"/>
          <w:b/>
          <w:color w:val="000000" w:themeColor="text1"/>
        </w:rPr>
        <w:t xml:space="preserve"> </w:t>
      </w:r>
      <w:r>
        <w:rPr>
          <w:rFonts w:ascii="Palatino Linotype" w:hAnsi="Palatino Linotype"/>
          <w:b/>
          <w:color w:val="000000" w:themeColor="text1"/>
        </w:rPr>
        <w:t>31</w:t>
      </w:r>
      <w:r w:rsidRPr="00371718">
        <w:rPr>
          <w:rFonts w:ascii="Palatino Linotype" w:hAnsi="Palatino Linotype"/>
          <w:b/>
          <w:color w:val="000000" w:themeColor="text1"/>
        </w:rPr>
        <w:t>, 2020</w:t>
      </w:r>
    </w:p>
    <w:p w14:paraId="361DC219" w14:textId="77777777" w:rsidR="00550AAC" w:rsidRPr="00371718" w:rsidRDefault="00550AAC" w:rsidP="00550AAC">
      <w:pPr>
        <w:shd w:val="clear" w:color="auto" w:fill="FFFFFF"/>
        <w:spacing w:line="276" w:lineRule="auto"/>
        <w:jc w:val="both"/>
        <w:rPr>
          <w:rFonts w:ascii="Palatino Linotype" w:hAnsi="Palatino Linotype"/>
          <w:color w:val="333333"/>
          <w:sz w:val="18"/>
          <w:szCs w:val="18"/>
        </w:rPr>
      </w:pPr>
    </w:p>
    <w:p w14:paraId="2EABFF11" w14:textId="4E57E9B6" w:rsidR="00550AAC" w:rsidRPr="00371718" w:rsidRDefault="00550AAC" w:rsidP="00550AAC">
      <w:pPr>
        <w:spacing w:line="276" w:lineRule="auto"/>
        <w:jc w:val="both"/>
        <w:rPr>
          <w:rFonts w:ascii="Palatino Linotype" w:hAnsi="Palatino Linotype"/>
          <w:b/>
          <w:color w:val="000000" w:themeColor="text1"/>
        </w:rPr>
      </w:pPr>
      <w:r>
        <w:rPr>
          <w:rFonts w:ascii="Palatino Linotype" w:hAnsi="Palatino Linotype"/>
          <w:b/>
          <w:color w:val="000000" w:themeColor="text1"/>
        </w:rPr>
        <w:t>14.</w:t>
      </w:r>
      <w:r>
        <w:rPr>
          <w:rFonts w:ascii="Palatino Linotype" w:hAnsi="Palatino Linotype"/>
          <w:b/>
          <w:color w:val="000000" w:themeColor="text1"/>
        </w:rPr>
        <w:tab/>
      </w:r>
      <w:r w:rsidRPr="00537AA1">
        <w:rPr>
          <w:rFonts w:ascii="Palatino Linotype" w:hAnsi="Palatino Linotype"/>
          <w:b/>
          <w:color w:val="000000" w:themeColor="text1"/>
        </w:rPr>
        <w:t xml:space="preserve">Relaxation from </w:t>
      </w:r>
      <w:r w:rsidR="00332050">
        <w:rPr>
          <w:rFonts w:ascii="Palatino Linotype" w:hAnsi="Palatino Linotype"/>
          <w:b/>
          <w:color w:val="000000" w:themeColor="text1"/>
        </w:rPr>
        <w:t>D</w:t>
      </w:r>
      <w:r w:rsidRPr="00537AA1">
        <w:rPr>
          <w:rFonts w:ascii="Palatino Linotype" w:hAnsi="Palatino Linotype"/>
          <w:b/>
          <w:color w:val="000000" w:themeColor="text1"/>
        </w:rPr>
        <w:t xml:space="preserve">efault </w:t>
      </w:r>
      <w:r w:rsidR="00332050">
        <w:rPr>
          <w:rFonts w:ascii="Palatino Linotype" w:hAnsi="Palatino Linotype"/>
          <w:b/>
          <w:color w:val="000000" w:themeColor="text1"/>
        </w:rPr>
        <w:t>R</w:t>
      </w:r>
      <w:r w:rsidRPr="00537AA1">
        <w:rPr>
          <w:rFonts w:ascii="Palatino Linotype" w:hAnsi="Palatino Linotype"/>
          <w:b/>
          <w:color w:val="000000" w:themeColor="text1"/>
        </w:rPr>
        <w:t xml:space="preserve">ecognition due to </w:t>
      </w:r>
      <w:r w:rsidR="00332050">
        <w:rPr>
          <w:rFonts w:ascii="Palatino Linotype" w:hAnsi="Palatino Linotype"/>
          <w:b/>
          <w:color w:val="000000" w:themeColor="text1"/>
        </w:rPr>
        <w:t>R</w:t>
      </w:r>
      <w:r w:rsidRPr="00537AA1">
        <w:rPr>
          <w:rFonts w:ascii="Palatino Linotype" w:hAnsi="Palatino Linotype"/>
          <w:b/>
          <w:color w:val="000000" w:themeColor="text1"/>
        </w:rPr>
        <w:t xml:space="preserve">estructuring of </w:t>
      </w:r>
      <w:r w:rsidR="00332050">
        <w:rPr>
          <w:rFonts w:ascii="Palatino Linotype" w:hAnsi="Palatino Linotype"/>
          <w:b/>
          <w:color w:val="000000" w:themeColor="text1"/>
        </w:rPr>
        <w:t>D</w:t>
      </w:r>
      <w:r w:rsidRPr="00537AA1">
        <w:rPr>
          <w:rFonts w:ascii="Palatino Linotype" w:hAnsi="Palatino Linotype"/>
          <w:b/>
          <w:color w:val="000000" w:themeColor="text1"/>
        </w:rPr>
        <w:t>ebt</w:t>
      </w:r>
    </w:p>
    <w:p w14:paraId="1764FBAE" w14:textId="77777777" w:rsidR="00550AAC" w:rsidRDefault="00550AAC" w:rsidP="00550AAC">
      <w:pPr>
        <w:shd w:val="clear" w:color="auto" w:fill="FFFFFF"/>
        <w:spacing w:line="276" w:lineRule="auto"/>
        <w:jc w:val="both"/>
        <w:rPr>
          <w:rFonts w:ascii="Palatino Linotype" w:hAnsi="Palatino Linotype"/>
          <w:color w:val="000000" w:themeColor="text1"/>
        </w:rPr>
      </w:pPr>
    </w:p>
    <w:p w14:paraId="18180726" w14:textId="77777777" w:rsidR="00550AAC" w:rsidRDefault="00550AAC" w:rsidP="00550AAC">
      <w:pPr>
        <w:shd w:val="clear" w:color="auto" w:fill="FFFFFF"/>
        <w:spacing w:line="276" w:lineRule="auto"/>
        <w:jc w:val="both"/>
        <w:rPr>
          <w:rFonts w:ascii="Palatino Linotype" w:hAnsi="Palatino Linotype"/>
          <w:color w:val="000000" w:themeColor="text1"/>
        </w:rPr>
      </w:pPr>
      <w:r>
        <w:rPr>
          <w:rFonts w:ascii="Palatino Linotype" w:hAnsi="Palatino Linotype"/>
          <w:color w:val="000000" w:themeColor="text1"/>
        </w:rPr>
        <w:t>SEBI</w:t>
      </w:r>
      <w:r w:rsidRPr="00FD0556">
        <w:rPr>
          <w:rFonts w:ascii="Palatino Linotype" w:hAnsi="Palatino Linotype"/>
          <w:color w:val="000000" w:themeColor="text1"/>
        </w:rPr>
        <w:t xml:space="preserve"> </w:t>
      </w:r>
      <w:r>
        <w:rPr>
          <w:rFonts w:ascii="Palatino Linotype" w:hAnsi="Palatino Linotype"/>
          <w:color w:val="000000" w:themeColor="text1"/>
        </w:rPr>
        <w:t>extended the relaxation given for default recognition by credit rating agencies (CRAs) on account of restructuring of debt, till December 31, 2020 and also asked CRAs not to consider as default the restructuring of debt done solely due to COVID-19 related stress by lenders.</w:t>
      </w:r>
    </w:p>
    <w:p w14:paraId="6CD6F479" w14:textId="77777777" w:rsidR="00550AAC" w:rsidRPr="009E0B82" w:rsidRDefault="00550AAC" w:rsidP="00550AAC">
      <w:pPr>
        <w:shd w:val="clear" w:color="auto" w:fill="FFFFFF"/>
        <w:spacing w:line="276" w:lineRule="auto"/>
        <w:jc w:val="both"/>
        <w:rPr>
          <w:rFonts w:ascii="Palatino Linotype" w:hAnsi="Palatino Linotype"/>
          <w:color w:val="000000" w:themeColor="text1"/>
        </w:rPr>
      </w:pPr>
    </w:p>
    <w:p w14:paraId="0D6DC497" w14:textId="77777777" w:rsidR="00550AAC" w:rsidRPr="00371718" w:rsidRDefault="00550AAC" w:rsidP="00550AAC">
      <w:pPr>
        <w:shd w:val="clear" w:color="auto" w:fill="FFFFFF"/>
        <w:spacing w:line="276" w:lineRule="auto"/>
        <w:jc w:val="both"/>
        <w:rPr>
          <w:rFonts w:ascii="Palatino Linotype" w:hAnsi="Palatino Linotype"/>
          <w:b/>
          <w:color w:val="000000" w:themeColor="text1"/>
        </w:rPr>
      </w:pPr>
      <w:r w:rsidRPr="00371718">
        <w:rPr>
          <w:rFonts w:ascii="Palatino Linotype" w:hAnsi="Palatino Linotype"/>
          <w:b/>
          <w:color w:val="000000" w:themeColor="text1"/>
        </w:rPr>
        <w:t xml:space="preserve">Source: </w:t>
      </w:r>
      <w:r w:rsidRPr="00537AA1">
        <w:rPr>
          <w:rFonts w:ascii="Palatino Linotype" w:hAnsi="Palatino Linotype"/>
          <w:b/>
          <w:color w:val="000000" w:themeColor="text1"/>
        </w:rPr>
        <w:t>SEBI/HO/MIRSD/CRADT/CIR/P/2020/160</w:t>
      </w:r>
      <w:r>
        <w:rPr>
          <w:rFonts w:ascii="Palatino Linotype" w:hAnsi="Palatino Linotype"/>
          <w:b/>
          <w:color w:val="000000" w:themeColor="text1"/>
        </w:rPr>
        <w:t xml:space="preserve"> </w:t>
      </w:r>
      <w:r w:rsidRPr="00371718">
        <w:rPr>
          <w:rFonts w:ascii="Palatino Linotype" w:hAnsi="Palatino Linotype"/>
          <w:b/>
          <w:color w:val="000000" w:themeColor="text1"/>
        </w:rPr>
        <w:t xml:space="preserve">dated </w:t>
      </w:r>
      <w:r>
        <w:rPr>
          <w:rFonts w:ascii="Palatino Linotype" w:hAnsi="Palatino Linotype"/>
          <w:b/>
          <w:color w:val="000000" w:themeColor="text1"/>
        </w:rPr>
        <w:t>August</w:t>
      </w:r>
      <w:r w:rsidRPr="00371718">
        <w:rPr>
          <w:rFonts w:ascii="Palatino Linotype" w:hAnsi="Palatino Linotype"/>
          <w:b/>
          <w:color w:val="000000" w:themeColor="text1"/>
        </w:rPr>
        <w:t xml:space="preserve"> </w:t>
      </w:r>
      <w:r>
        <w:rPr>
          <w:rFonts w:ascii="Palatino Linotype" w:hAnsi="Palatino Linotype"/>
          <w:b/>
          <w:color w:val="000000" w:themeColor="text1"/>
        </w:rPr>
        <w:t>31</w:t>
      </w:r>
      <w:r w:rsidRPr="00371718">
        <w:rPr>
          <w:rFonts w:ascii="Palatino Linotype" w:hAnsi="Palatino Linotype"/>
          <w:b/>
          <w:color w:val="000000" w:themeColor="text1"/>
        </w:rPr>
        <w:t>, 2020</w:t>
      </w:r>
    </w:p>
    <w:p w14:paraId="471B876F" w14:textId="77777777" w:rsidR="00550AAC" w:rsidRDefault="00550AAC" w:rsidP="00D01E89">
      <w:pPr>
        <w:jc w:val="both"/>
        <w:rPr>
          <w:rFonts w:ascii="Palatino Linotype" w:hAnsi="Palatino Linotype"/>
          <w:b/>
          <w:bCs/>
        </w:rPr>
      </w:pPr>
    </w:p>
    <w:p w14:paraId="0627781B" w14:textId="77777777" w:rsidR="00CB2742" w:rsidRDefault="00CB2742" w:rsidP="00A428EA">
      <w:pPr>
        <w:jc w:val="both"/>
        <w:rPr>
          <w:rFonts w:ascii="Palatino Linotype" w:hAnsi="Palatino Linotype"/>
          <w:b/>
          <w:bCs/>
        </w:rPr>
      </w:pPr>
    </w:p>
    <w:p w14:paraId="333761ED" w14:textId="77777777" w:rsidR="00A428EA" w:rsidRDefault="00A428EA" w:rsidP="00A428EA">
      <w:pPr>
        <w:jc w:val="both"/>
        <w:rPr>
          <w:rFonts w:ascii="Palatino Linotype" w:hAnsi="Palatino Linotype"/>
          <w:b/>
          <w:bCs/>
        </w:rPr>
      </w:pPr>
    </w:p>
    <w:p w14:paraId="6EB48AD3" w14:textId="77777777" w:rsidR="00321324" w:rsidRPr="00E71481" w:rsidRDefault="00321324" w:rsidP="00321324">
      <w:pPr>
        <w:tabs>
          <w:tab w:val="left" w:pos="8160"/>
        </w:tabs>
        <w:jc w:val="center"/>
        <w:rPr>
          <w:rFonts w:ascii="Palatino Linotype" w:hAnsi="Palatino Linotype"/>
          <w:b/>
          <w:sz w:val="40"/>
          <w:szCs w:val="40"/>
        </w:rPr>
      </w:pPr>
      <w:r w:rsidRPr="00E71481">
        <w:rPr>
          <w:rFonts w:ascii="Palatino Linotype" w:hAnsi="Palatino Linotype"/>
          <w:b/>
          <w:sz w:val="40"/>
          <w:szCs w:val="40"/>
        </w:rPr>
        <w:t>REGULATORY ACTION</w:t>
      </w:r>
      <w:r w:rsidR="005822ED">
        <w:rPr>
          <w:rFonts w:ascii="Palatino Linotype" w:hAnsi="Palatino Linotype"/>
          <w:b/>
          <w:sz w:val="40"/>
          <w:szCs w:val="40"/>
        </w:rPr>
        <w:t>S</w:t>
      </w:r>
      <w:r w:rsidRPr="00E71481">
        <w:rPr>
          <w:rFonts w:ascii="Palatino Linotype" w:hAnsi="Palatino Linotype"/>
          <w:b/>
          <w:sz w:val="40"/>
          <w:szCs w:val="40"/>
        </w:rPr>
        <w:t xml:space="preserve"> TAKEN BY SEBI</w:t>
      </w:r>
    </w:p>
    <w:p w14:paraId="1F3EB6AB" w14:textId="77777777" w:rsidR="00321324" w:rsidRPr="00E71481" w:rsidRDefault="00321324" w:rsidP="00321324">
      <w:pPr>
        <w:rPr>
          <w:rFonts w:ascii="Palatino Linotype" w:hAnsi="Palatino Linotype"/>
          <w:b/>
          <w:sz w:val="40"/>
          <w:szCs w:val="40"/>
        </w:rPr>
      </w:pPr>
    </w:p>
    <w:p w14:paraId="43F274E5" w14:textId="1DADC64F" w:rsidR="00ED7B8B" w:rsidRPr="000E0D86" w:rsidRDefault="00706036"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04, 2020, Top Class Capital Markets Pvt. Ltd. </w:t>
      </w:r>
      <w:r>
        <w:rPr>
          <w:rFonts w:ascii="Palatino Linotype" w:eastAsia="Calibri" w:hAnsi="Palatino Linotype"/>
          <w:color w:val="000000" w:themeColor="text1"/>
          <w:lang w:val="en-US"/>
        </w:rPr>
        <w:t xml:space="preserve">was directed </w:t>
      </w:r>
      <w:r w:rsidR="00ED7B8B" w:rsidRPr="000E0D86">
        <w:rPr>
          <w:rFonts w:ascii="Palatino Linotype" w:eastAsia="Calibri" w:hAnsi="Palatino Linotype"/>
          <w:color w:val="000000" w:themeColor="text1"/>
          <w:lang w:val="en-US"/>
        </w:rPr>
        <w:t xml:space="preserve">to disgorge the illegal gains of Rs. 3,77,89,062/- </w:t>
      </w:r>
      <w:r w:rsidR="00707D06">
        <w:rPr>
          <w:rFonts w:ascii="Palatino Linotype" w:eastAsia="Calibri" w:hAnsi="Palatino Linotype"/>
          <w:color w:val="000000" w:themeColor="text1"/>
          <w:lang w:val="en-US"/>
        </w:rPr>
        <w:t xml:space="preserve">(Three crore seventy seven lakh eighty nine thousand and sixty two only) </w:t>
      </w:r>
      <w:r w:rsidR="00ED7B8B" w:rsidRPr="000E0D86">
        <w:rPr>
          <w:rFonts w:ascii="Palatino Linotype" w:eastAsia="Calibri" w:hAnsi="Palatino Linotype"/>
          <w:color w:val="000000" w:themeColor="text1"/>
          <w:lang w:val="en-US"/>
        </w:rPr>
        <w:t>made by it, along with interest at the rate of 12</w:t>
      </w:r>
      <w:r w:rsidR="00332050">
        <w:rPr>
          <w:rFonts w:ascii="Palatino Linotype" w:eastAsia="Calibri" w:hAnsi="Palatino Linotype"/>
          <w:color w:val="000000" w:themeColor="text1"/>
          <w:lang w:val="en-US"/>
        </w:rPr>
        <w:t xml:space="preserve"> per cent</w:t>
      </w:r>
      <w:r w:rsidR="00ED7B8B" w:rsidRPr="000E0D86">
        <w:rPr>
          <w:rFonts w:ascii="Palatino Linotype" w:eastAsia="Calibri" w:hAnsi="Palatino Linotype"/>
          <w:color w:val="000000" w:themeColor="text1"/>
          <w:lang w:val="en-US"/>
        </w:rPr>
        <w:t xml:space="preserve"> per annum from March 04, 2009 till the date of actual payment of disgorgement amount along with interest, within 45 days, and restrained it from accessing the securities market. Top Class Capital Markets Pvt. Ltd. was further prohibited from buying, selling or otherwise dealing in securities, directly or indirectly, or being associated with the securities market in any manner, whatsoever, for a period of one year. </w:t>
      </w:r>
    </w:p>
    <w:p w14:paraId="477B4690"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5F4EE631" w14:textId="77777777" w:rsidR="00ED7B8B" w:rsidRPr="000E0D86" w:rsidRDefault="00706036"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04, 2020, Chetan Yashwant Shukla </w:t>
      </w:r>
      <w:r>
        <w:rPr>
          <w:rFonts w:ascii="Palatino Linotype" w:eastAsia="Calibri" w:hAnsi="Palatino Linotype"/>
          <w:color w:val="000000" w:themeColor="text1"/>
          <w:lang w:val="en-US"/>
        </w:rPr>
        <w:t xml:space="preserve">was directed </w:t>
      </w:r>
      <w:r w:rsidR="00ED7B8B" w:rsidRPr="000E0D86">
        <w:rPr>
          <w:rFonts w:ascii="Palatino Linotype" w:eastAsia="Calibri" w:hAnsi="Palatino Linotype"/>
          <w:color w:val="000000" w:themeColor="text1"/>
          <w:lang w:val="en-US"/>
        </w:rPr>
        <w:t xml:space="preserve">to cease and desist from acting as an investment advisor and cease to solicit or undertake such </w:t>
      </w:r>
      <w:r w:rsidR="00ED7B8B" w:rsidRPr="000E0D86">
        <w:rPr>
          <w:rFonts w:ascii="Palatino Linotype" w:eastAsia="Calibri" w:hAnsi="Palatino Linotype"/>
          <w:color w:val="000000" w:themeColor="text1"/>
          <w:lang w:val="en-US"/>
        </w:rPr>
        <w:lastRenderedPageBreak/>
        <w:t>activity or any other activities in the securities market, directly or indirectly, in any matter whatsoever until further orders and not to access the securities market and buy, sell or otherwise deal in securities. He was further directed to not to alienate any assets, movable or immovable, and immediately withdraw and remove all advertisements, representations, literatures, brochures, materials, publications, documents, websites, etc. in relation to their investment advisory and or any other unregistered activity in the securities market.</w:t>
      </w:r>
    </w:p>
    <w:p w14:paraId="70E1C482"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203C9FD9" w14:textId="77777777" w:rsidR="00ED7B8B" w:rsidRDefault="00706036"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04, 2020, Fortunescript Services Private Limited and its directors </w:t>
      </w:r>
      <w:r>
        <w:rPr>
          <w:rFonts w:ascii="Palatino Linotype" w:eastAsia="Calibri" w:hAnsi="Palatino Linotype"/>
          <w:color w:val="000000" w:themeColor="text1"/>
          <w:lang w:val="en-US"/>
        </w:rPr>
        <w:t xml:space="preserve">were directed </w:t>
      </w:r>
      <w:r w:rsidR="00ED7B8B" w:rsidRPr="000E0D86">
        <w:rPr>
          <w:rFonts w:ascii="Palatino Linotype" w:eastAsia="Calibri" w:hAnsi="Palatino Linotype"/>
          <w:color w:val="000000" w:themeColor="text1"/>
          <w:lang w:val="en-US"/>
        </w:rPr>
        <w:t xml:space="preserve">to cease and desist from acting as an investment advisor including the activity of acting and representing through any media (physical or digital) as an investment advisor, directly or indirectly, and cease to solicit or undertake such activity or any other activities in the securities market, directly or indirectly, and not to access the securities market and buy, sell or otherwise deal in securities in any matter whatsoever, until further orders, in the matter of Fortune Services Private Limited. </w:t>
      </w:r>
    </w:p>
    <w:p w14:paraId="50CCFB9B"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62DD56DA" w14:textId="77777777" w:rsidR="00ED7B8B" w:rsidRPr="000E0D86" w:rsidRDefault="00706036"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04, 2020, Global Portfolio Management and its proprietor Imran Khan </w:t>
      </w:r>
      <w:r>
        <w:rPr>
          <w:rFonts w:ascii="Palatino Linotype" w:eastAsia="Calibri" w:hAnsi="Palatino Linotype"/>
          <w:color w:val="000000" w:themeColor="text1"/>
          <w:lang w:val="en-US"/>
        </w:rPr>
        <w:t xml:space="preserve">were directed </w:t>
      </w:r>
      <w:r w:rsidR="00ED7B8B" w:rsidRPr="000E0D86">
        <w:rPr>
          <w:rFonts w:ascii="Palatino Linotype" w:eastAsia="Calibri" w:hAnsi="Palatino Linotype"/>
          <w:color w:val="000000" w:themeColor="text1"/>
          <w:lang w:val="en-US"/>
        </w:rPr>
        <w:t>to cease and desist from acting as an investment advisor including the activity of acting and representing through any media (physical or digital) as an investment advisor, directly or indirectly, and cease to solicit or undertake such activity or any other activities in the securities market, directly or indirectly and not to divert any funds collected from investors, kept in bank account(s) and/or in their custody until further orders, in the matter of Global Portfolio Management.</w:t>
      </w:r>
    </w:p>
    <w:p w14:paraId="6059D876"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71D21CF4" w14:textId="77777777" w:rsidR="00ED7B8B" w:rsidRPr="000E0D86" w:rsidRDefault="00706036"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12, 2020, National Steel &amp; Agro Industries Ltd. and others </w:t>
      </w:r>
      <w:r>
        <w:rPr>
          <w:rFonts w:ascii="Palatino Linotype" w:eastAsia="Calibri" w:hAnsi="Palatino Linotype"/>
          <w:color w:val="000000" w:themeColor="text1"/>
          <w:lang w:val="en-US"/>
        </w:rPr>
        <w:t xml:space="preserve">were warned </w:t>
      </w:r>
      <w:r w:rsidR="00ED7B8B" w:rsidRPr="000E0D86">
        <w:rPr>
          <w:rFonts w:ascii="Palatino Linotype" w:eastAsia="Calibri" w:hAnsi="Palatino Linotype"/>
          <w:color w:val="000000" w:themeColor="text1"/>
          <w:lang w:val="en-US"/>
        </w:rPr>
        <w:t>to be careful in all their future dealings in the securities market and ensure that the same are done strictly in accordance with law, in the matter of trading activities of certain entities in Castor Seeds at NCDEX.</w:t>
      </w:r>
    </w:p>
    <w:p w14:paraId="24ADA0AC"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33F9ACD8" w14:textId="77777777" w:rsidR="00ED7B8B" w:rsidRPr="000E0D86" w:rsidRDefault="00706036"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18, 2020, the penalty amount </w:t>
      </w:r>
      <w:r>
        <w:rPr>
          <w:rFonts w:ascii="Palatino Linotype" w:eastAsia="Calibri" w:hAnsi="Palatino Linotype"/>
          <w:color w:val="000000" w:themeColor="text1"/>
          <w:lang w:val="en-US"/>
        </w:rPr>
        <w:t xml:space="preserve">enhanced </w:t>
      </w:r>
      <w:r w:rsidR="00ED7B8B" w:rsidRPr="000E0D86">
        <w:rPr>
          <w:rFonts w:ascii="Palatino Linotype" w:eastAsia="Calibri" w:hAnsi="Palatino Linotype"/>
          <w:color w:val="000000" w:themeColor="text1"/>
          <w:lang w:val="en-US"/>
        </w:rPr>
        <w:t>from Three lakh rupees (imposed through an Adjudication Order dated February 26, 2020) to Five lakh rupees on Ashok Kumar Damani for violation of Regulations 3(a),  (b),  (c),  (d),  4(1)  and  4(2)(a)  of SEBI PFUTP  Regulations, in the matter of illiquid stock options at BSE.</w:t>
      </w:r>
    </w:p>
    <w:p w14:paraId="0C68A374"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25534979" w14:textId="77777777" w:rsidR="00ED7B8B" w:rsidRDefault="00706036"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24, 2020, the certificate  of  registration  of  Corporate Strategic Allianz Ltd, </w:t>
      </w:r>
      <w:r w:rsidR="00135EF6">
        <w:rPr>
          <w:rFonts w:ascii="Palatino Linotype" w:eastAsia="Calibri" w:hAnsi="Palatino Linotype"/>
          <w:color w:val="000000" w:themeColor="text1"/>
          <w:lang w:val="en-US"/>
        </w:rPr>
        <w:t xml:space="preserve">was suspended with immediate effect </w:t>
      </w:r>
      <w:r w:rsidR="00ED7B8B" w:rsidRPr="000E0D86">
        <w:rPr>
          <w:rFonts w:ascii="Palatino Linotype" w:eastAsia="Calibri" w:hAnsi="Palatino Linotype"/>
          <w:color w:val="000000" w:themeColor="text1"/>
          <w:lang w:val="en-US"/>
        </w:rPr>
        <w:t xml:space="preserve">as  a merchant banker, for non-compliance with the conditions of registration as mandated under Regulation 9A(1)(e) read with Regulation 6(gg) of the Merchant Bankers Regulations and Section 12(1) of </w:t>
      </w:r>
      <w:r w:rsidR="00ED7B8B" w:rsidRPr="000E0D86">
        <w:rPr>
          <w:rFonts w:ascii="Palatino Linotype" w:eastAsia="Calibri" w:hAnsi="Palatino Linotype"/>
          <w:color w:val="000000" w:themeColor="text1"/>
          <w:lang w:val="en-US"/>
        </w:rPr>
        <w:lastRenderedPageBreak/>
        <w:t>the SEBI Act. It further added that such  suspension shall  continue till the end of one year from the  date  of actual receipt by  SEBI of  the  disgorgement  amount  along  with  due interest, in full, which the Corporate Strategic Allianz Ltd is liable to pay as per the direction of SEBI order dated August 12, 2016.</w:t>
      </w:r>
    </w:p>
    <w:p w14:paraId="07366081" w14:textId="77777777" w:rsidR="000E0D86" w:rsidRDefault="000E0D86" w:rsidP="000E0D86">
      <w:pPr>
        <w:pStyle w:val="ListParagraph"/>
        <w:rPr>
          <w:rFonts w:ascii="Palatino Linotype" w:hAnsi="Palatino Linotype"/>
          <w:color w:val="000000" w:themeColor="text1"/>
        </w:rPr>
      </w:pPr>
    </w:p>
    <w:p w14:paraId="4C20FB85" w14:textId="77777777" w:rsidR="000E0D86" w:rsidRPr="000E0D86" w:rsidRDefault="00135EF6"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0E0D86" w:rsidRPr="000E0D86">
        <w:rPr>
          <w:rFonts w:ascii="Palatino Linotype" w:eastAsia="Calibri" w:hAnsi="Palatino Linotype"/>
          <w:color w:val="000000" w:themeColor="text1"/>
          <w:lang w:val="en-US"/>
        </w:rPr>
        <w:t xml:space="preserve">ide order dated August 31, 2020, Chetan Dogra and Chetan Dogra HUF </w:t>
      </w:r>
      <w:r>
        <w:rPr>
          <w:rFonts w:ascii="Palatino Linotype" w:eastAsia="Calibri" w:hAnsi="Palatino Linotype"/>
          <w:color w:val="000000" w:themeColor="text1"/>
          <w:lang w:val="en-US"/>
        </w:rPr>
        <w:t xml:space="preserve">was restrained </w:t>
      </w:r>
      <w:r w:rsidR="000E0D86" w:rsidRPr="000E0D86">
        <w:rPr>
          <w:rFonts w:ascii="Palatino Linotype" w:eastAsia="Calibri" w:hAnsi="Palatino Linotype"/>
          <w:color w:val="000000" w:themeColor="text1"/>
          <w:lang w:val="en-US"/>
        </w:rPr>
        <w:t>from accessing the securities market and further prohibited them from buying, selling or otherwise dealing in securities, directly or indirectly, or being associated with the securities market in any manner, for a period of one year and also restrained Shraddha Entertainment Private Limited for a period of six years from the date of this order, in the matter of Urja Global Limited and Sampada Chemicals Limited.</w:t>
      </w:r>
    </w:p>
    <w:p w14:paraId="285E022C"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39861831" w14:textId="77777777" w:rsidR="000E0D86" w:rsidRPr="00135EF6" w:rsidRDefault="00135EF6" w:rsidP="00135EF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0E0D86" w:rsidRPr="000E0D86">
        <w:rPr>
          <w:rFonts w:ascii="Palatino Linotype" w:eastAsia="Calibri" w:hAnsi="Palatino Linotype"/>
          <w:color w:val="000000" w:themeColor="text1"/>
          <w:lang w:val="en-US"/>
        </w:rPr>
        <w:t xml:space="preserve">ide </w:t>
      </w:r>
      <w:r w:rsidR="000E0D86" w:rsidRPr="00135EF6">
        <w:rPr>
          <w:rFonts w:ascii="Palatino Linotype" w:eastAsia="Calibri" w:hAnsi="Palatino Linotype"/>
          <w:color w:val="000000" w:themeColor="text1"/>
          <w:lang w:val="en-US"/>
        </w:rPr>
        <w:t>order dated August 31, 2020, Suryamangal Media Entertainment Limited and others</w:t>
      </w:r>
      <w:r>
        <w:rPr>
          <w:rFonts w:ascii="Palatino Linotype" w:eastAsia="Calibri" w:hAnsi="Palatino Linotype"/>
          <w:color w:val="000000" w:themeColor="text1"/>
          <w:lang w:val="en-US"/>
        </w:rPr>
        <w:t xml:space="preserve"> were debarred </w:t>
      </w:r>
      <w:r w:rsidR="000E0D86" w:rsidRPr="00135EF6">
        <w:rPr>
          <w:rFonts w:ascii="Palatino Linotype" w:eastAsia="Calibri" w:hAnsi="Palatino Linotype"/>
          <w:color w:val="000000" w:themeColor="text1"/>
          <w:lang w:val="en-US"/>
        </w:rPr>
        <w:t>from accessing the securities market and further prohibited from buying, selling or otherwise dealing in securities, directly or indirectly in any manner, for 1 year, Madhuben Babulal Modi and others for 3 months, Omprakash Agarwal HUF and others for 6 months, in the matter of Kelvin Fincap Limited.</w:t>
      </w:r>
    </w:p>
    <w:p w14:paraId="685AF135"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03E45D31" w14:textId="77777777" w:rsidR="000E0D86" w:rsidRPr="00135EF6" w:rsidRDefault="00135EF6" w:rsidP="00135EF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0E0D86" w:rsidRPr="000E0D86">
        <w:rPr>
          <w:rFonts w:ascii="Palatino Linotype" w:eastAsia="Calibri" w:hAnsi="Palatino Linotype"/>
          <w:color w:val="000000" w:themeColor="text1"/>
          <w:lang w:val="en-US"/>
        </w:rPr>
        <w:t xml:space="preserve">ide </w:t>
      </w:r>
      <w:r w:rsidR="000E0D86" w:rsidRPr="00135EF6">
        <w:rPr>
          <w:rFonts w:ascii="Palatino Linotype" w:eastAsia="Calibri" w:hAnsi="Palatino Linotype"/>
          <w:color w:val="000000" w:themeColor="text1"/>
          <w:lang w:val="en-US"/>
        </w:rPr>
        <w:t xml:space="preserve">order dated August 31, 2020, Kelvin Fincap Limited and others </w:t>
      </w:r>
      <w:r>
        <w:rPr>
          <w:rFonts w:ascii="Palatino Linotype" w:eastAsia="Calibri" w:hAnsi="Palatino Linotype"/>
          <w:color w:val="000000" w:themeColor="text1"/>
          <w:lang w:val="en-US"/>
        </w:rPr>
        <w:t xml:space="preserve">were directed </w:t>
      </w:r>
      <w:r w:rsidR="000E0D86" w:rsidRPr="00135EF6">
        <w:rPr>
          <w:rFonts w:ascii="Palatino Linotype" w:eastAsia="Calibri" w:hAnsi="Palatino Linotype"/>
          <w:color w:val="000000" w:themeColor="text1"/>
          <w:lang w:val="en-US"/>
        </w:rPr>
        <w:t>not to access the securities market, directly or indirectly, by issuing prospectus, offer document or advertisement soliciting money from the public for a period of 3 years and are further restrained and prohibited them from buying, selling or otherwise dealing in the securities market, directly or indirectly in whatsoever manner, for a period of 7 years. SEBI also restrained Surekaben K Shah and others from holding post of director, any managerial position or associating themselves in any capacity with any listed public company and any public company which intends to raise money from the public, or any intermediary registered with SEBI for a period of 3 years, in the matter of Kelvin Fincap Limited.</w:t>
      </w:r>
    </w:p>
    <w:p w14:paraId="6AD7D998" w14:textId="77777777" w:rsidR="00C22F62" w:rsidRPr="000E0D86" w:rsidRDefault="00C22F62" w:rsidP="000E0D86">
      <w:pPr>
        <w:spacing w:line="276" w:lineRule="auto"/>
        <w:ind w:left="720"/>
        <w:contextualSpacing/>
        <w:jc w:val="both"/>
        <w:rPr>
          <w:rFonts w:ascii="Palatino Linotype" w:eastAsia="Calibri" w:hAnsi="Palatino Linotype"/>
          <w:color w:val="000000" w:themeColor="text1"/>
          <w:lang w:val="en-US"/>
        </w:rPr>
      </w:pPr>
    </w:p>
    <w:p w14:paraId="75C39048" w14:textId="77777777" w:rsidR="000E0D86" w:rsidRPr="000E0D86" w:rsidRDefault="00135EF6"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0E0D86" w:rsidRPr="000E0D86">
        <w:rPr>
          <w:rFonts w:ascii="Palatino Linotype" w:eastAsia="Calibri" w:hAnsi="Palatino Linotype"/>
          <w:color w:val="000000" w:themeColor="text1"/>
          <w:lang w:val="en-US"/>
        </w:rPr>
        <w:t xml:space="preserve">ide order dated August 31, 2020, a penalty of Rs. 5,00,000/-(Rupees Five Lakh only) </w:t>
      </w:r>
      <w:r>
        <w:rPr>
          <w:rFonts w:ascii="Palatino Linotype" w:eastAsia="Calibri" w:hAnsi="Palatino Linotype"/>
          <w:color w:val="000000" w:themeColor="text1"/>
          <w:lang w:val="en-US"/>
        </w:rPr>
        <w:t xml:space="preserve">imposed </w:t>
      </w:r>
      <w:r w:rsidR="000E0D86" w:rsidRPr="000E0D86">
        <w:rPr>
          <w:rFonts w:ascii="Palatino Linotype" w:eastAsia="Calibri" w:hAnsi="Palatino Linotype"/>
          <w:color w:val="000000" w:themeColor="text1"/>
          <w:lang w:val="en-US"/>
        </w:rPr>
        <w:t>upon Hongkong and Shanghai Banking Corporation Limited, designated depository participant, in the matter of Pathway Finance Societe A Responsabilite Limited, for violation of clause 5.1.4 of operational guidelines of DDP’s issued vide SEBI Circular No. CIR/IMD/FIIC/02/2014 dated January 08, 2014.</w:t>
      </w:r>
    </w:p>
    <w:p w14:paraId="6A8301EE"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3EEDF754" w14:textId="77777777" w:rsidR="000E0D86" w:rsidRPr="000E0D86" w:rsidRDefault="00135EF6"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0E0D86" w:rsidRPr="000E0D86">
        <w:rPr>
          <w:rFonts w:ascii="Palatino Linotype" w:eastAsia="Calibri" w:hAnsi="Palatino Linotype"/>
          <w:color w:val="000000" w:themeColor="text1"/>
          <w:lang w:val="en-US"/>
        </w:rPr>
        <w:t xml:space="preserve">ide order dated August 31, 2020, a penalty of Rs.8,00,000/-(Rupees Eight lakhs only) </w:t>
      </w:r>
      <w:r w:rsidR="00950947">
        <w:rPr>
          <w:rFonts w:ascii="Palatino Linotype" w:eastAsia="Calibri" w:hAnsi="Palatino Linotype"/>
          <w:color w:val="000000" w:themeColor="text1"/>
          <w:lang w:val="en-US"/>
        </w:rPr>
        <w:t xml:space="preserve">imposed </w:t>
      </w:r>
      <w:r w:rsidR="000E0D86" w:rsidRPr="000E0D86">
        <w:rPr>
          <w:rFonts w:ascii="Palatino Linotype" w:eastAsia="Calibri" w:hAnsi="Palatino Linotype"/>
          <w:color w:val="000000" w:themeColor="text1"/>
          <w:lang w:val="en-US"/>
        </w:rPr>
        <w:t xml:space="preserve">on Tanuj Khandelwal in the matter of Malabar Trading Company Ltd, for </w:t>
      </w:r>
      <w:r w:rsidR="000E0D86" w:rsidRPr="000E0D86">
        <w:rPr>
          <w:rFonts w:ascii="Palatino Linotype" w:eastAsia="Calibri" w:hAnsi="Palatino Linotype"/>
          <w:color w:val="000000" w:themeColor="text1"/>
          <w:lang w:val="en-US"/>
        </w:rPr>
        <w:lastRenderedPageBreak/>
        <w:t>violation of the provisions of Regulations 3 (a), (b), (c), (d), 4 (1), (2) (a) and (e) of SEBI (Prohibition of Fraudulent and Unfair Trade Practices relating to the Securities Market) Regulations, 2003. (“PFUTP Regulations”)</w:t>
      </w:r>
    </w:p>
    <w:p w14:paraId="4A36329F"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1C40E730" w14:textId="77777777" w:rsidR="000E0D86"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0E0D86" w:rsidRPr="000E0D86">
        <w:rPr>
          <w:rFonts w:ascii="Palatino Linotype" w:eastAsia="Calibri" w:hAnsi="Palatino Linotype"/>
          <w:color w:val="000000" w:themeColor="text1"/>
          <w:lang w:val="en-US"/>
        </w:rPr>
        <w:t xml:space="preserve">ide order dated August 31, 2020, a penalty of Rs.1,00,000/-(Rupees One lakh only) </w:t>
      </w:r>
      <w:r>
        <w:rPr>
          <w:rFonts w:ascii="Palatino Linotype" w:eastAsia="Calibri" w:hAnsi="Palatino Linotype"/>
          <w:color w:val="000000" w:themeColor="text1"/>
          <w:lang w:val="en-US"/>
        </w:rPr>
        <w:t xml:space="preserve">imposed </w:t>
      </w:r>
      <w:r w:rsidR="000E0D86" w:rsidRPr="000E0D86">
        <w:rPr>
          <w:rFonts w:ascii="Palatino Linotype" w:eastAsia="Calibri" w:hAnsi="Palatino Linotype"/>
          <w:color w:val="000000" w:themeColor="text1"/>
          <w:lang w:val="en-US"/>
        </w:rPr>
        <w:t>on Maxgain Advisory Pvt. Ltd. in the matter of SRK Industries Limited, for the violation of provisions of the SEBI (Prohibition of Insider Trading) Regulations, 2015 (“ PIT Regulations, 1992”), read with regulation 12 of PIT Regulations 2015.</w:t>
      </w:r>
    </w:p>
    <w:p w14:paraId="00F1E5B9"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5B06900B" w14:textId="77777777" w:rsidR="000E0D86"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0E0D86" w:rsidRPr="000E0D86">
        <w:rPr>
          <w:rFonts w:ascii="Palatino Linotype" w:eastAsia="Calibri" w:hAnsi="Palatino Linotype"/>
          <w:color w:val="000000" w:themeColor="text1"/>
          <w:lang w:val="en-US"/>
        </w:rPr>
        <w:t xml:space="preserve">ide order dated August 31, 2020, a total penalty of Rs.2,00,000/- (Rupees Two Lakhs only) </w:t>
      </w:r>
      <w:r>
        <w:rPr>
          <w:rFonts w:ascii="Palatino Linotype" w:eastAsia="Calibri" w:hAnsi="Palatino Linotype"/>
          <w:color w:val="000000" w:themeColor="text1"/>
          <w:lang w:val="en-US"/>
        </w:rPr>
        <w:t xml:space="preserve">imposed </w:t>
      </w:r>
      <w:r w:rsidR="000E0D86" w:rsidRPr="000E0D86">
        <w:rPr>
          <w:rFonts w:ascii="Palatino Linotype" w:eastAsia="Calibri" w:hAnsi="Palatino Linotype"/>
          <w:color w:val="000000" w:themeColor="text1"/>
          <w:lang w:val="en-US"/>
        </w:rPr>
        <w:t>on Kenrich Commodities Private Limited in the matter of inspection of Kenrich Commodities Private Limited, for the violation of various provisions of SEBI circular No. SMD/SED/CIR/93/23321 dated November 18, 1993, SEBI Circular No. SEBI/HO/MIRSD/MIRSD2/CIR/P/2016/95 dated September 26, 2016, SEBI Circular No. SEBI/MIRSD/SE/Cir-19/2009 dated December 03, 2009, SEBI Circular No. SEBI/HO/CDMRD/DRMP/ CIR/P/2016/80 dated September 07, 2016, SEBI Circular No. CIR/MIRSD/66/2016 dated July 21, 2016 read with SEBI Circular No. CIR/MIRSD/120/2016 dated November 10, 2016; SEBI Circular No. CIR/MIRSD/15/2011 dated August 02, 2011.</w:t>
      </w:r>
    </w:p>
    <w:p w14:paraId="25D0EBC9"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5AF251A3" w14:textId="77777777" w:rsidR="000E0D86"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0E0D86" w:rsidRPr="000E0D86">
        <w:rPr>
          <w:rFonts w:ascii="Palatino Linotype" w:eastAsia="Calibri" w:hAnsi="Palatino Linotype"/>
          <w:color w:val="000000" w:themeColor="text1"/>
          <w:lang w:val="en-US"/>
        </w:rPr>
        <w:t xml:space="preserve">ide order dated August 31, 2020, a penalty of Rs.1,00,000/- (Rupees One lakh only) </w:t>
      </w:r>
      <w:r>
        <w:rPr>
          <w:rFonts w:ascii="Palatino Linotype" w:eastAsia="Calibri" w:hAnsi="Palatino Linotype"/>
          <w:color w:val="000000" w:themeColor="text1"/>
          <w:lang w:val="en-US"/>
        </w:rPr>
        <w:t xml:space="preserve">imposed </w:t>
      </w:r>
      <w:r w:rsidR="000E0D86" w:rsidRPr="000E0D86">
        <w:rPr>
          <w:rFonts w:ascii="Palatino Linotype" w:eastAsia="Calibri" w:hAnsi="Palatino Linotype"/>
          <w:color w:val="000000" w:themeColor="text1"/>
          <w:lang w:val="en-US"/>
        </w:rPr>
        <w:t>on Island Media and Entertainment Pvt. Ltd. in the matter of SRK Industries Limited, for the violation of provisions of the PIT Regulations 1992, read with regulation 12 of PIT Regulations 2015.</w:t>
      </w:r>
    </w:p>
    <w:p w14:paraId="1D32CF55"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41489FAF" w14:textId="77777777" w:rsidR="000E0D86"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0E0D86" w:rsidRPr="000E0D86">
        <w:rPr>
          <w:rFonts w:ascii="Palatino Linotype" w:eastAsia="Calibri" w:hAnsi="Palatino Linotype"/>
          <w:color w:val="000000" w:themeColor="text1"/>
          <w:lang w:val="en-US"/>
        </w:rPr>
        <w:t xml:space="preserve">ide order dated August 31, 2020, a penalty of Rs.1,00,000/- (Rupees One Lakh only) </w:t>
      </w:r>
      <w:r>
        <w:rPr>
          <w:rFonts w:ascii="Palatino Linotype" w:eastAsia="Calibri" w:hAnsi="Palatino Linotype"/>
          <w:color w:val="000000" w:themeColor="text1"/>
          <w:lang w:val="en-US"/>
        </w:rPr>
        <w:t xml:space="preserve">imposed </w:t>
      </w:r>
      <w:r w:rsidR="000E0D86" w:rsidRPr="000E0D86">
        <w:rPr>
          <w:rFonts w:ascii="Palatino Linotype" w:eastAsia="Calibri" w:hAnsi="Palatino Linotype"/>
          <w:color w:val="000000" w:themeColor="text1"/>
          <w:lang w:val="en-US"/>
        </w:rPr>
        <w:t>on Geeta Narayanan in the matter of SRK Industries Limited, for the violation of provisions of the PIT Regulations 1992, read with regulation 12 of PIT Regulations 2015.</w:t>
      </w:r>
    </w:p>
    <w:p w14:paraId="1A22D212"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44E1B9AE" w14:textId="77777777" w:rsidR="000E0D86"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0E0D86" w:rsidRPr="000E0D86">
        <w:rPr>
          <w:rFonts w:ascii="Palatino Linotype" w:eastAsia="Calibri" w:hAnsi="Palatino Linotype"/>
          <w:color w:val="000000" w:themeColor="text1"/>
          <w:lang w:val="en-US"/>
        </w:rPr>
        <w:t xml:space="preserve">ide order dated August 31, 2020, a penalty of Rs. 1,00,000/- (Rupees One Lakh only) </w:t>
      </w:r>
      <w:r>
        <w:rPr>
          <w:rFonts w:ascii="Palatino Linotype" w:eastAsia="Calibri" w:hAnsi="Palatino Linotype"/>
          <w:color w:val="000000" w:themeColor="text1"/>
          <w:lang w:val="en-US"/>
        </w:rPr>
        <w:t xml:space="preserve">imposed </w:t>
      </w:r>
      <w:r w:rsidR="000E0D86" w:rsidRPr="000E0D86">
        <w:rPr>
          <w:rFonts w:ascii="Palatino Linotype" w:eastAsia="Calibri" w:hAnsi="Palatino Linotype"/>
          <w:color w:val="000000" w:themeColor="text1"/>
          <w:lang w:val="en-US"/>
        </w:rPr>
        <w:t>on Birendra Kumar Jain in the matter of SRK Industries Limited, for the violation regulation 13 (2A) of the PIT Regulations 1992.</w:t>
      </w:r>
    </w:p>
    <w:p w14:paraId="229D2A72"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02720FEA" w14:textId="77777777" w:rsidR="000E0D86"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0E0D86" w:rsidRPr="000E0D86">
        <w:rPr>
          <w:rFonts w:ascii="Palatino Linotype" w:eastAsia="Calibri" w:hAnsi="Palatino Linotype"/>
          <w:color w:val="000000" w:themeColor="text1"/>
          <w:lang w:val="en-US"/>
        </w:rPr>
        <w:t xml:space="preserve">ide order dated August 31, 2020, a penalty of Rs. 15,00,000/- (Rupees Fifteen Lakhs only) </w:t>
      </w:r>
      <w:r>
        <w:rPr>
          <w:rFonts w:ascii="Palatino Linotype" w:eastAsia="Calibri" w:hAnsi="Palatino Linotype"/>
          <w:color w:val="000000" w:themeColor="text1"/>
          <w:lang w:val="en-US"/>
        </w:rPr>
        <w:t xml:space="preserve">imposed </w:t>
      </w:r>
      <w:r w:rsidR="000E0D86" w:rsidRPr="000E0D86">
        <w:rPr>
          <w:rFonts w:ascii="Palatino Linotype" w:eastAsia="Calibri" w:hAnsi="Palatino Linotype"/>
          <w:color w:val="000000" w:themeColor="text1"/>
          <w:lang w:val="en-US"/>
        </w:rPr>
        <w:t>on Renish Hareshbhai Bhuvain in the matter of circulation of UPSI through WhatsApp messages with respect to HDFC Bank Limited, for violation of Sections 12A(e) of the SEBI Act, 1992 and Regulation 3(1) of PIT Regulations 2015.</w:t>
      </w:r>
    </w:p>
    <w:p w14:paraId="6CD935D5"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63F32490" w14:textId="77777777" w:rsidR="000E0D86"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lastRenderedPageBreak/>
        <w:t>V</w:t>
      </w:r>
      <w:r w:rsidR="000E0D86" w:rsidRPr="000E0D86">
        <w:rPr>
          <w:rFonts w:ascii="Palatino Linotype" w:eastAsia="Calibri" w:hAnsi="Palatino Linotype"/>
          <w:color w:val="000000" w:themeColor="text1"/>
          <w:lang w:val="en-US"/>
        </w:rPr>
        <w:t xml:space="preserve">ide order dated August 31, 2020, a penalty of Rs.10,00,000/- (Rupees Ten Lakh only) </w:t>
      </w:r>
      <w:r>
        <w:rPr>
          <w:rFonts w:ascii="Palatino Linotype" w:eastAsia="Calibri" w:hAnsi="Palatino Linotype"/>
          <w:color w:val="000000" w:themeColor="text1"/>
          <w:lang w:val="en-US"/>
        </w:rPr>
        <w:t xml:space="preserve">imposed </w:t>
      </w:r>
      <w:r w:rsidR="000E0D86" w:rsidRPr="000E0D86">
        <w:rPr>
          <w:rFonts w:ascii="Palatino Linotype" w:eastAsia="Calibri" w:hAnsi="Palatino Linotype"/>
          <w:color w:val="000000" w:themeColor="text1"/>
          <w:lang w:val="en-US"/>
        </w:rPr>
        <w:t xml:space="preserve">on Amtek Auto Limited for violations of provision of regulations 51(1), 51(2) r/w Part B of schedule II (Clause A1, A4, A9), 52 (4), 52 (5), 54 (2), 57 (1) and 60 (2) of SEBI (Listing Obligations and Disclosure Requirement) Regulations, 2015. </w:t>
      </w:r>
    </w:p>
    <w:p w14:paraId="01CEA6B8"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6FDEA4BA" w14:textId="77777777" w:rsidR="000E0D86"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0E0D86" w:rsidRPr="000E0D86">
        <w:rPr>
          <w:rFonts w:ascii="Palatino Linotype" w:eastAsia="Calibri" w:hAnsi="Palatino Linotype"/>
          <w:color w:val="000000" w:themeColor="text1"/>
          <w:lang w:val="en-US"/>
        </w:rPr>
        <w:t xml:space="preserve">ide order dated August 31, 2020, a total penalty of Rs.46,25,000/-(Rupees Forty Six Lakhs and Twenty Five Thousand only ) </w:t>
      </w:r>
      <w:r>
        <w:rPr>
          <w:rFonts w:ascii="Palatino Linotype" w:eastAsia="Calibri" w:hAnsi="Palatino Linotype"/>
          <w:color w:val="000000" w:themeColor="text1"/>
          <w:lang w:val="en-US"/>
        </w:rPr>
        <w:t xml:space="preserve">imposed </w:t>
      </w:r>
      <w:r w:rsidR="000E0D86" w:rsidRPr="000E0D86">
        <w:rPr>
          <w:rFonts w:ascii="Palatino Linotype" w:eastAsia="Calibri" w:hAnsi="Palatino Linotype"/>
          <w:color w:val="000000" w:themeColor="text1"/>
          <w:lang w:val="en-US"/>
        </w:rPr>
        <w:t>on Pankaj J. Shah (HUF), and 36 others for the violation of Section 12 A (a), (b) and (c) of the SEBI Act, 1992 and regulations 3(a), (b), (c) and (d) and 4 (1) of the PFUTP Regulations 2003, and Section 2 (i)(a) of Securities Contracts (Regulation) Act, 1956 (“SCRA”) r/w, sections 13, 16 and 18 of the SCRA in the matter of trading activities of Pankaj J Shah HUF and connected entities in the scrips of L and T Finance Holdings Ltd, Tree House Education Ltd and Future Ventures India Ltd.</w:t>
      </w:r>
    </w:p>
    <w:p w14:paraId="4B626324"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18823851" w14:textId="77777777" w:rsidR="000E0D86"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0E0D86" w:rsidRPr="000E0D86">
        <w:rPr>
          <w:rFonts w:ascii="Palatino Linotype" w:eastAsia="Calibri" w:hAnsi="Palatino Linotype"/>
          <w:color w:val="000000" w:themeColor="text1"/>
          <w:lang w:val="en-US"/>
        </w:rPr>
        <w:t xml:space="preserve">ide order dated August 31, 2020, a penalty of Rs. 3,00,000/-(Rupees Three Lakh only) </w:t>
      </w:r>
      <w:r>
        <w:rPr>
          <w:rFonts w:ascii="Palatino Linotype" w:eastAsia="Calibri" w:hAnsi="Palatino Linotype"/>
          <w:color w:val="000000" w:themeColor="text1"/>
          <w:lang w:val="en-US"/>
        </w:rPr>
        <w:t xml:space="preserve">imposed </w:t>
      </w:r>
      <w:r w:rsidR="000E0D86" w:rsidRPr="000E0D86">
        <w:rPr>
          <w:rFonts w:ascii="Palatino Linotype" w:eastAsia="Calibri" w:hAnsi="Palatino Linotype"/>
          <w:color w:val="000000" w:themeColor="text1"/>
          <w:lang w:val="en-US"/>
        </w:rPr>
        <w:t>on Marconi James Macwan and others in the matter of Steel Exchange India Ltd., for the violation of section 11 C (3) of the SEBI Act.</w:t>
      </w:r>
    </w:p>
    <w:p w14:paraId="56B745E7"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50019DE3" w14:textId="77777777" w:rsidR="00ED7B8B" w:rsidRPr="00950947" w:rsidRDefault="00950947" w:rsidP="00950947">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w:t>
      </w:r>
      <w:r w:rsidR="00ED7B8B" w:rsidRPr="00950947">
        <w:rPr>
          <w:rFonts w:ascii="Palatino Linotype" w:eastAsia="Calibri" w:hAnsi="Palatino Linotype"/>
          <w:color w:val="000000" w:themeColor="text1"/>
          <w:lang w:val="en-US"/>
        </w:rPr>
        <w:t xml:space="preserve">order dated August 05, 2020, a total penalty of Rs. 80,00,000/-(Rupees Eighty Lakhs Only) </w:t>
      </w:r>
      <w:r>
        <w:rPr>
          <w:rFonts w:ascii="Palatino Linotype" w:eastAsia="Calibri" w:hAnsi="Palatino Linotype"/>
          <w:color w:val="000000" w:themeColor="text1"/>
          <w:lang w:val="en-US"/>
        </w:rPr>
        <w:t xml:space="preserve">imposed </w:t>
      </w:r>
      <w:r w:rsidR="00ED7B8B" w:rsidRPr="00950947">
        <w:rPr>
          <w:rFonts w:ascii="Palatino Linotype" w:eastAsia="Calibri" w:hAnsi="Palatino Linotype"/>
          <w:color w:val="000000" w:themeColor="text1"/>
          <w:lang w:val="en-US"/>
        </w:rPr>
        <w:t>on Dr. V. K. Sukumaran and others for the violation of Section 16 of SCRA read with Sections 2(i), 13 and 18 of SCRA and SEBI Notification G.S.R. 219 (E) dated March 2, 2000, in the matter of VKS Project Limited.</w:t>
      </w:r>
    </w:p>
    <w:p w14:paraId="6912E7AD"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154ECC5D" w14:textId="77777777" w:rsidR="00ED7B8B"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10, 2020, a penalty of Rs. 5,00,000/-(Rupees Five Lakhs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Bhawani Ferrous Private Limited for the violation of the provisions of Regulations 3 (a), (b), (c), (d), and 4(1), 4(2), (a) of SEBI (Prohibition of Fraudulent and Unfair Trade Practices relating to the Securities Market) Regulations, 2003 (SEBI PFUTP Regulations), in the matter of its dealing in illiquid stock options at BSE.</w:t>
      </w:r>
    </w:p>
    <w:p w14:paraId="0B02D093"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06084124" w14:textId="77777777" w:rsidR="00ED7B8B"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11, 2020, a penalty of Rs. 2,00,000/-(Rupees Two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Siddarth Businesses Limited for the violation of  sections 11C(2) and 11C(3) of the SEBI Act, in the matter of Siddarth Businesses Limited (currently known as Shivamshree Businesses Limited).</w:t>
      </w:r>
    </w:p>
    <w:p w14:paraId="05B7BC3A"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74BCAEBF" w14:textId="77777777" w:rsidR="00ED7B8B"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 xml:space="preserve">Vide </w:t>
      </w:r>
      <w:r w:rsidR="00ED7B8B" w:rsidRPr="000E0D86">
        <w:rPr>
          <w:rFonts w:ascii="Palatino Linotype" w:eastAsia="Calibri" w:hAnsi="Palatino Linotype"/>
          <w:color w:val="000000" w:themeColor="text1"/>
          <w:lang w:val="en-US"/>
        </w:rPr>
        <w:t xml:space="preserve">order dated August 11, 2020, a total penalty of Rs. 8,00,000/-(Rupees Eight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 xml:space="preserve">on India  Advantage  Securities Pvt. Ltd. for the violation of clause 3.2 of SEBI circular SEBI/HO/MIRSD/MIRSD2/CIR/P/2016/95 dated September 26, 2016, in the matter of India Advantage Securities Pvt. Ltd. </w:t>
      </w:r>
    </w:p>
    <w:p w14:paraId="0588BFA4"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6A2C9991" w14:textId="77777777" w:rsidR="00ED7B8B"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lastRenderedPageBreak/>
        <w:t>V</w:t>
      </w:r>
      <w:r w:rsidR="00ED7B8B" w:rsidRPr="000E0D86">
        <w:rPr>
          <w:rFonts w:ascii="Palatino Linotype" w:eastAsia="Calibri" w:hAnsi="Palatino Linotype"/>
          <w:color w:val="000000" w:themeColor="text1"/>
          <w:lang w:val="en-US"/>
        </w:rPr>
        <w:t xml:space="preserve">ide order dated August 11, 2020, a penalty of Rs. 6,55,00,000/-(Rupees Six crores and Fifty-Five Lakhs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81 entities including Dhyana Finstock Ltd for misusing issuance of stocks on preferential basis and hence causing the violation of Section 12A (a), (b) &amp; (c) of SEBI Act, 1992 r/w Regulation 3(a), (b), (c), (d) and Regulation 4(1) of SEBI PFUTP Regulations and Regulation 77(1) of SEBI (Issue of Capital and Disclosure Requirements) Regulations, 2009, in the matter of Dhyana Finstock Ltd.</w:t>
      </w:r>
    </w:p>
    <w:p w14:paraId="4C0C4936"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0E6167EC" w14:textId="77777777" w:rsidR="00ED7B8B"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11, 2020, a penalty of Rs. 25,00,000/-(Rupees Twenty Five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the Yochana Vyapaar Private Limited for the violation of the provisions of Regulations 3(a), (b), (c), (d) and 4(1), 4(2) (a) of SEBI PFUTP Regulations, in the matter of dealing in illiquid stock options at BSE.</w:t>
      </w:r>
    </w:p>
    <w:p w14:paraId="49DC9144"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2DBDB0F3" w14:textId="77777777" w:rsidR="00ED7B8B"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14, 2020, a penalty of Rs. 10,00,000/-(Rupees Ten Lakh)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State Bank of India for failing to reduce its stake in UTI Mutual Fund below 10 per cent within the stipulated time, causing the violation of Regulation 7B of SEBI (Mutual Fund) Regulations 1996.</w:t>
      </w:r>
    </w:p>
    <w:p w14:paraId="613A2C8C"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0FCBE1A3" w14:textId="77777777" w:rsidR="00ED7B8B"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14, 2020, a penalty of Rs. 10,00,000/-(Rupees Ten Lakh)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Life Insurance Corporation of India for failing to reduce its stake in UTI Mutual Fund below 10 per cent within the stipulated time, causing the violation of Regulation 7B of SEBI (Mutual Fund) Regulations 1996.</w:t>
      </w:r>
    </w:p>
    <w:p w14:paraId="1B9BD779" w14:textId="77777777" w:rsidR="00950947" w:rsidRDefault="00950947" w:rsidP="00950947">
      <w:pPr>
        <w:pStyle w:val="ListParagraph"/>
        <w:rPr>
          <w:rFonts w:ascii="Palatino Linotype" w:hAnsi="Palatino Linotype"/>
          <w:color w:val="000000" w:themeColor="text1"/>
        </w:rPr>
      </w:pPr>
    </w:p>
    <w:p w14:paraId="44A60BB5" w14:textId="77777777" w:rsidR="00ED7B8B"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14, 2020, a penalty of Rs. 10,00,000/-(Rupees Ten Lakh)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Bank of Baroda for failing to reduce its stake in UTI Mutual Fund below 10 per cent within the stipulated time, causing the violation of Regulation 7B of SEBI (Mutual Fund) Regulations 1996.</w:t>
      </w:r>
    </w:p>
    <w:p w14:paraId="311BF4EC"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188FD73B" w14:textId="77777777" w:rsidR="00ED7B8B" w:rsidRPr="000E0D86" w:rsidRDefault="00950947"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14, 2020, a total penalty of Rs. 5,00,000/- (Rupees Five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C D Integrated Services Private Limited for the violation of provisions of Clause 7 of Annexure of SEBI circular SEBI/HO/MIRSD/MIRSD2/CIR/P/2016/95 dated September 26, 2016.</w:t>
      </w:r>
    </w:p>
    <w:p w14:paraId="6140AF93"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099C7CA3" w14:textId="77777777" w:rsidR="00ED7B8B" w:rsidRPr="000E0D86" w:rsidRDefault="00B726BD"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ide order dated August 19, 2020, a penalty of Rs. 14,10,000/-(Rupees Fourteen Lakhs Ten Thousand only)</w:t>
      </w:r>
      <w:r>
        <w:rPr>
          <w:rFonts w:ascii="Palatino Linotype" w:eastAsia="Calibri" w:hAnsi="Palatino Linotype"/>
          <w:color w:val="000000" w:themeColor="text1"/>
          <w:lang w:val="en-US"/>
        </w:rPr>
        <w:t xml:space="preserve"> imposed</w:t>
      </w:r>
      <w:r w:rsidR="00ED7B8B" w:rsidRPr="000E0D86">
        <w:rPr>
          <w:rFonts w:ascii="Palatino Linotype" w:eastAsia="Calibri" w:hAnsi="Palatino Linotype"/>
          <w:color w:val="000000" w:themeColor="text1"/>
          <w:lang w:val="en-US"/>
        </w:rPr>
        <w:t xml:space="preserve"> on Balaji Infrasolution</w:t>
      </w:r>
      <w:r>
        <w:rPr>
          <w:rFonts w:ascii="Palatino Linotype" w:eastAsia="Calibri" w:hAnsi="Palatino Linotype"/>
          <w:color w:val="000000" w:themeColor="text1"/>
          <w:lang w:val="en-US"/>
        </w:rPr>
        <w:t xml:space="preserve"> Pvt. L</w:t>
      </w:r>
      <w:r w:rsidR="00ED7B8B" w:rsidRPr="000E0D86">
        <w:rPr>
          <w:rFonts w:ascii="Palatino Linotype" w:eastAsia="Calibri" w:hAnsi="Palatino Linotype"/>
          <w:color w:val="000000" w:themeColor="text1"/>
          <w:lang w:val="en-US"/>
        </w:rPr>
        <w:t>td. for the violation of the provisions of Regulations 3 (a), (b), (c), (d) and 4 (1), 4 (2), (a) of SEBI (Prohibition of Fraudulent and Unfair Trade Practices relating to the Securities Market) Regulations, 2003 (SEBI PFUTP Regulations), in the matter of dealing in illiquid stock options at BSE. </w:t>
      </w:r>
    </w:p>
    <w:p w14:paraId="536631B6"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128DEB50" w14:textId="77777777" w:rsidR="00ED7B8B" w:rsidRPr="00B726BD" w:rsidRDefault="00B726BD" w:rsidP="00B726BD">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lastRenderedPageBreak/>
        <w:t>V</w:t>
      </w:r>
      <w:r w:rsidR="00ED7B8B" w:rsidRPr="00B726BD">
        <w:rPr>
          <w:rFonts w:ascii="Palatino Linotype" w:eastAsia="Calibri" w:hAnsi="Palatino Linotype"/>
          <w:color w:val="000000" w:themeColor="text1"/>
          <w:lang w:val="en-US"/>
        </w:rPr>
        <w:t xml:space="preserve">ide order dated August 20, 2020, a penalty of Rs. 2,00,000/-(Rupees Two Lacs only) </w:t>
      </w:r>
      <w:r>
        <w:rPr>
          <w:rFonts w:ascii="Palatino Linotype" w:eastAsia="Calibri" w:hAnsi="Palatino Linotype"/>
          <w:color w:val="000000" w:themeColor="text1"/>
          <w:lang w:val="en-US"/>
        </w:rPr>
        <w:t xml:space="preserve">imposed </w:t>
      </w:r>
      <w:r w:rsidR="00ED7B8B" w:rsidRPr="00B726BD">
        <w:rPr>
          <w:rFonts w:ascii="Palatino Linotype" w:eastAsia="Calibri" w:hAnsi="Palatino Linotype"/>
          <w:color w:val="000000" w:themeColor="text1"/>
          <w:lang w:val="en-US"/>
        </w:rPr>
        <w:t>on Orissa Minerals Development Co. Ltd., Dr. Satish Chandra and Ms. Sucharita Das for violation of Clause 2.1 of Code of Corporate Disclosure Practice for Prevention of Insider Trading contained in Schedule II to Regulation 12 (2) of the SEBI (Prohibition of Insider Trading) Regulations, 1992 and also violation of Clause 36 of Listing Agreement read with Section 21 of SCRA, in the matter of Orissa Minerals Development Co. Ltd.</w:t>
      </w:r>
    </w:p>
    <w:p w14:paraId="69890785" w14:textId="77777777" w:rsidR="000E0D86" w:rsidRDefault="000E0D86" w:rsidP="000E0D86">
      <w:pPr>
        <w:pStyle w:val="ListParagraph"/>
        <w:rPr>
          <w:rFonts w:ascii="Palatino Linotype" w:hAnsi="Palatino Linotype"/>
          <w:color w:val="000000" w:themeColor="text1"/>
        </w:rPr>
      </w:pPr>
    </w:p>
    <w:p w14:paraId="48F260A4" w14:textId="77777777" w:rsidR="000E0D86" w:rsidRPr="000E0D86" w:rsidRDefault="000E0D86" w:rsidP="000E0D86">
      <w:pPr>
        <w:spacing w:line="276" w:lineRule="auto"/>
        <w:contextualSpacing/>
        <w:jc w:val="both"/>
        <w:rPr>
          <w:rFonts w:ascii="Palatino Linotype" w:eastAsia="Calibri" w:hAnsi="Palatino Linotype"/>
          <w:color w:val="000000" w:themeColor="text1"/>
          <w:lang w:val="en-US"/>
        </w:rPr>
      </w:pPr>
    </w:p>
    <w:p w14:paraId="15725FED" w14:textId="77777777" w:rsidR="00ED7B8B" w:rsidRPr="000E0D86" w:rsidRDefault="00B726BD"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21, 2020, a penalty of Rs. 2,00,000/- (Two lakhs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Raj Kumar for the violation of regulation 29(1) r/w regulation 29 (3) of SEBI (Substantial Acquisition of Shares and Takeovers) Regulations, 2011 (SAST Regulations), in the matter of Maximaa Systems Private Ltd.</w:t>
      </w:r>
    </w:p>
    <w:p w14:paraId="5FD6D399"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4F807FE1" w14:textId="77777777" w:rsidR="00ED7B8B" w:rsidRPr="000E0D86" w:rsidRDefault="00B726BD"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ide order dated August 21, 2020, a total penalty of Rs. 22,39,00,000/- (</w:t>
      </w:r>
      <w:r>
        <w:rPr>
          <w:rFonts w:ascii="Palatino Linotype" w:eastAsia="Calibri" w:hAnsi="Palatino Linotype"/>
          <w:color w:val="000000" w:themeColor="text1"/>
          <w:lang w:val="en-US"/>
        </w:rPr>
        <w:t>T</w:t>
      </w:r>
      <w:r w:rsidR="00ED7B8B" w:rsidRPr="000E0D86">
        <w:rPr>
          <w:rFonts w:ascii="Palatino Linotype" w:eastAsia="Calibri" w:hAnsi="Palatino Linotype"/>
          <w:color w:val="000000" w:themeColor="text1"/>
          <w:lang w:val="en-US"/>
        </w:rPr>
        <w:t xml:space="preserve">wenty two crore and thirty nine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Ravikumar Distilleries Ltd (RKDL) and 31 others for siphoning of funds to the tune of  Rs.  33.83  crore  from  the  IPO proceeds of the RKDL through series of circuitous transfers involving creating artificial liability in the books of RKDL, causing the violation of various regulations including Section 12A (a), (b) and (c) of SEBI Act, 1992, Regulations 3 (a), (b), (c), (d), 4 (1),4 (2), (f) and (k) of SEBI (PFUTP) Regulations 2003, Regulations 39, 57(1), 60(4) (a), 60 (7)(a), 64(1) and 8(2)(b), (e) and (f) of SEBI (Issue of Capital and Disclosure Requirements) Regulations, 2009, and Clauses 1, 2, 3, 4, 6, 7 and  21  of  the  Code  of  Conduct for Merchant Bankers specified under Schedule III in the SEBI (Merchant Bankers) Regulations, 1992, in the matter of Ravi Kumar Distilleries Ltd.</w:t>
      </w:r>
    </w:p>
    <w:p w14:paraId="0FB6B8C7"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6FDB5C31" w14:textId="77777777" w:rsidR="00ED7B8B" w:rsidRPr="000E0D86" w:rsidRDefault="00B726BD"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18, 2020, a penalty of Rs. 5,00,000/- (Five lakhs Only) </w:t>
      </w:r>
      <w:r w:rsidR="00175C02">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Sasidhar V for deliberate tampering of the Date and Time Stamping Machine (DTSM) to give favour to certain investors and hence violating provisions of Regulations 3(a) and 4(1) of PFUTP Regulations, 2003.</w:t>
      </w:r>
    </w:p>
    <w:p w14:paraId="4D6CC2F4"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607FEDEB" w14:textId="77777777" w:rsidR="00ED7B8B" w:rsidRPr="000E0D86" w:rsidRDefault="00175C02"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24, 2020, a penalty of Rs. 5,00,000/- (Rupees Five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MCS  Share  Transfer  Agent  Limited  in the matter of Inspection/Audit of Books for the violation of the provisions  of Regulation  18(1)  read  with  Regulation  21  of   SEBI (Registrar to an Issuer and  Share Transfer Agent) Regulations,  1993 (“SEBI RTI and STA Regulations”)  and Clause  18  of  the  Code  of  Conduct  for  the  Registrars  to  an Issue  and  Share  Transfer  Agent  prescribed  in  Schedule  III  under  Regulation  13  of the  SEBI (RTI and STA) Regulations.</w:t>
      </w:r>
    </w:p>
    <w:p w14:paraId="26D74410"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2B5ADEAC" w14:textId="77777777" w:rsidR="00ED7B8B" w:rsidRPr="000E0D86" w:rsidRDefault="00175C02"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25, 2020, a penalty of Rs.10,00,000/- (Rupees Ten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T.A.N. Murti, head of investor relations  of  Satyam Computer Services Limited, for the violation of Regulation 3(i) of the SEBI (Prohibition of Insider Trading) Regulations, 1992 (“PIT Regulations, 1992”) read with 12A (d) and (e) of the SEBI Act 1992, in the matter of Satyam Computer Services Ltd.</w:t>
      </w:r>
    </w:p>
    <w:p w14:paraId="581D438D"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75B5549B" w14:textId="77777777" w:rsidR="00ED7B8B" w:rsidRPr="000E0D86" w:rsidRDefault="00175C02"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w:t>
      </w:r>
      <w:r>
        <w:rPr>
          <w:rFonts w:ascii="Palatino Linotype" w:eastAsia="Calibri" w:hAnsi="Palatino Linotype"/>
          <w:color w:val="000000" w:themeColor="text1"/>
          <w:lang w:val="en-US"/>
        </w:rPr>
        <w:t>o</w:t>
      </w:r>
      <w:r w:rsidR="00ED7B8B" w:rsidRPr="000E0D86">
        <w:rPr>
          <w:rFonts w:ascii="Palatino Linotype" w:eastAsia="Calibri" w:hAnsi="Palatino Linotype"/>
          <w:color w:val="000000" w:themeColor="text1"/>
          <w:lang w:val="en-US"/>
        </w:rPr>
        <w:t xml:space="preserve">rder dated August 25, 2020, a penalty of Rs. 50,00,000/- (Rupees Fifty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National Stock Exchange of India Limited for the violation of regulation 27 (4) of the Securities Contracts (Regulation) (Stock Exchanges and Clearing Corporations) Regulations, 2012, in the matter of National Stock Exchange of India Limited.</w:t>
      </w:r>
    </w:p>
    <w:p w14:paraId="487BBD16"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4E11DBB8" w14:textId="77777777" w:rsidR="00ED7B8B" w:rsidRPr="000E0D86" w:rsidRDefault="00175C02"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26, 2020, a total penalty of Rs.7,00,000/- (Rupees Seven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 xml:space="preserve">on Jayarama Shetty Mundaje and others in the matter of Suprajit Engineering Ltd. for the violation of Regulation 7(2)(a) of of SEBI (Prohibition of Insider Trading) Regulations, 2015 (PIT Regulations, 2015), Clause 6 of Minimum Standard of Code of Conduct contained in Schedule B read with Regulation 9(1) of PIT Regulations, 2015 read  Clauses 5.3 &amp; 5.4 of Code of Conduct dated May 29, 2015 of Suprajit Engineering Ltd. read with Regulation  9(1) of PIT Regulations 2015, </w:t>
      </w:r>
    </w:p>
    <w:p w14:paraId="1E26FCCF"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58BD584E" w14:textId="77777777" w:rsidR="00ED7B8B" w:rsidRPr="000E0D86" w:rsidRDefault="00175C02"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26, 2020, a penalty of Rs. 2,00,000/- (Rupees Two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Anoop Kumar Garg for the  violations  of the provisions  of Regulations 13(3) read with 13(5) of PIT Regulations, 1992 and Regulations 13(4) read with 13(5) of PIT Regulations, 1992,  in the matter of Centron Industrial Alliance Limited.</w:t>
      </w:r>
    </w:p>
    <w:p w14:paraId="72F190A2"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3846910F" w14:textId="77777777" w:rsidR="00ED7B8B" w:rsidRPr="000E0D86" w:rsidRDefault="00175C02"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26, 2020, a penalty of Rs. 1,00,000/- (Rupees One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upon Soarabh Rakesh Jain for the violation of PIT Regulations 1992 read with regulation 12 of PIT Regulations 2015, in the matter of SRK Industries Limited.  </w:t>
      </w:r>
    </w:p>
    <w:p w14:paraId="0637D02F"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263A457C" w14:textId="77777777" w:rsidR="00ED7B8B" w:rsidRPr="000E0D86" w:rsidRDefault="00175C02"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26, 2020, a penalty of Rs. 1,00,000/- (Rupees One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upon Rakeshchand M Jain for the violation of PIT Regulations 1992 read with regulation 12 of PIT Regulations 2015, in the matter of SRK Industries Limited.  </w:t>
      </w:r>
    </w:p>
    <w:p w14:paraId="2488788C"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228545D0" w14:textId="77777777" w:rsidR="00ED7B8B" w:rsidRDefault="00175C02"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27, 2020, a penalty of Rs. 1,00,000/- (Rupees One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Sital Leasing and Finance Limited for violation of Regulation 7(2)(b) of PIT Regulations 2015, in the matter of Sital Leasing and Finance Limited.</w:t>
      </w:r>
    </w:p>
    <w:p w14:paraId="6DD403D1" w14:textId="77777777" w:rsidR="000E0D86" w:rsidRP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79A35F29" w14:textId="77777777" w:rsidR="00ED7B8B" w:rsidRPr="000E0D86" w:rsidRDefault="00175C02"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lastRenderedPageBreak/>
        <w:t>V</w:t>
      </w:r>
      <w:r w:rsidR="00ED7B8B" w:rsidRPr="000E0D86">
        <w:rPr>
          <w:rFonts w:ascii="Palatino Linotype" w:eastAsia="Calibri" w:hAnsi="Palatino Linotype"/>
          <w:color w:val="000000" w:themeColor="text1"/>
          <w:lang w:val="en-US"/>
        </w:rPr>
        <w:t xml:space="preserve">ide order dated August 27, 2020, a penalty of Rs. 5,00,000/-(Rupees Five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H Bhavesh Securities and Commodities Private Limited for the violation of  the  provisions  of  Regulations 3(a), (b), (c), (d) and Regulations 4(1), 4 (2) (a) of SEBI (Prohibition of Fraudulent and Unfair Trade Practices relating to the Securities Market) Regulations, 2003 (“PFUTP Regulations”) stand established, in the matters of Spectacle Infotek Limited, Goldstone Technologies Limited, Gemstone Investments Limited, LGS Global Limited and Well Pack Papers and Containers Limited.</w:t>
      </w:r>
    </w:p>
    <w:p w14:paraId="0B869A04"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45CF3124" w14:textId="77777777" w:rsidR="00ED7B8B" w:rsidRPr="000E0D86" w:rsidRDefault="00175C02"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ide order dated August 27, 2020, a total penalty of Rs. 8,00,000/- (Rupees Eight Lakh only)</w:t>
      </w:r>
      <w:r>
        <w:rPr>
          <w:rFonts w:ascii="Palatino Linotype" w:eastAsia="Calibri" w:hAnsi="Palatino Linotype"/>
          <w:color w:val="000000" w:themeColor="text1"/>
          <w:lang w:val="en-US"/>
        </w:rPr>
        <w:t xml:space="preserve"> imposed</w:t>
      </w:r>
      <w:r w:rsidR="00ED7B8B" w:rsidRPr="000E0D86">
        <w:rPr>
          <w:rFonts w:ascii="Palatino Linotype" w:eastAsia="Calibri" w:hAnsi="Palatino Linotype"/>
          <w:color w:val="000000" w:themeColor="text1"/>
          <w:lang w:val="en-US"/>
        </w:rPr>
        <w:t xml:space="preserve"> on Harsh Dugar for the violation of the Federal Bank Code of Conduct prescribed under Regulation 9 (1) of PIT Regulations read with Clause 6 of Schedule B of PIT Regulations, in the matter of Federal Bank Limited.</w:t>
      </w:r>
    </w:p>
    <w:p w14:paraId="389D19EE"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7DF88FDB" w14:textId="77777777" w:rsidR="00ED7B8B" w:rsidRPr="000E0D86" w:rsidRDefault="00275078"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w:t>
      </w:r>
      <w:r>
        <w:rPr>
          <w:rFonts w:ascii="Palatino Linotype" w:eastAsia="Calibri" w:hAnsi="Palatino Linotype"/>
          <w:color w:val="000000" w:themeColor="text1"/>
          <w:lang w:val="en-US"/>
        </w:rPr>
        <w:t xml:space="preserve">order dated August 27, 2020, </w:t>
      </w:r>
      <w:r w:rsidR="00ED7B8B" w:rsidRPr="000E0D86">
        <w:rPr>
          <w:rFonts w:ascii="Palatino Linotype" w:eastAsia="Calibri" w:hAnsi="Palatino Linotype"/>
          <w:color w:val="000000" w:themeColor="text1"/>
          <w:lang w:val="en-US"/>
        </w:rPr>
        <w:t xml:space="preserve">a total penalty of Rs. 15,00,000/- (Rupees Fifteen Lakhs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Nikki Global Finance Limited and others for the violation of Regulation 13(6) of PIT Regulations, 1992  read  with Regulation 12 of PIT Regulations 2015, Regulation 13(1)   &amp;   13(3)   read   with Regulation    13(5)    of    PIT Regulations, 1992 and Regulations 29(1) and 29(2) read   with   29(3)   of   the SEBI (Substantial Acquisition of Shares and Takeovers) Regulations, 2011(“SAST Regulations”), in the matter of Nikki Global Finance Limited.</w:t>
      </w:r>
    </w:p>
    <w:p w14:paraId="43B3C0F1"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61FDA51B" w14:textId="77777777" w:rsidR="00ED7B8B" w:rsidRPr="000E0D86" w:rsidRDefault="00275078"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27, 2020, a penalty of Rs. 1,00,000/- (Rupees One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Ashok Kumar Kayan, a stock broker, for violation of the provisions of Section 23D of SCRA and  SEBI  Circular  No.  MRD/DoP/SE/Cir-11/2008 dated April 17, 2008, in the matter of Nikki Global Finance Limited. </w:t>
      </w:r>
    </w:p>
    <w:p w14:paraId="5AB3E88E"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42ED7111" w14:textId="77777777" w:rsidR="00ED7B8B" w:rsidRPr="000E0D86" w:rsidRDefault="00275078"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ide order dated August 27, 2020, a penalty of Rs. 1,00,000/- (Rupees One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upon Kanchan Bihani for the violation of Regulation 29 (1) read with 29 (3) of SAST Regulations, in the matter of Sanjivani Paranteral Ltd.</w:t>
      </w:r>
    </w:p>
    <w:p w14:paraId="2A177F14"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6272FD4D" w14:textId="77777777" w:rsidR="00ED7B8B" w:rsidRPr="00275078" w:rsidRDefault="00275078" w:rsidP="00275078">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w:t>
      </w:r>
      <w:r w:rsidR="00ED7B8B" w:rsidRPr="00275078">
        <w:rPr>
          <w:rFonts w:ascii="Palatino Linotype" w:eastAsia="Calibri" w:hAnsi="Palatino Linotype"/>
          <w:color w:val="000000" w:themeColor="text1"/>
          <w:lang w:val="en-US"/>
        </w:rPr>
        <w:t xml:space="preserve">order dated August 27, 2020, a total penalty of Rs.70,00,000/-(Seventy Lakhs only) </w:t>
      </w:r>
      <w:r>
        <w:rPr>
          <w:rFonts w:ascii="Palatino Linotype" w:eastAsia="Calibri" w:hAnsi="Palatino Linotype"/>
          <w:color w:val="000000" w:themeColor="text1"/>
          <w:lang w:val="en-US"/>
        </w:rPr>
        <w:t xml:space="preserve">imposed </w:t>
      </w:r>
      <w:r w:rsidR="00ED7B8B" w:rsidRPr="00275078">
        <w:rPr>
          <w:rFonts w:ascii="Palatino Linotype" w:eastAsia="Calibri" w:hAnsi="Palatino Linotype"/>
          <w:color w:val="000000" w:themeColor="text1"/>
          <w:lang w:val="en-US"/>
        </w:rPr>
        <w:t>on Kapila Vaghela and others for the violation of Section 12A (a), (b) and (c) and of Regulations 3 (a), (b), (c) and (d), as well as 4 (1), (2) (a),(e) and (g) of the PFUTP Regulations, in the matter of Vani Commercials Ltd.</w:t>
      </w:r>
    </w:p>
    <w:p w14:paraId="706C6769"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09C80B54" w14:textId="77777777" w:rsidR="00ED7B8B" w:rsidRPr="000E0D86" w:rsidRDefault="00275078"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28, 2020, a total penalty of Rs.15,00,000/-(Rupees Fifteen Lakh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 xml:space="preserve">on  Electrotherm  (India) Limited and others for the violation of Clause 41(I), 49(V) and clause 50 of the erstwhile Equity Listing Agreement  read  with  section  21  of  Securities Contracts (Regulation) Act, 1957 </w:t>
      </w:r>
      <w:r w:rsidR="00ED7B8B" w:rsidRPr="000E0D86">
        <w:rPr>
          <w:rFonts w:ascii="Palatino Linotype" w:eastAsia="Calibri" w:hAnsi="Palatino Linotype"/>
          <w:color w:val="000000" w:themeColor="text1"/>
          <w:lang w:val="en-US"/>
        </w:rPr>
        <w:lastRenderedPageBreak/>
        <w:t>(“SCRA”) and  Regulations  4(1)(a), 4 (1) (b), 4 (2)(f), 33 (1) and 48 of LODR, in the matter of Electrotherm India Limited.</w:t>
      </w:r>
    </w:p>
    <w:p w14:paraId="5A674372"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46935384" w14:textId="77777777" w:rsidR="00ED7B8B" w:rsidRPr="000E0D86" w:rsidRDefault="00275078"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ide order dated August 28, 2020, a total penalty of Rs.5,00,000/-(Rupees Five Lakh only)</w:t>
      </w:r>
      <w:r>
        <w:rPr>
          <w:rFonts w:ascii="Palatino Linotype" w:eastAsia="Calibri" w:hAnsi="Palatino Linotype"/>
          <w:color w:val="000000" w:themeColor="text1"/>
          <w:lang w:val="en-US"/>
        </w:rPr>
        <w:t xml:space="preserve"> imposed </w:t>
      </w:r>
      <w:r w:rsidR="00ED7B8B" w:rsidRPr="000E0D86">
        <w:rPr>
          <w:rFonts w:ascii="Palatino Linotype" w:eastAsia="Calibri" w:hAnsi="Palatino Linotype"/>
          <w:color w:val="000000" w:themeColor="text1"/>
          <w:lang w:val="en-US"/>
        </w:rPr>
        <w:t>on GRM Securities Pvt. Ltd. for the violation of clauses A(1), A(2) and A(4) of Code of Conduct specified in Schedule II read with regulation 9(f) and regulation 26 (xi), (xv), (xvi) and (xx) of Brokers Regulations, and regulations 3, 4(1) and 4 (2)(a) of PFUTP Regulations stands established, in the matter of inspection of GRM Securities Pvt. Ltd. </w:t>
      </w:r>
    </w:p>
    <w:p w14:paraId="1CF7C666"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6882E98E" w14:textId="77777777" w:rsidR="00ED7B8B" w:rsidRPr="000E0D86" w:rsidRDefault="00275078"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ide order dated August 28, 2020, a total penalty of Rs.19,00,000/- (</w:t>
      </w:r>
      <w:r>
        <w:rPr>
          <w:rFonts w:ascii="Palatino Linotype" w:eastAsia="Calibri" w:hAnsi="Palatino Linotype"/>
          <w:color w:val="000000" w:themeColor="text1"/>
          <w:lang w:val="en-US"/>
        </w:rPr>
        <w:t>Nineteen Lakh</w:t>
      </w:r>
      <w:r w:rsidR="00ED7B8B" w:rsidRPr="000E0D86">
        <w:rPr>
          <w:rFonts w:ascii="Palatino Linotype" w:eastAsia="Calibri" w:hAnsi="Palatino Linotype"/>
          <w:color w:val="000000" w:themeColor="text1"/>
          <w:lang w:val="en-US"/>
        </w:rPr>
        <w:t xml:space="preserve"> only)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Melicent  Sales  Agencies Private Ltd and others for the violation of  Regulations 29 (1) read with 29 (3) of the SAST Regulations, Regulations 3 (a), (b), (c) and  (d)  as  well  as  Regulation 4  (1) and (2) (a) and (e)  of  the  PFUTP Regulations, in the matter of Ramchandra Leasing and Finance Ltd.  </w:t>
      </w:r>
    </w:p>
    <w:p w14:paraId="0146D6C3"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15A9B914" w14:textId="77777777" w:rsidR="00ED7B8B" w:rsidRPr="000E0D86" w:rsidRDefault="00275078"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28, 2020, a penalty of Rs.3,00,000/-(Rupees Three lakh) </w:t>
      </w:r>
      <w:r>
        <w:rPr>
          <w:rFonts w:ascii="Palatino Linotype" w:eastAsia="Calibri" w:hAnsi="Palatino Linotype"/>
          <w:color w:val="000000" w:themeColor="text1"/>
          <w:lang w:val="en-US"/>
        </w:rPr>
        <w:t xml:space="preserve">imposed </w:t>
      </w:r>
      <w:r w:rsidR="00ED7B8B" w:rsidRPr="000E0D86">
        <w:rPr>
          <w:rFonts w:ascii="Palatino Linotype" w:eastAsia="Calibri" w:hAnsi="Palatino Linotype"/>
          <w:color w:val="000000" w:themeColor="text1"/>
          <w:lang w:val="en-US"/>
        </w:rPr>
        <w:t>on Vipin Sharma for violation of the provisions of section 12A(a), (b), (c) of the SEBI Act read  with Regulations 3(a), (b), (c), (d) and 4(1) of the PFUTP Regulations, in the matter of Chromatic India Ltd. SEBI, vide an order dated August 28, 20202, imposed a penalty of Rs.5,00,000/- (Rupees Five Lakh only) on Sanjeev Kapur for the violation of provisions of Section 12(1) of the SEBI Act read with regulation 11(1) of the Stock Brokers and Sub Brokers Regulations, 1992, Regulations 3(a), 4(1), 4(2)(a) &amp; (p)of PFUTP Regulations read with and  Clause  A(1)  &amp;  A(2)  of  the  Code  of  conduct       for  sub  brokers  as stipulated in schedule II read with Regulation 15(1)(b) and Regulations 26(xi), (xv) &amp; (xvi) of SEBI (Stock Brokers and Sub Brokers) Regulations, 1992 (“SBSB Regulations”), in the matter of Sanjeev Kapur.</w:t>
      </w:r>
    </w:p>
    <w:p w14:paraId="2B2DFDA0" w14:textId="77777777" w:rsidR="000E0D86" w:rsidRDefault="000E0D86" w:rsidP="000E0D86">
      <w:pPr>
        <w:spacing w:line="276" w:lineRule="auto"/>
        <w:ind w:left="720"/>
        <w:contextualSpacing/>
        <w:jc w:val="both"/>
        <w:rPr>
          <w:rFonts w:ascii="Palatino Linotype" w:eastAsia="Calibri" w:hAnsi="Palatino Linotype"/>
          <w:color w:val="000000" w:themeColor="text1"/>
          <w:lang w:val="en-US"/>
        </w:rPr>
      </w:pPr>
    </w:p>
    <w:p w14:paraId="1E679B70" w14:textId="77777777" w:rsidR="00ED7B8B" w:rsidRPr="000E0D86" w:rsidRDefault="00275078" w:rsidP="000E0D86">
      <w:pPr>
        <w:numPr>
          <w:ilvl w:val="0"/>
          <w:numId w:val="6"/>
        </w:numPr>
        <w:spacing w:line="276" w:lineRule="auto"/>
        <w:contextualSpacing/>
        <w:jc w:val="both"/>
        <w:rPr>
          <w:rFonts w:ascii="Palatino Linotype" w:eastAsia="Calibri" w:hAnsi="Palatino Linotype"/>
          <w:color w:val="000000" w:themeColor="text1"/>
          <w:lang w:val="en-US"/>
        </w:rPr>
      </w:pPr>
      <w:r>
        <w:rPr>
          <w:rFonts w:ascii="Palatino Linotype" w:eastAsia="Calibri" w:hAnsi="Palatino Linotype"/>
          <w:color w:val="000000" w:themeColor="text1"/>
          <w:lang w:val="en-US"/>
        </w:rPr>
        <w:t>V</w:t>
      </w:r>
      <w:r w:rsidR="00ED7B8B" w:rsidRPr="000E0D86">
        <w:rPr>
          <w:rFonts w:ascii="Palatino Linotype" w:eastAsia="Calibri" w:hAnsi="Palatino Linotype"/>
          <w:color w:val="000000" w:themeColor="text1"/>
          <w:lang w:val="en-US"/>
        </w:rPr>
        <w:t xml:space="preserve">ide order dated August 24, 2020, </w:t>
      </w:r>
      <w:r>
        <w:rPr>
          <w:rFonts w:ascii="Palatino Linotype" w:eastAsia="Calibri" w:hAnsi="Palatino Linotype"/>
          <w:color w:val="000000" w:themeColor="text1"/>
          <w:lang w:val="en-US"/>
        </w:rPr>
        <w:t xml:space="preserve">SEBI </w:t>
      </w:r>
      <w:r w:rsidR="00ED7B8B" w:rsidRPr="000E0D86">
        <w:rPr>
          <w:rFonts w:ascii="Palatino Linotype" w:eastAsia="Calibri" w:hAnsi="Palatino Linotype"/>
          <w:color w:val="000000" w:themeColor="text1"/>
          <w:lang w:val="en-US"/>
        </w:rPr>
        <w:t xml:space="preserve">directed that a sum of Rs. 2,60,93,085.85/- shall be impounded jointly and severally, from Dhiren  Mahendrakumar  Shah  HUF,  Amee  Dhiren  Shah  and  Affluence Fincon  Service  (P)  Ltd,  being  the  notional gains made on  account  of trades carried out by them in the respective trading accounts for trading in the scrip of Infibeam  Avenues  Ltd., while being in the possession of Unpublished Price Sensitive Information (UPSI). It was further directed that a  sum  of </w:t>
      </w:r>
      <w:r w:rsidR="00ED7B8B" w:rsidRPr="000E0D86">
        <w:rPr>
          <w:rFonts w:ascii="Tahoma" w:eastAsia="Calibri" w:hAnsi="Tahoma" w:cs="Tahoma"/>
          <w:color w:val="000000" w:themeColor="text1"/>
          <w:lang w:val="en-US"/>
        </w:rPr>
        <w:t>₹</w:t>
      </w:r>
      <w:r w:rsidR="00ED7B8B" w:rsidRPr="000E0D86">
        <w:rPr>
          <w:rFonts w:ascii="Palatino Linotype" w:eastAsia="Calibri" w:hAnsi="Palatino Linotype"/>
          <w:color w:val="000000" w:themeColor="text1"/>
          <w:lang w:val="en-US"/>
        </w:rPr>
        <w:t>97,36,444.34/- shall  be  impounded  from Infinium Motors (Gujarat) Pvt. Ltd (“IMGPL”) being  the notional  gain  made  on  account  of  trades  carried  out in  the  trading accounts of IMGPL, in the matter of Infibeam Avenues Ltd.</w:t>
      </w:r>
    </w:p>
    <w:p w14:paraId="07C2CB48" w14:textId="77777777" w:rsidR="00ED7B8B" w:rsidRPr="000E0D86" w:rsidRDefault="00ED7B8B" w:rsidP="000E0D86">
      <w:pPr>
        <w:spacing w:line="276" w:lineRule="auto"/>
        <w:ind w:left="720"/>
        <w:contextualSpacing/>
        <w:jc w:val="both"/>
        <w:rPr>
          <w:rFonts w:ascii="Palatino Linotype" w:eastAsia="Calibri" w:hAnsi="Palatino Linotype"/>
          <w:color w:val="000000" w:themeColor="text1"/>
          <w:lang w:val="en-US"/>
        </w:rPr>
      </w:pPr>
    </w:p>
    <w:p w14:paraId="56FD2BBC" w14:textId="77777777" w:rsidR="00E71481" w:rsidRPr="00E71481" w:rsidRDefault="00E71481" w:rsidP="00E71481">
      <w:pPr>
        <w:spacing w:after="120"/>
        <w:rPr>
          <w:rFonts w:ascii="Garamond" w:hAnsi="Garamond"/>
          <w:i/>
          <w:color w:val="0000FF"/>
          <w:sz w:val="18"/>
          <w:u w:val="single"/>
        </w:rPr>
      </w:pPr>
      <w:r w:rsidRPr="00E71481">
        <w:rPr>
          <w:rFonts w:ascii="Garamond" w:hAnsi="Garamond" w:cs="Arial"/>
          <w:i/>
          <w:szCs w:val="32"/>
        </w:rPr>
        <w:lastRenderedPageBreak/>
        <w:t>Disclaimer: The summary has been prepared for the convenience of readers. In case of any ambiguity, please refer to the original order.</w:t>
      </w:r>
    </w:p>
    <w:p w14:paraId="4983B1B0" w14:textId="77777777" w:rsidR="006F32FA" w:rsidRPr="006F32FA" w:rsidRDefault="006F32FA" w:rsidP="006F32FA">
      <w:pPr>
        <w:spacing w:after="120"/>
        <w:rPr>
          <w:rStyle w:val="Hyperlink"/>
          <w:rFonts w:ascii="Garamond" w:hAnsi="Garamond"/>
          <w:i/>
          <w:sz w:val="18"/>
        </w:rPr>
      </w:pPr>
    </w:p>
    <w:sectPr w:rsidR="006F32FA" w:rsidRPr="006F32FA" w:rsidSect="00332F86">
      <w:headerReference w:type="even" r:id="rId35"/>
      <w:headerReference w:type="default" r:id="rId36"/>
      <w:footerReference w:type="even" r:id="rId37"/>
      <w:footerReference w:type="default" r:id="rId38"/>
      <w:pgSz w:w="11906" w:h="16838" w:code="9"/>
      <w:pgMar w:top="578" w:right="1009" w:bottom="578" w:left="1009"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C79AC" w14:textId="77777777" w:rsidR="00A43172" w:rsidRDefault="00A43172" w:rsidP="00E07645">
      <w:r>
        <w:separator/>
      </w:r>
    </w:p>
  </w:endnote>
  <w:endnote w:type="continuationSeparator" w:id="0">
    <w:p w14:paraId="667FE789" w14:textId="77777777" w:rsidR="00A43172" w:rsidRDefault="00A43172"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Rupee">
    <w:altName w:val="Times New Roman"/>
    <w:charset w:val="00"/>
    <w:family w:val="auto"/>
    <w:pitch w:val="default"/>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A5117" w14:textId="77777777" w:rsidR="003E1929" w:rsidRDefault="003E1929">
    <w:pPr>
      <w:pStyle w:val="Footer"/>
    </w:pPr>
  </w:p>
  <w:p w14:paraId="41C5E6AD" w14:textId="77777777" w:rsidR="003E1929" w:rsidRDefault="003E192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008751"/>
      <w:docPartObj>
        <w:docPartGallery w:val="Page Numbers (Bottom of Page)"/>
        <w:docPartUnique/>
      </w:docPartObj>
    </w:sdtPr>
    <w:sdtEndPr>
      <w:rPr>
        <w:color w:val="7F7F7F" w:themeColor="background1" w:themeShade="7F"/>
        <w:spacing w:val="60"/>
      </w:rPr>
    </w:sdtEndPr>
    <w:sdtContent>
      <w:p w14:paraId="1315B282" w14:textId="29A78929" w:rsidR="003E1929" w:rsidRDefault="003E1929">
        <w:pPr>
          <w:pStyle w:val="Footer"/>
          <w:pBdr>
            <w:top w:val="single" w:sz="4" w:space="1" w:color="D9D9D9" w:themeColor="background1" w:themeShade="D9"/>
          </w:pBdr>
          <w:jc w:val="right"/>
        </w:pPr>
        <w:r>
          <w:fldChar w:fldCharType="begin"/>
        </w:r>
        <w:r>
          <w:instrText xml:space="preserve"> PAGE   \* MERGEFORMAT </w:instrText>
        </w:r>
        <w:r>
          <w:fldChar w:fldCharType="separate"/>
        </w:r>
        <w:r w:rsidR="00C87E2D">
          <w:rPr>
            <w:noProof/>
          </w:rPr>
          <w:t>1</w:t>
        </w:r>
        <w:r>
          <w:rPr>
            <w:noProof/>
          </w:rPr>
          <w:fldChar w:fldCharType="end"/>
        </w:r>
        <w:r>
          <w:t xml:space="preserve"> | </w:t>
        </w:r>
        <w:r>
          <w:rPr>
            <w:color w:val="7F7F7F" w:themeColor="background1" w:themeShade="7F"/>
            <w:spacing w:val="60"/>
          </w:rPr>
          <w:t>Page</w:t>
        </w:r>
      </w:p>
    </w:sdtContent>
  </w:sdt>
  <w:p w14:paraId="426DE870" w14:textId="77777777" w:rsidR="003E1929" w:rsidRDefault="003E1929">
    <w:pPr>
      <w:pStyle w:val="Footer"/>
    </w:pPr>
  </w:p>
  <w:p w14:paraId="0D7AE7E8" w14:textId="77777777" w:rsidR="003E1929" w:rsidRDefault="003E192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C9375" w14:textId="77777777" w:rsidR="00A43172" w:rsidRDefault="00A43172" w:rsidP="00E07645">
      <w:r>
        <w:separator/>
      </w:r>
    </w:p>
  </w:footnote>
  <w:footnote w:type="continuationSeparator" w:id="0">
    <w:p w14:paraId="31E73B77" w14:textId="77777777" w:rsidR="00A43172" w:rsidRDefault="00A43172" w:rsidP="00E07645">
      <w:r>
        <w:continuationSeparator/>
      </w:r>
    </w:p>
  </w:footnote>
  <w:footnote w:id="1">
    <w:p w14:paraId="4EA35124" w14:textId="77777777" w:rsidR="003E1929" w:rsidRDefault="003E1929" w:rsidP="003656FA">
      <w:pPr>
        <w:pStyle w:val="FootnoteText"/>
      </w:pPr>
      <w:r>
        <w:rPr>
          <w:rStyle w:val="FootnoteReference"/>
        </w:rPr>
        <w:footnoteRef/>
      </w:r>
      <w:r>
        <w:t xml:space="preserve"> Based on data available on World Federation of Exchanges as on 14 Aug, 2020.</w:t>
      </w:r>
    </w:p>
  </w:footnote>
  <w:footnote w:id="2">
    <w:p w14:paraId="6A6CA5FF" w14:textId="77777777" w:rsidR="003E1929" w:rsidRDefault="003E1929" w:rsidP="003656FA">
      <w:pPr>
        <w:pStyle w:val="FootnoteText"/>
      </w:pPr>
      <w:r>
        <w:rPr>
          <w:rStyle w:val="FootnoteReference"/>
        </w:rPr>
        <w:footnoteRef/>
      </w:r>
      <w:r>
        <w:t xml:space="preserve"> Germany, Spain, USA, UK, Japan, India, China, Brazil and Russia.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F0E53" w14:textId="77777777" w:rsidR="003E1929" w:rsidRDefault="003E1929">
    <w:pPr>
      <w:pStyle w:val="Header"/>
    </w:pPr>
  </w:p>
  <w:p w14:paraId="0E958B14" w14:textId="77777777" w:rsidR="003E1929" w:rsidRDefault="003E192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B082D" w14:textId="77777777" w:rsidR="003E1929" w:rsidRDefault="003E1929">
    <w:pPr>
      <w:pStyle w:val="Header"/>
    </w:pPr>
  </w:p>
  <w:p w14:paraId="1D6583EF" w14:textId="77777777" w:rsidR="003E1929" w:rsidRDefault="003E192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939D9"/>
    <w:multiLevelType w:val="multilevel"/>
    <w:tmpl w:val="11E00E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BA52DF"/>
    <w:multiLevelType w:val="hybridMultilevel"/>
    <w:tmpl w:val="EBC217E6"/>
    <w:lvl w:ilvl="0" w:tplc="40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9C45371"/>
    <w:multiLevelType w:val="multilevel"/>
    <w:tmpl w:val="9B824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575195"/>
    <w:multiLevelType w:val="hybridMultilevel"/>
    <w:tmpl w:val="FDA0980A"/>
    <w:lvl w:ilvl="0" w:tplc="D29889FC">
      <w:start w:val="9"/>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2B3ACC"/>
    <w:multiLevelType w:val="hybridMultilevel"/>
    <w:tmpl w:val="37A8B9E0"/>
    <w:lvl w:ilvl="0" w:tplc="0070206C">
      <w:start w:val="37"/>
      <w:numFmt w:val="bullet"/>
      <w:lvlText w:val=""/>
      <w:lvlJc w:val="left"/>
      <w:pPr>
        <w:ind w:left="720" w:hanging="360"/>
      </w:pPr>
      <w:rPr>
        <w:rFonts w:ascii="Symbol" w:eastAsiaTheme="minorHAnsi" w:hAnsi="Symbol" w:cs="Helvetica"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FFD16E1"/>
    <w:multiLevelType w:val="multilevel"/>
    <w:tmpl w:val="B80076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507ECC"/>
    <w:multiLevelType w:val="hybridMultilevel"/>
    <w:tmpl w:val="48EE6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D4C92"/>
    <w:multiLevelType w:val="hybridMultilevel"/>
    <w:tmpl w:val="790079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8193A3E"/>
    <w:multiLevelType w:val="hybridMultilevel"/>
    <w:tmpl w:val="40AC50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8CC7A56"/>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F760C0"/>
    <w:multiLevelType w:val="multilevel"/>
    <w:tmpl w:val="C93809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95331B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420D67"/>
    <w:multiLevelType w:val="multilevel"/>
    <w:tmpl w:val="B7105E1C"/>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1AF6346"/>
    <w:multiLevelType w:val="hybridMultilevel"/>
    <w:tmpl w:val="A4FCC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DB651A"/>
    <w:multiLevelType w:val="hybridMultilevel"/>
    <w:tmpl w:val="35A8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E67C3"/>
    <w:multiLevelType w:val="hybridMultilevel"/>
    <w:tmpl w:val="DB027F34"/>
    <w:lvl w:ilvl="0" w:tplc="40090001">
      <w:start w:val="1"/>
      <w:numFmt w:val="bullet"/>
      <w:lvlText w:val=""/>
      <w:lvlJc w:val="left"/>
      <w:pPr>
        <w:ind w:left="775" w:hanging="360"/>
      </w:pPr>
      <w:rPr>
        <w:rFonts w:ascii="Symbol" w:hAnsi="Symbol"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16" w15:restartNumberingAfterBreak="0">
    <w:nsid w:val="2A705191"/>
    <w:multiLevelType w:val="multilevel"/>
    <w:tmpl w:val="B8F40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ACA4421"/>
    <w:multiLevelType w:val="multilevel"/>
    <w:tmpl w:val="DFCE8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D6E0355"/>
    <w:multiLevelType w:val="multilevel"/>
    <w:tmpl w:val="11F67D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70573CC"/>
    <w:multiLevelType w:val="hybridMultilevel"/>
    <w:tmpl w:val="3EC47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96D5320"/>
    <w:multiLevelType w:val="multilevel"/>
    <w:tmpl w:val="396D5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2B6FF6"/>
    <w:multiLevelType w:val="hybridMultilevel"/>
    <w:tmpl w:val="125A7C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D4545AE"/>
    <w:multiLevelType w:val="hybridMultilevel"/>
    <w:tmpl w:val="35B26C1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42597F73"/>
    <w:multiLevelType w:val="hybridMultilevel"/>
    <w:tmpl w:val="E304D71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3B529E0"/>
    <w:multiLevelType w:val="hybridMultilevel"/>
    <w:tmpl w:val="3F9A40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3D91E62"/>
    <w:multiLevelType w:val="multilevel"/>
    <w:tmpl w:val="8174C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58B2D5E"/>
    <w:multiLevelType w:val="hybridMultilevel"/>
    <w:tmpl w:val="5D563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737608"/>
    <w:multiLevelType w:val="multilevel"/>
    <w:tmpl w:val="A55A0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C505AFF"/>
    <w:multiLevelType w:val="multilevel"/>
    <w:tmpl w:val="71CABB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4FE373B3"/>
    <w:multiLevelType w:val="multilevel"/>
    <w:tmpl w:val="4FE37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0477FA3"/>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17327E"/>
    <w:multiLevelType w:val="multilevel"/>
    <w:tmpl w:val="97A2AC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27B0595"/>
    <w:multiLevelType w:val="hybridMultilevel"/>
    <w:tmpl w:val="9C1AF802"/>
    <w:lvl w:ilvl="0" w:tplc="40090001">
      <w:start w:val="1"/>
      <w:numFmt w:val="bullet"/>
      <w:lvlText w:val=""/>
      <w:lvlJc w:val="left"/>
      <w:pPr>
        <w:ind w:left="1288" w:hanging="360"/>
      </w:pPr>
      <w:rPr>
        <w:rFonts w:ascii="Symbol" w:hAnsi="Symbol" w:hint="default"/>
      </w:rPr>
    </w:lvl>
    <w:lvl w:ilvl="1" w:tplc="40090003" w:tentative="1">
      <w:start w:val="1"/>
      <w:numFmt w:val="bullet"/>
      <w:lvlText w:val="o"/>
      <w:lvlJc w:val="left"/>
      <w:pPr>
        <w:ind w:left="2008" w:hanging="360"/>
      </w:pPr>
      <w:rPr>
        <w:rFonts w:ascii="Courier New" w:hAnsi="Courier New" w:cs="Courier New" w:hint="default"/>
      </w:rPr>
    </w:lvl>
    <w:lvl w:ilvl="2" w:tplc="40090005" w:tentative="1">
      <w:start w:val="1"/>
      <w:numFmt w:val="bullet"/>
      <w:lvlText w:val=""/>
      <w:lvlJc w:val="left"/>
      <w:pPr>
        <w:ind w:left="2728" w:hanging="360"/>
      </w:pPr>
      <w:rPr>
        <w:rFonts w:ascii="Wingdings" w:hAnsi="Wingdings" w:hint="default"/>
      </w:rPr>
    </w:lvl>
    <w:lvl w:ilvl="3" w:tplc="40090001" w:tentative="1">
      <w:start w:val="1"/>
      <w:numFmt w:val="bullet"/>
      <w:lvlText w:val=""/>
      <w:lvlJc w:val="left"/>
      <w:pPr>
        <w:ind w:left="3448" w:hanging="360"/>
      </w:pPr>
      <w:rPr>
        <w:rFonts w:ascii="Symbol" w:hAnsi="Symbol" w:hint="default"/>
      </w:rPr>
    </w:lvl>
    <w:lvl w:ilvl="4" w:tplc="40090003" w:tentative="1">
      <w:start w:val="1"/>
      <w:numFmt w:val="bullet"/>
      <w:lvlText w:val="o"/>
      <w:lvlJc w:val="left"/>
      <w:pPr>
        <w:ind w:left="4168" w:hanging="360"/>
      </w:pPr>
      <w:rPr>
        <w:rFonts w:ascii="Courier New" w:hAnsi="Courier New" w:cs="Courier New" w:hint="default"/>
      </w:rPr>
    </w:lvl>
    <w:lvl w:ilvl="5" w:tplc="40090005" w:tentative="1">
      <w:start w:val="1"/>
      <w:numFmt w:val="bullet"/>
      <w:lvlText w:val=""/>
      <w:lvlJc w:val="left"/>
      <w:pPr>
        <w:ind w:left="4888" w:hanging="360"/>
      </w:pPr>
      <w:rPr>
        <w:rFonts w:ascii="Wingdings" w:hAnsi="Wingdings" w:hint="default"/>
      </w:rPr>
    </w:lvl>
    <w:lvl w:ilvl="6" w:tplc="40090001" w:tentative="1">
      <w:start w:val="1"/>
      <w:numFmt w:val="bullet"/>
      <w:lvlText w:val=""/>
      <w:lvlJc w:val="left"/>
      <w:pPr>
        <w:ind w:left="5608" w:hanging="360"/>
      </w:pPr>
      <w:rPr>
        <w:rFonts w:ascii="Symbol" w:hAnsi="Symbol" w:hint="default"/>
      </w:rPr>
    </w:lvl>
    <w:lvl w:ilvl="7" w:tplc="40090003" w:tentative="1">
      <w:start w:val="1"/>
      <w:numFmt w:val="bullet"/>
      <w:lvlText w:val="o"/>
      <w:lvlJc w:val="left"/>
      <w:pPr>
        <w:ind w:left="6328" w:hanging="360"/>
      </w:pPr>
      <w:rPr>
        <w:rFonts w:ascii="Courier New" w:hAnsi="Courier New" w:cs="Courier New" w:hint="default"/>
      </w:rPr>
    </w:lvl>
    <w:lvl w:ilvl="8" w:tplc="40090005" w:tentative="1">
      <w:start w:val="1"/>
      <w:numFmt w:val="bullet"/>
      <w:lvlText w:val=""/>
      <w:lvlJc w:val="left"/>
      <w:pPr>
        <w:ind w:left="7048" w:hanging="360"/>
      </w:pPr>
      <w:rPr>
        <w:rFonts w:ascii="Wingdings" w:hAnsi="Wingdings" w:hint="default"/>
      </w:rPr>
    </w:lvl>
  </w:abstractNum>
  <w:abstractNum w:abstractNumId="33" w15:restartNumberingAfterBreak="0">
    <w:nsid w:val="5319394B"/>
    <w:multiLevelType w:val="hybridMultilevel"/>
    <w:tmpl w:val="5246C618"/>
    <w:lvl w:ilvl="0" w:tplc="5304378C">
      <w:start w:val="6"/>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96515D"/>
    <w:multiLevelType w:val="hybridMultilevel"/>
    <w:tmpl w:val="6B76225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5" w15:restartNumberingAfterBreak="0">
    <w:nsid w:val="59945B44"/>
    <w:multiLevelType w:val="hybridMultilevel"/>
    <w:tmpl w:val="49B4D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6A4B69"/>
    <w:multiLevelType w:val="multilevel"/>
    <w:tmpl w:val="9AD44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B062FF1"/>
    <w:multiLevelType w:val="hybridMultilevel"/>
    <w:tmpl w:val="3F306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5E104691"/>
    <w:multiLevelType w:val="hybridMultilevel"/>
    <w:tmpl w:val="DC622048"/>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4E711A"/>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07002C5"/>
    <w:multiLevelType w:val="hybridMultilevel"/>
    <w:tmpl w:val="602608E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15C38B9"/>
    <w:multiLevelType w:val="hybridMultilevel"/>
    <w:tmpl w:val="830040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9BD0F92"/>
    <w:multiLevelType w:val="hybridMultilevel"/>
    <w:tmpl w:val="F2E2501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FDA1306"/>
    <w:multiLevelType w:val="hybridMultilevel"/>
    <w:tmpl w:val="B7A490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20"/>
  </w:num>
  <w:num w:numId="3">
    <w:abstractNumId w:val="29"/>
  </w:num>
  <w:num w:numId="4">
    <w:abstractNumId w:val="11"/>
  </w:num>
  <w:num w:numId="5">
    <w:abstractNumId w:val="22"/>
  </w:num>
  <w:num w:numId="6">
    <w:abstractNumId w:val="38"/>
  </w:num>
  <w:num w:numId="7">
    <w:abstractNumId w:val="28"/>
  </w:num>
  <w:num w:numId="8">
    <w:abstractNumId w:val="2"/>
  </w:num>
  <w:num w:numId="9">
    <w:abstractNumId w:val="39"/>
  </w:num>
  <w:num w:numId="10">
    <w:abstractNumId w:val="25"/>
  </w:num>
  <w:num w:numId="11">
    <w:abstractNumId w:val="5"/>
  </w:num>
  <w:num w:numId="12">
    <w:abstractNumId w:val="0"/>
  </w:num>
  <w:num w:numId="13">
    <w:abstractNumId w:val="31"/>
  </w:num>
  <w:num w:numId="14">
    <w:abstractNumId w:val="36"/>
  </w:num>
  <w:num w:numId="15">
    <w:abstractNumId w:val="17"/>
  </w:num>
  <w:num w:numId="16">
    <w:abstractNumId w:val="12"/>
  </w:num>
  <w:num w:numId="17">
    <w:abstractNumId w:val="10"/>
  </w:num>
  <w:num w:numId="18">
    <w:abstractNumId w:val="18"/>
  </w:num>
  <w:num w:numId="19">
    <w:abstractNumId w:val="3"/>
  </w:num>
  <w:num w:numId="20">
    <w:abstractNumId w:val="23"/>
  </w:num>
  <w:num w:numId="21">
    <w:abstractNumId w:val="14"/>
  </w:num>
  <w:num w:numId="22">
    <w:abstractNumId w:val="41"/>
  </w:num>
  <w:num w:numId="23">
    <w:abstractNumId w:val="6"/>
  </w:num>
  <w:num w:numId="24">
    <w:abstractNumId w:val="16"/>
  </w:num>
  <w:num w:numId="25">
    <w:abstractNumId w:val="27"/>
  </w:num>
  <w:num w:numId="26">
    <w:abstractNumId w:val="9"/>
  </w:num>
  <w:num w:numId="27">
    <w:abstractNumId w:val="19"/>
  </w:num>
  <w:num w:numId="28">
    <w:abstractNumId w:val="26"/>
  </w:num>
  <w:num w:numId="29">
    <w:abstractNumId w:val="43"/>
  </w:num>
  <w:num w:numId="30">
    <w:abstractNumId w:val="4"/>
  </w:num>
  <w:num w:numId="31">
    <w:abstractNumId w:val="33"/>
  </w:num>
  <w:num w:numId="32">
    <w:abstractNumId w:val="7"/>
  </w:num>
  <w:num w:numId="33">
    <w:abstractNumId w:val="34"/>
  </w:num>
  <w:num w:numId="34">
    <w:abstractNumId w:val="42"/>
  </w:num>
  <w:num w:numId="35">
    <w:abstractNumId w:val="40"/>
  </w:num>
  <w:num w:numId="36">
    <w:abstractNumId w:val="21"/>
  </w:num>
  <w:num w:numId="37">
    <w:abstractNumId w:val="13"/>
  </w:num>
  <w:num w:numId="38">
    <w:abstractNumId w:val="35"/>
  </w:num>
  <w:num w:numId="39">
    <w:abstractNumId w:val="1"/>
  </w:num>
  <w:num w:numId="40">
    <w:abstractNumId w:val="37"/>
  </w:num>
  <w:num w:numId="41">
    <w:abstractNumId w:val="15"/>
  </w:num>
  <w:num w:numId="42">
    <w:abstractNumId w:val="32"/>
  </w:num>
  <w:num w:numId="43">
    <w:abstractNumId w:val="24"/>
  </w:num>
  <w:num w:numId="44">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00F02"/>
    <w:rsid w:val="00001102"/>
    <w:rsid w:val="000012F5"/>
    <w:rsid w:val="0000238B"/>
    <w:rsid w:val="00002F15"/>
    <w:rsid w:val="000052BB"/>
    <w:rsid w:val="00005830"/>
    <w:rsid w:val="000129F5"/>
    <w:rsid w:val="000133EA"/>
    <w:rsid w:val="00013A01"/>
    <w:rsid w:val="000145C6"/>
    <w:rsid w:val="000161B3"/>
    <w:rsid w:val="000174DC"/>
    <w:rsid w:val="000211A2"/>
    <w:rsid w:val="00022868"/>
    <w:rsid w:val="000243DB"/>
    <w:rsid w:val="000243E1"/>
    <w:rsid w:val="000254CD"/>
    <w:rsid w:val="00026D29"/>
    <w:rsid w:val="0003061B"/>
    <w:rsid w:val="000346B6"/>
    <w:rsid w:val="00034DE0"/>
    <w:rsid w:val="00035307"/>
    <w:rsid w:val="00035948"/>
    <w:rsid w:val="00035951"/>
    <w:rsid w:val="0003625D"/>
    <w:rsid w:val="00041693"/>
    <w:rsid w:val="00043C9A"/>
    <w:rsid w:val="00043F40"/>
    <w:rsid w:val="00045903"/>
    <w:rsid w:val="00045B3E"/>
    <w:rsid w:val="00046401"/>
    <w:rsid w:val="00047715"/>
    <w:rsid w:val="000507E2"/>
    <w:rsid w:val="00050DB7"/>
    <w:rsid w:val="00053B79"/>
    <w:rsid w:val="00055162"/>
    <w:rsid w:val="00062D7C"/>
    <w:rsid w:val="00063FF5"/>
    <w:rsid w:val="00066531"/>
    <w:rsid w:val="000702D1"/>
    <w:rsid w:val="00071658"/>
    <w:rsid w:val="0007274D"/>
    <w:rsid w:val="000730EC"/>
    <w:rsid w:val="0007312C"/>
    <w:rsid w:val="00073DF2"/>
    <w:rsid w:val="00074803"/>
    <w:rsid w:val="00074BD8"/>
    <w:rsid w:val="00075391"/>
    <w:rsid w:val="0007759D"/>
    <w:rsid w:val="00077C1C"/>
    <w:rsid w:val="00080500"/>
    <w:rsid w:val="00081D7A"/>
    <w:rsid w:val="00082028"/>
    <w:rsid w:val="00082CA8"/>
    <w:rsid w:val="0008421C"/>
    <w:rsid w:val="000847BB"/>
    <w:rsid w:val="00084FB3"/>
    <w:rsid w:val="00085A8E"/>
    <w:rsid w:val="0008687B"/>
    <w:rsid w:val="00086BF6"/>
    <w:rsid w:val="00087B33"/>
    <w:rsid w:val="00090A9B"/>
    <w:rsid w:val="00090DEF"/>
    <w:rsid w:val="00091168"/>
    <w:rsid w:val="00091E37"/>
    <w:rsid w:val="000920E5"/>
    <w:rsid w:val="000946C2"/>
    <w:rsid w:val="0009614C"/>
    <w:rsid w:val="0009638E"/>
    <w:rsid w:val="000A047F"/>
    <w:rsid w:val="000A0816"/>
    <w:rsid w:val="000A142F"/>
    <w:rsid w:val="000A19FF"/>
    <w:rsid w:val="000A34B6"/>
    <w:rsid w:val="000A37CE"/>
    <w:rsid w:val="000A47E6"/>
    <w:rsid w:val="000A4D70"/>
    <w:rsid w:val="000A7141"/>
    <w:rsid w:val="000B0A37"/>
    <w:rsid w:val="000B0DD6"/>
    <w:rsid w:val="000B27CD"/>
    <w:rsid w:val="000B4450"/>
    <w:rsid w:val="000B5449"/>
    <w:rsid w:val="000B5935"/>
    <w:rsid w:val="000B6B00"/>
    <w:rsid w:val="000B7FBD"/>
    <w:rsid w:val="000C02A3"/>
    <w:rsid w:val="000C0C5B"/>
    <w:rsid w:val="000C1CD7"/>
    <w:rsid w:val="000C1D79"/>
    <w:rsid w:val="000C1EA0"/>
    <w:rsid w:val="000C23CE"/>
    <w:rsid w:val="000C3C7D"/>
    <w:rsid w:val="000C5949"/>
    <w:rsid w:val="000C5AA9"/>
    <w:rsid w:val="000C6063"/>
    <w:rsid w:val="000C677F"/>
    <w:rsid w:val="000C69C1"/>
    <w:rsid w:val="000D2FD5"/>
    <w:rsid w:val="000D4C7F"/>
    <w:rsid w:val="000D66B0"/>
    <w:rsid w:val="000E03A6"/>
    <w:rsid w:val="000E0833"/>
    <w:rsid w:val="000E0D86"/>
    <w:rsid w:val="000E1FA1"/>
    <w:rsid w:val="000E33A1"/>
    <w:rsid w:val="000E3746"/>
    <w:rsid w:val="000E3A95"/>
    <w:rsid w:val="000E46BB"/>
    <w:rsid w:val="000E4795"/>
    <w:rsid w:val="000E4C9B"/>
    <w:rsid w:val="000E7329"/>
    <w:rsid w:val="000E76D0"/>
    <w:rsid w:val="000E76FF"/>
    <w:rsid w:val="000E777A"/>
    <w:rsid w:val="000F02FB"/>
    <w:rsid w:val="000F0612"/>
    <w:rsid w:val="000F0BF4"/>
    <w:rsid w:val="000F28BC"/>
    <w:rsid w:val="000F3F0C"/>
    <w:rsid w:val="000F4124"/>
    <w:rsid w:val="000F464D"/>
    <w:rsid w:val="000F55A8"/>
    <w:rsid w:val="000F5AAF"/>
    <w:rsid w:val="000F6775"/>
    <w:rsid w:val="000F7372"/>
    <w:rsid w:val="000F7C8D"/>
    <w:rsid w:val="000F7F35"/>
    <w:rsid w:val="00100264"/>
    <w:rsid w:val="00100F24"/>
    <w:rsid w:val="00102392"/>
    <w:rsid w:val="001032F6"/>
    <w:rsid w:val="00104045"/>
    <w:rsid w:val="001041E6"/>
    <w:rsid w:val="0010444E"/>
    <w:rsid w:val="001048AC"/>
    <w:rsid w:val="0010536E"/>
    <w:rsid w:val="00106806"/>
    <w:rsid w:val="00107440"/>
    <w:rsid w:val="00107643"/>
    <w:rsid w:val="0011004C"/>
    <w:rsid w:val="0011033C"/>
    <w:rsid w:val="00110766"/>
    <w:rsid w:val="00112036"/>
    <w:rsid w:val="00112407"/>
    <w:rsid w:val="00113363"/>
    <w:rsid w:val="00113380"/>
    <w:rsid w:val="00114AC5"/>
    <w:rsid w:val="00114B6F"/>
    <w:rsid w:val="001155EB"/>
    <w:rsid w:val="001164CA"/>
    <w:rsid w:val="0011654B"/>
    <w:rsid w:val="001212CB"/>
    <w:rsid w:val="00123543"/>
    <w:rsid w:val="0012367A"/>
    <w:rsid w:val="00124B1E"/>
    <w:rsid w:val="00125AF5"/>
    <w:rsid w:val="0012648B"/>
    <w:rsid w:val="00126726"/>
    <w:rsid w:val="001279AE"/>
    <w:rsid w:val="00130027"/>
    <w:rsid w:val="00130306"/>
    <w:rsid w:val="00130BC0"/>
    <w:rsid w:val="00132024"/>
    <w:rsid w:val="00132568"/>
    <w:rsid w:val="00134BC1"/>
    <w:rsid w:val="00135041"/>
    <w:rsid w:val="001357A7"/>
    <w:rsid w:val="00135EF6"/>
    <w:rsid w:val="001363E8"/>
    <w:rsid w:val="001376EC"/>
    <w:rsid w:val="00137E4B"/>
    <w:rsid w:val="00140090"/>
    <w:rsid w:val="001404C9"/>
    <w:rsid w:val="00141FC6"/>
    <w:rsid w:val="00142329"/>
    <w:rsid w:val="00143013"/>
    <w:rsid w:val="001450AE"/>
    <w:rsid w:val="00146B24"/>
    <w:rsid w:val="00146D0E"/>
    <w:rsid w:val="00150006"/>
    <w:rsid w:val="00151C67"/>
    <w:rsid w:val="001523E1"/>
    <w:rsid w:val="00153CF4"/>
    <w:rsid w:val="00154F31"/>
    <w:rsid w:val="00160183"/>
    <w:rsid w:val="00160768"/>
    <w:rsid w:val="00160DEC"/>
    <w:rsid w:val="00160E47"/>
    <w:rsid w:val="0016116C"/>
    <w:rsid w:val="0016171E"/>
    <w:rsid w:val="00162443"/>
    <w:rsid w:val="00163595"/>
    <w:rsid w:val="00164B80"/>
    <w:rsid w:val="001662DE"/>
    <w:rsid w:val="0016654B"/>
    <w:rsid w:val="001667BE"/>
    <w:rsid w:val="00166B5E"/>
    <w:rsid w:val="00170534"/>
    <w:rsid w:val="0017198F"/>
    <w:rsid w:val="001720CD"/>
    <w:rsid w:val="0017288A"/>
    <w:rsid w:val="00175031"/>
    <w:rsid w:val="00175977"/>
    <w:rsid w:val="00175A49"/>
    <w:rsid w:val="00175C02"/>
    <w:rsid w:val="00177824"/>
    <w:rsid w:val="00177BD1"/>
    <w:rsid w:val="00177C4A"/>
    <w:rsid w:val="0018049A"/>
    <w:rsid w:val="001816BF"/>
    <w:rsid w:val="0018197C"/>
    <w:rsid w:val="00182965"/>
    <w:rsid w:val="0018378C"/>
    <w:rsid w:val="001847A1"/>
    <w:rsid w:val="00184C5B"/>
    <w:rsid w:val="00184D09"/>
    <w:rsid w:val="0018502D"/>
    <w:rsid w:val="00186E61"/>
    <w:rsid w:val="001912C3"/>
    <w:rsid w:val="00191B9C"/>
    <w:rsid w:val="0019305B"/>
    <w:rsid w:val="001932A2"/>
    <w:rsid w:val="00193EFB"/>
    <w:rsid w:val="001961E8"/>
    <w:rsid w:val="00196267"/>
    <w:rsid w:val="0019787A"/>
    <w:rsid w:val="001A054F"/>
    <w:rsid w:val="001A2361"/>
    <w:rsid w:val="001A3018"/>
    <w:rsid w:val="001A375B"/>
    <w:rsid w:val="001A5A37"/>
    <w:rsid w:val="001A5E17"/>
    <w:rsid w:val="001A61B6"/>
    <w:rsid w:val="001A6439"/>
    <w:rsid w:val="001A697A"/>
    <w:rsid w:val="001A7D69"/>
    <w:rsid w:val="001A7DC2"/>
    <w:rsid w:val="001B1D3E"/>
    <w:rsid w:val="001B2693"/>
    <w:rsid w:val="001B279D"/>
    <w:rsid w:val="001B44E2"/>
    <w:rsid w:val="001B4C10"/>
    <w:rsid w:val="001B5BFF"/>
    <w:rsid w:val="001B7218"/>
    <w:rsid w:val="001C0933"/>
    <w:rsid w:val="001C0BB1"/>
    <w:rsid w:val="001C0BDA"/>
    <w:rsid w:val="001C2441"/>
    <w:rsid w:val="001C3230"/>
    <w:rsid w:val="001C4EE9"/>
    <w:rsid w:val="001C5DA4"/>
    <w:rsid w:val="001C637A"/>
    <w:rsid w:val="001C7B26"/>
    <w:rsid w:val="001C7B28"/>
    <w:rsid w:val="001D04F5"/>
    <w:rsid w:val="001D1729"/>
    <w:rsid w:val="001D2CA3"/>
    <w:rsid w:val="001D4801"/>
    <w:rsid w:val="001D4880"/>
    <w:rsid w:val="001D52A6"/>
    <w:rsid w:val="001D5BBC"/>
    <w:rsid w:val="001D68DB"/>
    <w:rsid w:val="001D7AA4"/>
    <w:rsid w:val="001D7B80"/>
    <w:rsid w:val="001E0BB4"/>
    <w:rsid w:val="001E1254"/>
    <w:rsid w:val="001E2A24"/>
    <w:rsid w:val="001E3F5F"/>
    <w:rsid w:val="001E4032"/>
    <w:rsid w:val="001E4F7E"/>
    <w:rsid w:val="001E5152"/>
    <w:rsid w:val="001E51C8"/>
    <w:rsid w:val="001E722D"/>
    <w:rsid w:val="001E79D3"/>
    <w:rsid w:val="001E7A6D"/>
    <w:rsid w:val="001F078D"/>
    <w:rsid w:val="001F19F8"/>
    <w:rsid w:val="001F3CB6"/>
    <w:rsid w:val="001F45DC"/>
    <w:rsid w:val="001F4744"/>
    <w:rsid w:val="001F4F5A"/>
    <w:rsid w:val="001F5922"/>
    <w:rsid w:val="001F707A"/>
    <w:rsid w:val="002005C8"/>
    <w:rsid w:val="00200742"/>
    <w:rsid w:val="00200C72"/>
    <w:rsid w:val="00201047"/>
    <w:rsid w:val="002013AA"/>
    <w:rsid w:val="00201776"/>
    <w:rsid w:val="00201C91"/>
    <w:rsid w:val="00201F92"/>
    <w:rsid w:val="00202156"/>
    <w:rsid w:val="00203447"/>
    <w:rsid w:val="00204BFE"/>
    <w:rsid w:val="00204C2C"/>
    <w:rsid w:val="002058D4"/>
    <w:rsid w:val="00206786"/>
    <w:rsid w:val="00206B5D"/>
    <w:rsid w:val="00207654"/>
    <w:rsid w:val="002101C9"/>
    <w:rsid w:val="00210EF0"/>
    <w:rsid w:val="00212565"/>
    <w:rsid w:val="002135D8"/>
    <w:rsid w:val="002140C5"/>
    <w:rsid w:val="0021539B"/>
    <w:rsid w:val="00217822"/>
    <w:rsid w:val="0022096F"/>
    <w:rsid w:val="00220AB1"/>
    <w:rsid w:val="00220C24"/>
    <w:rsid w:val="00220D54"/>
    <w:rsid w:val="00222713"/>
    <w:rsid w:val="00223671"/>
    <w:rsid w:val="002240ED"/>
    <w:rsid w:val="002245EC"/>
    <w:rsid w:val="00224F9F"/>
    <w:rsid w:val="002252C5"/>
    <w:rsid w:val="00225F3F"/>
    <w:rsid w:val="0022662A"/>
    <w:rsid w:val="00226BF6"/>
    <w:rsid w:val="002271C2"/>
    <w:rsid w:val="00227328"/>
    <w:rsid w:val="00227721"/>
    <w:rsid w:val="00227EA4"/>
    <w:rsid w:val="0023129A"/>
    <w:rsid w:val="002319FF"/>
    <w:rsid w:val="002322F9"/>
    <w:rsid w:val="002325B0"/>
    <w:rsid w:val="002334AB"/>
    <w:rsid w:val="00233575"/>
    <w:rsid w:val="00234E67"/>
    <w:rsid w:val="002354B2"/>
    <w:rsid w:val="00235B23"/>
    <w:rsid w:val="00236346"/>
    <w:rsid w:val="00236954"/>
    <w:rsid w:val="0023700B"/>
    <w:rsid w:val="00237509"/>
    <w:rsid w:val="002405F0"/>
    <w:rsid w:val="00240828"/>
    <w:rsid w:val="00240D60"/>
    <w:rsid w:val="00241B89"/>
    <w:rsid w:val="0024216A"/>
    <w:rsid w:val="002421DD"/>
    <w:rsid w:val="00243068"/>
    <w:rsid w:val="0024330D"/>
    <w:rsid w:val="00243434"/>
    <w:rsid w:val="002447CE"/>
    <w:rsid w:val="00244EAF"/>
    <w:rsid w:val="0024500A"/>
    <w:rsid w:val="002450DA"/>
    <w:rsid w:val="00245553"/>
    <w:rsid w:val="002467B3"/>
    <w:rsid w:val="002468DB"/>
    <w:rsid w:val="00247214"/>
    <w:rsid w:val="002479A0"/>
    <w:rsid w:val="00247B4A"/>
    <w:rsid w:val="00250D94"/>
    <w:rsid w:val="00250FFA"/>
    <w:rsid w:val="00251FF1"/>
    <w:rsid w:val="002520EA"/>
    <w:rsid w:val="002541C6"/>
    <w:rsid w:val="0025439E"/>
    <w:rsid w:val="00255D90"/>
    <w:rsid w:val="00256242"/>
    <w:rsid w:val="002576F1"/>
    <w:rsid w:val="00261986"/>
    <w:rsid w:val="002647AE"/>
    <w:rsid w:val="00265D83"/>
    <w:rsid w:val="002664D0"/>
    <w:rsid w:val="00266B8C"/>
    <w:rsid w:val="00267A7C"/>
    <w:rsid w:val="00271F75"/>
    <w:rsid w:val="002721CB"/>
    <w:rsid w:val="0027231F"/>
    <w:rsid w:val="00272D3E"/>
    <w:rsid w:val="00272F12"/>
    <w:rsid w:val="00275078"/>
    <w:rsid w:val="00275096"/>
    <w:rsid w:val="0027517B"/>
    <w:rsid w:val="00275929"/>
    <w:rsid w:val="002770A6"/>
    <w:rsid w:val="002776BE"/>
    <w:rsid w:val="00280CFD"/>
    <w:rsid w:val="002818A0"/>
    <w:rsid w:val="002818B2"/>
    <w:rsid w:val="00283974"/>
    <w:rsid w:val="00284BC2"/>
    <w:rsid w:val="002852AB"/>
    <w:rsid w:val="00285F0C"/>
    <w:rsid w:val="00286614"/>
    <w:rsid w:val="00287B4A"/>
    <w:rsid w:val="002911AB"/>
    <w:rsid w:val="00291F28"/>
    <w:rsid w:val="00294843"/>
    <w:rsid w:val="00294B3E"/>
    <w:rsid w:val="002959F3"/>
    <w:rsid w:val="00295C58"/>
    <w:rsid w:val="00295F4F"/>
    <w:rsid w:val="00296BD4"/>
    <w:rsid w:val="00297ABE"/>
    <w:rsid w:val="002A0261"/>
    <w:rsid w:val="002A25B6"/>
    <w:rsid w:val="002A2BB0"/>
    <w:rsid w:val="002A51F7"/>
    <w:rsid w:val="002A54FF"/>
    <w:rsid w:val="002A6544"/>
    <w:rsid w:val="002A7477"/>
    <w:rsid w:val="002A7A64"/>
    <w:rsid w:val="002A7D0C"/>
    <w:rsid w:val="002B0029"/>
    <w:rsid w:val="002B0E62"/>
    <w:rsid w:val="002B13B8"/>
    <w:rsid w:val="002B2515"/>
    <w:rsid w:val="002B2FED"/>
    <w:rsid w:val="002B402D"/>
    <w:rsid w:val="002B6143"/>
    <w:rsid w:val="002B769A"/>
    <w:rsid w:val="002C0082"/>
    <w:rsid w:val="002C0CF3"/>
    <w:rsid w:val="002C1200"/>
    <w:rsid w:val="002C2400"/>
    <w:rsid w:val="002C2CFE"/>
    <w:rsid w:val="002C3645"/>
    <w:rsid w:val="002C4936"/>
    <w:rsid w:val="002C4D20"/>
    <w:rsid w:val="002C4ED2"/>
    <w:rsid w:val="002C54CA"/>
    <w:rsid w:val="002C6429"/>
    <w:rsid w:val="002C6CCB"/>
    <w:rsid w:val="002C6FCE"/>
    <w:rsid w:val="002C7A76"/>
    <w:rsid w:val="002C7D3D"/>
    <w:rsid w:val="002D09D6"/>
    <w:rsid w:val="002D0AE7"/>
    <w:rsid w:val="002D2DC8"/>
    <w:rsid w:val="002D3E7C"/>
    <w:rsid w:val="002D42CB"/>
    <w:rsid w:val="002D432D"/>
    <w:rsid w:val="002D6708"/>
    <w:rsid w:val="002E006D"/>
    <w:rsid w:val="002E0F21"/>
    <w:rsid w:val="002E11AF"/>
    <w:rsid w:val="002E1534"/>
    <w:rsid w:val="002E154E"/>
    <w:rsid w:val="002E1620"/>
    <w:rsid w:val="002E18B1"/>
    <w:rsid w:val="002E20EC"/>
    <w:rsid w:val="002E2589"/>
    <w:rsid w:val="002E26CF"/>
    <w:rsid w:val="002E2C31"/>
    <w:rsid w:val="002E3090"/>
    <w:rsid w:val="002E41FF"/>
    <w:rsid w:val="002E4D3E"/>
    <w:rsid w:val="002E627C"/>
    <w:rsid w:val="002E687D"/>
    <w:rsid w:val="002E7C98"/>
    <w:rsid w:val="002E7F52"/>
    <w:rsid w:val="002F2903"/>
    <w:rsid w:val="002F2F21"/>
    <w:rsid w:val="002F41CD"/>
    <w:rsid w:val="002F70EB"/>
    <w:rsid w:val="002F71DF"/>
    <w:rsid w:val="0030004F"/>
    <w:rsid w:val="00300262"/>
    <w:rsid w:val="00301C6A"/>
    <w:rsid w:val="0030208E"/>
    <w:rsid w:val="00302A9D"/>
    <w:rsid w:val="0030426F"/>
    <w:rsid w:val="00304C7D"/>
    <w:rsid w:val="00305062"/>
    <w:rsid w:val="0030548A"/>
    <w:rsid w:val="00305806"/>
    <w:rsid w:val="003064C4"/>
    <w:rsid w:val="00306646"/>
    <w:rsid w:val="00310322"/>
    <w:rsid w:val="00310A33"/>
    <w:rsid w:val="00310D4F"/>
    <w:rsid w:val="00312489"/>
    <w:rsid w:val="00312D42"/>
    <w:rsid w:val="0031379C"/>
    <w:rsid w:val="00313F0E"/>
    <w:rsid w:val="00314ED5"/>
    <w:rsid w:val="00315CB7"/>
    <w:rsid w:val="0031610E"/>
    <w:rsid w:val="003162C3"/>
    <w:rsid w:val="00316405"/>
    <w:rsid w:val="00317D01"/>
    <w:rsid w:val="0032036A"/>
    <w:rsid w:val="00321324"/>
    <w:rsid w:val="003219BE"/>
    <w:rsid w:val="0032394B"/>
    <w:rsid w:val="00325395"/>
    <w:rsid w:val="00326A7E"/>
    <w:rsid w:val="0033096F"/>
    <w:rsid w:val="00331382"/>
    <w:rsid w:val="00332050"/>
    <w:rsid w:val="00332124"/>
    <w:rsid w:val="003321CF"/>
    <w:rsid w:val="003323BA"/>
    <w:rsid w:val="003327D8"/>
    <w:rsid w:val="00332F86"/>
    <w:rsid w:val="00333281"/>
    <w:rsid w:val="00334455"/>
    <w:rsid w:val="00334516"/>
    <w:rsid w:val="00334B83"/>
    <w:rsid w:val="003364B9"/>
    <w:rsid w:val="00336FC3"/>
    <w:rsid w:val="0034014E"/>
    <w:rsid w:val="00341FCF"/>
    <w:rsid w:val="003423FE"/>
    <w:rsid w:val="00342BD1"/>
    <w:rsid w:val="0034368F"/>
    <w:rsid w:val="0034385B"/>
    <w:rsid w:val="003456FD"/>
    <w:rsid w:val="00345A4F"/>
    <w:rsid w:val="00346D6C"/>
    <w:rsid w:val="00351582"/>
    <w:rsid w:val="003515BE"/>
    <w:rsid w:val="00352307"/>
    <w:rsid w:val="00352AD5"/>
    <w:rsid w:val="003557AC"/>
    <w:rsid w:val="00356067"/>
    <w:rsid w:val="003570AD"/>
    <w:rsid w:val="003576D8"/>
    <w:rsid w:val="0035797F"/>
    <w:rsid w:val="00357F0F"/>
    <w:rsid w:val="00360032"/>
    <w:rsid w:val="00360BE5"/>
    <w:rsid w:val="00360FA1"/>
    <w:rsid w:val="0036332D"/>
    <w:rsid w:val="003656FA"/>
    <w:rsid w:val="003671F5"/>
    <w:rsid w:val="00371E4B"/>
    <w:rsid w:val="00372242"/>
    <w:rsid w:val="00373978"/>
    <w:rsid w:val="00373B39"/>
    <w:rsid w:val="0037442E"/>
    <w:rsid w:val="003745A0"/>
    <w:rsid w:val="00374E1A"/>
    <w:rsid w:val="00375172"/>
    <w:rsid w:val="003755CB"/>
    <w:rsid w:val="003761AC"/>
    <w:rsid w:val="003769B7"/>
    <w:rsid w:val="00376E21"/>
    <w:rsid w:val="00381D19"/>
    <w:rsid w:val="00383DBF"/>
    <w:rsid w:val="00383FFB"/>
    <w:rsid w:val="00384E16"/>
    <w:rsid w:val="00385837"/>
    <w:rsid w:val="0038592C"/>
    <w:rsid w:val="00387126"/>
    <w:rsid w:val="003873FD"/>
    <w:rsid w:val="00387426"/>
    <w:rsid w:val="0038777E"/>
    <w:rsid w:val="003903F3"/>
    <w:rsid w:val="003909F6"/>
    <w:rsid w:val="003913C8"/>
    <w:rsid w:val="00391EC4"/>
    <w:rsid w:val="00391F48"/>
    <w:rsid w:val="0039243F"/>
    <w:rsid w:val="00395300"/>
    <w:rsid w:val="00395B40"/>
    <w:rsid w:val="00396038"/>
    <w:rsid w:val="00396049"/>
    <w:rsid w:val="0039654D"/>
    <w:rsid w:val="0039732B"/>
    <w:rsid w:val="00397E98"/>
    <w:rsid w:val="003A17FF"/>
    <w:rsid w:val="003A21E5"/>
    <w:rsid w:val="003A297D"/>
    <w:rsid w:val="003A2BF9"/>
    <w:rsid w:val="003A331B"/>
    <w:rsid w:val="003A3BEA"/>
    <w:rsid w:val="003A4AC6"/>
    <w:rsid w:val="003A4BE3"/>
    <w:rsid w:val="003A5FB5"/>
    <w:rsid w:val="003B0D0B"/>
    <w:rsid w:val="003B1065"/>
    <w:rsid w:val="003B1DAD"/>
    <w:rsid w:val="003B2AA2"/>
    <w:rsid w:val="003B2FD2"/>
    <w:rsid w:val="003B5D3E"/>
    <w:rsid w:val="003B6169"/>
    <w:rsid w:val="003B6B7F"/>
    <w:rsid w:val="003B6CA4"/>
    <w:rsid w:val="003B7137"/>
    <w:rsid w:val="003C0053"/>
    <w:rsid w:val="003C03E0"/>
    <w:rsid w:val="003C05C5"/>
    <w:rsid w:val="003C1892"/>
    <w:rsid w:val="003C2CFF"/>
    <w:rsid w:val="003C2E80"/>
    <w:rsid w:val="003C3AA0"/>
    <w:rsid w:val="003C3DD7"/>
    <w:rsid w:val="003C4496"/>
    <w:rsid w:val="003C51EB"/>
    <w:rsid w:val="003C6A4A"/>
    <w:rsid w:val="003C70B1"/>
    <w:rsid w:val="003C728F"/>
    <w:rsid w:val="003D15FC"/>
    <w:rsid w:val="003D192D"/>
    <w:rsid w:val="003D1EB4"/>
    <w:rsid w:val="003D2B66"/>
    <w:rsid w:val="003D31FD"/>
    <w:rsid w:val="003D42E3"/>
    <w:rsid w:val="003D5C27"/>
    <w:rsid w:val="003D77FA"/>
    <w:rsid w:val="003D7F47"/>
    <w:rsid w:val="003E0D79"/>
    <w:rsid w:val="003E0F9F"/>
    <w:rsid w:val="003E14ED"/>
    <w:rsid w:val="003E1821"/>
    <w:rsid w:val="003E1929"/>
    <w:rsid w:val="003E5A8A"/>
    <w:rsid w:val="003E5D13"/>
    <w:rsid w:val="003E61D3"/>
    <w:rsid w:val="003E63F8"/>
    <w:rsid w:val="003E70CB"/>
    <w:rsid w:val="003F0D78"/>
    <w:rsid w:val="003F139B"/>
    <w:rsid w:val="003F1FB2"/>
    <w:rsid w:val="003F3A95"/>
    <w:rsid w:val="003F537A"/>
    <w:rsid w:val="003F5475"/>
    <w:rsid w:val="003F560E"/>
    <w:rsid w:val="003F5A24"/>
    <w:rsid w:val="003F5EDA"/>
    <w:rsid w:val="003F62E0"/>
    <w:rsid w:val="003F643D"/>
    <w:rsid w:val="003F653C"/>
    <w:rsid w:val="003F71F4"/>
    <w:rsid w:val="00400590"/>
    <w:rsid w:val="00400691"/>
    <w:rsid w:val="00400A9A"/>
    <w:rsid w:val="004018C7"/>
    <w:rsid w:val="00401C57"/>
    <w:rsid w:val="004028D9"/>
    <w:rsid w:val="00404CDD"/>
    <w:rsid w:val="004066A2"/>
    <w:rsid w:val="00406C29"/>
    <w:rsid w:val="00406CA1"/>
    <w:rsid w:val="0041013E"/>
    <w:rsid w:val="00410C67"/>
    <w:rsid w:val="0041126A"/>
    <w:rsid w:val="00411783"/>
    <w:rsid w:val="00411A91"/>
    <w:rsid w:val="0041286F"/>
    <w:rsid w:val="004139A3"/>
    <w:rsid w:val="0041405E"/>
    <w:rsid w:val="0041477F"/>
    <w:rsid w:val="0041487F"/>
    <w:rsid w:val="00414991"/>
    <w:rsid w:val="00414E7A"/>
    <w:rsid w:val="00416135"/>
    <w:rsid w:val="00416ED9"/>
    <w:rsid w:val="004173B2"/>
    <w:rsid w:val="004205AB"/>
    <w:rsid w:val="00421135"/>
    <w:rsid w:val="00421794"/>
    <w:rsid w:val="004225E9"/>
    <w:rsid w:val="00423D86"/>
    <w:rsid w:val="00424C9E"/>
    <w:rsid w:val="004255B6"/>
    <w:rsid w:val="0042605C"/>
    <w:rsid w:val="00427912"/>
    <w:rsid w:val="00430234"/>
    <w:rsid w:val="00430948"/>
    <w:rsid w:val="004312D0"/>
    <w:rsid w:val="00431AF3"/>
    <w:rsid w:val="00432A89"/>
    <w:rsid w:val="00432CD0"/>
    <w:rsid w:val="004333ED"/>
    <w:rsid w:val="0043444E"/>
    <w:rsid w:val="00434487"/>
    <w:rsid w:val="004354AF"/>
    <w:rsid w:val="00436B9A"/>
    <w:rsid w:val="0044161F"/>
    <w:rsid w:val="0044362C"/>
    <w:rsid w:val="00444544"/>
    <w:rsid w:val="00444D4B"/>
    <w:rsid w:val="00445C99"/>
    <w:rsid w:val="00445CDF"/>
    <w:rsid w:val="00446060"/>
    <w:rsid w:val="00450AC4"/>
    <w:rsid w:val="00450C02"/>
    <w:rsid w:val="00451057"/>
    <w:rsid w:val="004517B1"/>
    <w:rsid w:val="00451CE6"/>
    <w:rsid w:val="0045332B"/>
    <w:rsid w:val="004539CC"/>
    <w:rsid w:val="00453B3B"/>
    <w:rsid w:val="00454200"/>
    <w:rsid w:val="00454BBE"/>
    <w:rsid w:val="00455CC2"/>
    <w:rsid w:val="00457A73"/>
    <w:rsid w:val="00460B5A"/>
    <w:rsid w:val="00462BB7"/>
    <w:rsid w:val="0046376B"/>
    <w:rsid w:val="00465207"/>
    <w:rsid w:val="0046520C"/>
    <w:rsid w:val="00467125"/>
    <w:rsid w:val="00470C37"/>
    <w:rsid w:val="00470E75"/>
    <w:rsid w:val="00471819"/>
    <w:rsid w:val="00471C73"/>
    <w:rsid w:val="00473AB6"/>
    <w:rsid w:val="00474CDF"/>
    <w:rsid w:val="00475B6F"/>
    <w:rsid w:val="00475EA5"/>
    <w:rsid w:val="00476049"/>
    <w:rsid w:val="00476DC3"/>
    <w:rsid w:val="00477023"/>
    <w:rsid w:val="00481088"/>
    <w:rsid w:val="00481126"/>
    <w:rsid w:val="00481554"/>
    <w:rsid w:val="00485AC3"/>
    <w:rsid w:val="004877E5"/>
    <w:rsid w:val="00490058"/>
    <w:rsid w:val="00490858"/>
    <w:rsid w:val="0049159A"/>
    <w:rsid w:val="004917C8"/>
    <w:rsid w:val="0049180F"/>
    <w:rsid w:val="004918D4"/>
    <w:rsid w:val="004925AA"/>
    <w:rsid w:val="00492688"/>
    <w:rsid w:val="004928B5"/>
    <w:rsid w:val="00493257"/>
    <w:rsid w:val="00493829"/>
    <w:rsid w:val="00493C95"/>
    <w:rsid w:val="004948A0"/>
    <w:rsid w:val="00495295"/>
    <w:rsid w:val="00495CD8"/>
    <w:rsid w:val="004965FA"/>
    <w:rsid w:val="004A0A89"/>
    <w:rsid w:val="004A0AA0"/>
    <w:rsid w:val="004A2B0F"/>
    <w:rsid w:val="004A2F1E"/>
    <w:rsid w:val="004A4106"/>
    <w:rsid w:val="004A4D62"/>
    <w:rsid w:val="004A5CBC"/>
    <w:rsid w:val="004A77AF"/>
    <w:rsid w:val="004B1561"/>
    <w:rsid w:val="004B37FD"/>
    <w:rsid w:val="004B50FF"/>
    <w:rsid w:val="004B52CF"/>
    <w:rsid w:val="004B58D5"/>
    <w:rsid w:val="004B68FB"/>
    <w:rsid w:val="004B74FC"/>
    <w:rsid w:val="004B75B3"/>
    <w:rsid w:val="004B7B6E"/>
    <w:rsid w:val="004B7DF7"/>
    <w:rsid w:val="004B7E75"/>
    <w:rsid w:val="004C06B8"/>
    <w:rsid w:val="004C1507"/>
    <w:rsid w:val="004C342F"/>
    <w:rsid w:val="004C41AD"/>
    <w:rsid w:val="004C5AAA"/>
    <w:rsid w:val="004C5B13"/>
    <w:rsid w:val="004C5CDD"/>
    <w:rsid w:val="004C671E"/>
    <w:rsid w:val="004C6C55"/>
    <w:rsid w:val="004C755E"/>
    <w:rsid w:val="004D03BA"/>
    <w:rsid w:val="004D20E5"/>
    <w:rsid w:val="004D2766"/>
    <w:rsid w:val="004D4942"/>
    <w:rsid w:val="004D5075"/>
    <w:rsid w:val="004D77F7"/>
    <w:rsid w:val="004E1212"/>
    <w:rsid w:val="004E18EB"/>
    <w:rsid w:val="004E1A56"/>
    <w:rsid w:val="004E204B"/>
    <w:rsid w:val="004E2725"/>
    <w:rsid w:val="004E44D7"/>
    <w:rsid w:val="004E4666"/>
    <w:rsid w:val="004E4D44"/>
    <w:rsid w:val="004E4F2A"/>
    <w:rsid w:val="004E4FF9"/>
    <w:rsid w:val="004E59E1"/>
    <w:rsid w:val="004E68D9"/>
    <w:rsid w:val="004E6A68"/>
    <w:rsid w:val="004F092E"/>
    <w:rsid w:val="004F0E2C"/>
    <w:rsid w:val="004F1BBB"/>
    <w:rsid w:val="004F328A"/>
    <w:rsid w:val="004F4B1D"/>
    <w:rsid w:val="004F4FDA"/>
    <w:rsid w:val="004F560A"/>
    <w:rsid w:val="004F6E2D"/>
    <w:rsid w:val="00500AEE"/>
    <w:rsid w:val="00501CB2"/>
    <w:rsid w:val="005021A7"/>
    <w:rsid w:val="005023F9"/>
    <w:rsid w:val="005029BF"/>
    <w:rsid w:val="00503572"/>
    <w:rsid w:val="00503C46"/>
    <w:rsid w:val="00506ADA"/>
    <w:rsid w:val="00506DC6"/>
    <w:rsid w:val="0051010F"/>
    <w:rsid w:val="00512441"/>
    <w:rsid w:val="00512785"/>
    <w:rsid w:val="00513E19"/>
    <w:rsid w:val="0051508B"/>
    <w:rsid w:val="00515FF5"/>
    <w:rsid w:val="005179F5"/>
    <w:rsid w:val="00517AB4"/>
    <w:rsid w:val="00520349"/>
    <w:rsid w:val="00522769"/>
    <w:rsid w:val="005228CE"/>
    <w:rsid w:val="00523195"/>
    <w:rsid w:val="0052378B"/>
    <w:rsid w:val="00523C6B"/>
    <w:rsid w:val="0052445F"/>
    <w:rsid w:val="00526A07"/>
    <w:rsid w:val="00527C0B"/>
    <w:rsid w:val="00530099"/>
    <w:rsid w:val="005308BB"/>
    <w:rsid w:val="00531BA9"/>
    <w:rsid w:val="00532DCC"/>
    <w:rsid w:val="0053331A"/>
    <w:rsid w:val="00533DA0"/>
    <w:rsid w:val="00534667"/>
    <w:rsid w:val="005363D6"/>
    <w:rsid w:val="005364CA"/>
    <w:rsid w:val="0053744E"/>
    <w:rsid w:val="00537FE9"/>
    <w:rsid w:val="00540F6D"/>
    <w:rsid w:val="005430DE"/>
    <w:rsid w:val="00544A10"/>
    <w:rsid w:val="00544EE7"/>
    <w:rsid w:val="005456C0"/>
    <w:rsid w:val="00546F34"/>
    <w:rsid w:val="005473DC"/>
    <w:rsid w:val="00547CB1"/>
    <w:rsid w:val="00550718"/>
    <w:rsid w:val="00550730"/>
    <w:rsid w:val="005508F9"/>
    <w:rsid w:val="00550AAC"/>
    <w:rsid w:val="0055100E"/>
    <w:rsid w:val="005511B9"/>
    <w:rsid w:val="005512F9"/>
    <w:rsid w:val="00551F25"/>
    <w:rsid w:val="0055272B"/>
    <w:rsid w:val="00553199"/>
    <w:rsid w:val="005537D2"/>
    <w:rsid w:val="00553A93"/>
    <w:rsid w:val="00554852"/>
    <w:rsid w:val="00554FE9"/>
    <w:rsid w:val="005553B4"/>
    <w:rsid w:val="005553E9"/>
    <w:rsid w:val="005560D4"/>
    <w:rsid w:val="0055674D"/>
    <w:rsid w:val="00556A8C"/>
    <w:rsid w:val="00557075"/>
    <w:rsid w:val="00557F61"/>
    <w:rsid w:val="005609FB"/>
    <w:rsid w:val="00561B4E"/>
    <w:rsid w:val="00561BB9"/>
    <w:rsid w:val="00562052"/>
    <w:rsid w:val="00562529"/>
    <w:rsid w:val="005628AE"/>
    <w:rsid w:val="00562BBD"/>
    <w:rsid w:val="00563C6B"/>
    <w:rsid w:val="00564999"/>
    <w:rsid w:val="00566E49"/>
    <w:rsid w:val="00566F45"/>
    <w:rsid w:val="005675F7"/>
    <w:rsid w:val="005676F5"/>
    <w:rsid w:val="005678B7"/>
    <w:rsid w:val="00567B61"/>
    <w:rsid w:val="00571F07"/>
    <w:rsid w:val="00573059"/>
    <w:rsid w:val="00574D67"/>
    <w:rsid w:val="00575F0D"/>
    <w:rsid w:val="00576EC5"/>
    <w:rsid w:val="0058047E"/>
    <w:rsid w:val="00580563"/>
    <w:rsid w:val="005805C0"/>
    <w:rsid w:val="00580980"/>
    <w:rsid w:val="00580E45"/>
    <w:rsid w:val="0058176C"/>
    <w:rsid w:val="00582027"/>
    <w:rsid w:val="005822ED"/>
    <w:rsid w:val="00582803"/>
    <w:rsid w:val="0058376D"/>
    <w:rsid w:val="00583ADF"/>
    <w:rsid w:val="00583B02"/>
    <w:rsid w:val="00584C53"/>
    <w:rsid w:val="00586AF5"/>
    <w:rsid w:val="00586E40"/>
    <w:rsid w:val="0059339E"/>
    <w:rsid w:val="00593652"/>
    <w:rsid w:val="005936C9"/>
    <w:rsid w:val="00594142"/>
    <w:rsid w:val="00594C6C"/>
    <w:rsid w:val="00594DA2"/>
    <w:rsid w:val="00595268"/>
    <w:rsid w:val="00595330"/>
    <w:rsid w:val="00595392"/>
    <w:rsid w:val="00595DF3"/>
    <w:rsid w:val="00596E5C"/>
    <w:rsid w:val="005A0285"/>
    <w:rsid w:val="005A0A20"/>
    <w:rsid w:val="005A15AF"/>
    <w:rsid w:val="005A15B1"/>
    <w:rsid w:val="005A1704"/>
    <w:rsid w:val="005A1BA3"/>
    <w:rsid w:val="005A1FFE"/>
    <w:rsid w:val="005A282D"/>
    <w:rsid w:val="005A3028"/>
    <w:rsid w:val="005A3CBE"/>
    <w:rsid w:val="005A3F7D"/>
    <w:rsid w:val="005A40A3"/>
    <w:rsid w:val="005A4316"/>
    <w:rsid w:val="005A4D17"/>
    <w:rsid w:val="005A5AC8"/>
    <w:rsid w:val="005A765A"/>
    <w:rsid w:val="005A7FA8"/>
    <w:rsid w:val="005B05E6"/>
    <w:rsid w:val="005B0C69"/>
    <w:rsid w:val="005B1031"/>
    <w:rsid w:val="005B1872"/>
    <w:rsid w:val="005B22A2"/>
    <w:rsid w:val="005B240B"/>
    <w:rsid w:val="005B325C"/>
    <w:rsid w:val="005B3403"/>
    <w:rsid w:val="005B5428"/>
    <w:rsid w:val="005B5BF1"/>
    <w:rsid w:val="005B5C45"/>
    <w:rsid w:val="005B7799"/>
    <w:rsid w:val="005C0C45"/>
    <w:rsid w:val="005C1A9B"/>
    <w:rsid w:val="005C1AF4"/>
    <w:rsid w:val="005C375D"/>
    <w:rsid w:val="005C4914"/>
    <w:rsid w:val="005C5303"/>
    <w:rsid w:val="005C5499"/>
    <w:rsid w:val="005C6219"/>
    <w:rsid w:val="005C6540"/>
    <w:rsid w:val="005C7FB6"/>
    <w:rsid w:val="005D07CE"/>
    <w:rsid w:val="005D10C7"/>
    <w:rsid w:val="005D397F"/>
    <w:rsid w:val="005D7224"/>
    <w:rsid w:val="005D738E"/>
    <w:rsid w:val="005D7E5E"/>
    <w:rsid w:val="005E0816"/>
    <w:rsid w:val="005E0AEF"/>
    <w:rsid w:val="005E0F99"/>
    <w:rsid w:val="005E1961"/>
    <w:rsid w:val="005E2A41"/>
    <w:rsid w:val="005E3653"/>
    <w:rsid w:val="005E3B1B"/>
    <w:rsid w:val="005E4ECB"/>
    <w:rsid w:val="005E4FE5"/>
    <w:rsid w:val="005E66C3"/>
    <w:rsid w:val="005F0012"/>
    <w:rsid w:val="005F0A31"/>
    <w:rsid w:val="005F15E4"/>
    <w:rsid w:val="005F3B5C"/>
    <w:rsid w:val="005F3D2C"/>
    <w:rsid w:val="005F443A"/>
    <w:rsid w:val="005F527E"/>
    <w:rsid w:val="005F53D0"/>
    <w:rsid w:val="005F5CDF"/>
    <w:rsid w:val="005F5DCF"/>
    <w:rsid w:val="005F5E77"/>
    <w:rsid w:val="005F6797"/>
    <w:rsid w:val="006004A3"/>
    <w:rsid w:val="00601046"/>
    <w:rsid w:val="006014E5"/>
    <w:rsid w:val="006015D9"/>
    <w:rsid w:val="00601A5D"/>
    <w:rsid w:val="00602902"/>
    <w:rsid w:val="0060354C"/>
    <w:rsid w:val="00605018"/>
    <w:rsid w:val="006056C6"/>
    <w:rsid w:val="00605A24"/>
    <w:rsid w:val="00605DA3"/>
    <w:rsid w:val="00606E35"/>
    <w:rsid w:val="006100DD"/>
    <w:rsid w:val="0061099B"/>
    <w:rsid w:val="00610CFC"/>
    <w:rsid w:val="006116C3"/>
    <w:rsid w:val="00612E2F"/>
    <w:rsid w:val="00612E44"/>
    <w:rsid w:val="00613959"/>
    <w:rsid w:val="00614BDD"/>
    <w:rsid w:val="00614D29"/>
    <w:rsid w:val="00615563"/>
    <w:rsid w:val="00615BAE"/>
    <w:rsid w:val="00615DB4"/>
    <w:rsid w:val="00615F62"/>
    <w:rsid w:val="00620BE6"/>
    <w:rsid w:val="00620D83"/>
    <w:rsid w:val="006212DC"/>
    <w:rsid w:val="00621E66"/>
    <w:rsid w:val="0062348C"/>
    <w:rsid w:val="00623736"/>
    <w:rsid w:val="00623D21"/>
    <w:rsid w:val="006250FD"/>
    <w:rsid w:val="0062626C"/>
    <w:rsid w:val="00627C67"/>
    <w:rsid w:val="00634228"/>
    <w:rsid w:val="006346B2"/>
    <w:rsid w:val="00634B83"/>
    <w:rsid w:val="006371D1"/>
    <w:rsid w:val="006372C3"/>
    <w:rsid w:val="006374DA"/>
    <w:rsid w:val="00637931"/>
    <w:rsid w:val="0064028C"/>
    <w:rsid w:val="00640D34"/>
    <w:rsid w:val="0064110C"/>
    <w:rsid w:val="006411A7"/>
    <w:rsid w:val="00641DEA"/>
    <w:rsid w:val="00642EB0"/>
    <w:rsid w:val="00642FAF"/>
    <w:rsid w:val="00643350"/>
    <w:rsid w:val="0064380B"/>
    <w:rsid w:val="006446D3"/>
    <w:rsid w:val="006450C2"/>
    <w:rsid w:val="00645482"/>
    <w:rsid w:val="006464B0"/>
    <w:rsid w:val="006479A5"/>
    <w:rsid w:val="00647DF8"/>
    <w:rsid w:val="00650B2A"/>
    <w:rsid w:val="006514AD"/>
    <w:rsid w:val="00651A1A"/>
    <w:rsid w:val="006529AC"/>
    <w:rsid w:val="00652D24"/>
    <w:rsid w:val="00653341"/>
    <w:rsid w:val="00653A3F"/>
    <w:rsid w:val="00653B6D"/>
    <w:rsid w:val="00654C57"/>
    <w:rsid w:val="0065637B"/>
    <w:rsid w:val="00657483"/>
    <w:rsid w:val="00657566"/>
    <w:rsid w:val="006609BA"/>
    <w:rsid w:val="00660B5A"/>
    <w:rsid w:val="00660BB8"/>
    <w:rsid w:val="006639C3"/>
    <w:rsid w:val="00665D17"/>
    <w:rsid w:val="0066762D"/>
    <w:rsid w:val="006677F4"/>
    <w:rsid w:val="00671E15"/>
    <w:rsid w:val="0067306A"/>
    <w:rsid w:val="00673377"/>
    <w:rsid w:val="006746EC"/>
    <w:rsid w:val="006747B6"/>
    <w:rsid w:val="006752EC"/>
    <w:rsid w:val="00675669"/>
    <w:rsid w:val="00675CCB"/>
    <w:rsid w:val="006764C5"/>
    <w:rsid w:val="00676C0A"/>
    <w:rsid w:val="006770F9"/>
    <w:rsid w:val="006772CA"/>
    <w:rsid w:val="00677A80"/>
    <w:rsid w:val="00677E70"/>
    <w:rsid w:val="00682024"/>
    <w:rsid w:val="00682378"/>
    <w:rsid w:val="006826F4"/>
    <w:rsid w:val="0068361F"/>
    <w:rsid w:val="0068366D"/>
    <w:rsid w:val="006849C4"/>
    <w:rsid w:val="00684B64"/>
    <w:rsid w:val="00684D9D"/>
    <w:rsid w:val="006902D1"/>
    <w:rsid w:val="00690A86"/>
    <w:rsid w:val="00690B95"/>
    <w:rsid w:val="00691339"/>
    <w:rsid w:val="00692DA4"/>
    <w:rsid w:val="00694264"/>
    <w:rsid w:val="00694899"/>
    <w:rsid w:val="00695284"/>
    <w:rsid w:val="00695903"/>
    <w:rsid w:val="00697927"/>
    <w:rsid w:val="006A2022"/>
    <w:rsid w:val="006A2452"/>
    <w:rsid w:val="006A285B"/>
    <w:rsid w:val="006A2996"/>
    <w:rsid w:val="006A3B50"/>
    <w:rsid w:val="006A3E37"/>
    <w:rsid w:val="006A4BB9"/>
    <w:rsid w:val="006A5020"/>
    <w:rsid w:val="006A566F"/>
    <w:rsid w:val="006A5E7D"/>
    <w:rsid w:val="006A5F6D"/>
    <w:rsid w:val="006B0DF3"/>
    <w:rsid w:val="006B2C0E"/>
    <w:rsid w:val="006B2C93"/>
    <w:rsid w:val="006B31E6"/>
    <w:rsid w:val="006B35F9"/>
    <w:rsid w:val="006B3750"/>
    <w:rsid w:val="006B3DAF"/>
    <w:rsid w:val="006B43CF"/>
    <w:rsid w:val="006B57F9"/>
    <w:rsid w:val="006B6A93"/>
    <w:rsid w:val="006B6B1A"/>
    <w:rsid w:val="006B717C"/>
    <w:rsid w:val="006C03D7"/>
    <w:rsid w:val="006C055D"/>
    <w:rsid w:val="006C0F90"/>
    <w:rsid w:val="006C2A89"/>
    <w:rsid w:val="006C2C41"/>
    <w:rsid w:val="006C37B5"/>
    <w:rsid w:val="006C3DFF"/>
    <w:rsid w:val="006C50BF"/>
    <w:rsid w:val="006C59F0"/>
    <w:rsid w:val="006C78AC"/>
    <w:rsid w:val="006D0305"/>
    <w:rsid w:val="006D1732"/>
    <w:rsid w:val="006D2165"/>
    <w:rsid w:val="006D3E43"/>
    <w:rsid w:val="006D430E"/>
    <w:rsid w:val="006D4CE3"/>
    <w:rsid w:val="006D681F"/>
    <w:rsid w:val="006D6E35"/>
    <w:rsid w:val="006D7B46"/>
    <w:rsid w:val="006E0546"/>
    <w:rsid w:val="006E0F44"/>
    <w:rsid w:val="006E5698"/>
    <w:rsid w:val="006E6B6C"/>
    <w:rsid w:val="006E776E"/>
    <w:rsid w:val="006F00FA"/>
    <w:rsid w:val="006F0227"/>
    <w:rsid w:val="006F06C7"/>
    <w:rsid w:val="006F11EB"/>
    <w:rsid w:val="006F2F06"/>
    <w:rsid w:val="006F32FA"/>
    <w:rsid w:val="006F5696"/>
    <w:rsid w:val="006F587F"/>
    <w:rsid w:val="006F6807"/>
    <w:rsid w:val="007040D9"/>
    <w:rsid w:val="00705B35"/>
    <w:rsid w:val="00706036"/>
    <w:rsid w:val="00706CB2"/>
    <w:rsid w:val="00707D06"/>
    <w:rsid w:val="007105B1"/>
    <w:rsid w:val="00711718"/>
    <w:rsid w:val="00713267"/>
    <w:rsid w:val="00713E40"/>
    <w:rsid w:val="007147ED"/>
    <w:rsid w:val="00715C48"/>
    <w:rsid w:val="00715FE7"/>
    <w:rsid w:val="00717204"/>
    <w:rsid w:val="00720132"/>
    <w:rsid w:val="00720C83"/>
    <w:rsid w:val="007225EE"/>
    <w:rsid w:val="007251BD"/>
    <w:rsid w:val="0072521F"/>
    <w:rsid w:val="00726493"/>
    <w:rsid w:val="00726C7B"/>
    <w:rsid w:val="007272D4"/>
    <w:rsid w:val="007273B9"/>
    <w:rsid w:val="00730CAE"/>
    <w:rsid w:val="0073287C"/>
    <w:rsid w:val="0073327C"/>
    <w:rsid w:val="0073377B"/>
    <w:rsid w:val="0073382E"/>
    <w:rsid w:val="00734548"/>
    <w:rsid w:val="00736735"/>
    <w:rsid w:val="007402CA"/>
    <w:rsid w:val="00740743"/>
    <w:rsid w:val="00740F0D"/>
    <w:rsid w:val="00740FD6"/>
    <w:rsid w:val="00741CA3"/>
    <w:rsid w:val="0074212F"/>
    <w:rsid w:val="007442FA"/>
    <w:rsid w:val="007448A6"/>
    <w:rsid w:val="00747B17"/>
    <w:rsid w:val="00747D9D"/>
    <w:rsid w:val="007500D2"/>
    <w:rsid w:val="007509C8"/>
    <w:rsid w:val="00750E6E"/>
    <w:rsid w:val="0075135A"/>
    <w:rsid w:val="007518D6"/>
    <w:rsid w:val="007522E5"/>
    <w:rsid w:val="0075259F"/>
    <w:rsid w:val="00753513"/>
    <w:rsid w:val="007547DA"/>
    <w:rsid w:val="00754CFA"/>
    <w:rsid w:val="007550EC"/>
    <w:rsid w:val="00756ED6"/>
    <w:rsid w:val="00757F21"/>
    <w:rsid w:val="0076135C"/>
    <w:rsid w:val="007617CE"/>
    <w:rsid w:val="00762299"/>
    <w:rsid w:val="0076574F"/>
    <w:rsid w:val="00765EB9"/>
    <w:rsid w:val="00766030"/>
    <w:rsid w:val="00766DB9"/>
    <w:rsid w:val="00770073"/>
    <w:rsid w:val="0077018F"/>
    <w:rsid w:val="00771E4F"/>
    <w:rsid w:val="0077298A"/>
    <w:rsid w:val="007737AA"/>
    <w:rsid w:val="00775564"/>
    <w:rsid w:val="00776955"/>
    <w:rsid w:val="0077710E"/>
    <w:rsid w:val="00777607"/>
    <w:rsid w:val="0077767C"/>
    <w:rsid w:val="00777A64"/>
    <w:rsid w:val="007806EA"/>
    <w:rsid w:val="00780D32"/>
    <w:rsid w:val="00781A7D"/>
    <w:rsid w:val="00781E09"/>
    <w:rsid w:val="00782843"/>
    <w:rsid w:val="00787D73"/>
    <w:rsid w:val="0079221D"/>
    <w:rsid w:val="00795793"/>
    <w:rsid w:val="007A291E"/>
    <w:rsid w:val="007A54BA"/>
    <w:rsid w:val="007A583C"/>
    <w:rsid w:val="007A6167"/>
    <w:rsid w:val="007A66D8"/>
    <w:rsid w:val="007A6867"/>
    <w:rsid w:val="007A7B9F"/>
    <w:rsid w:val="007B006B"/>
    <w:rsid w:val="007B01E7"/>
    <w:rsid w:val="007B0791"/>
    <w:rsid w:val="007B0A17"/>
    <w:rsid w:val="007B2F25"/>
    <w:rsid w:val="007B3B8D"/>
    <w:rsid w:val="007B43DF"/>
    <w:rsid w:val="007B4C1C"/>
    <w:rsid w:val="007B4F50"/>
    <w:rsid w:val="007B50BE"/>
    <w:rsid w:val="007B58B1"/>
    <w:rsid w:val="007B5CBD"/>
    <w:rsid w:val="007B6607"/>
    <w:rsid w:val="007B72B2"/>
    <w:rsid w:val="007B7F5A"/>
    <w:rsid w:val="007C02AF"/>
    <w:rsid w:val="007C18BF"/>
    <w:rsid w:val="007C2931"/>
    <w:rsid w:val="007C32C5"/>
    <w:rsid w:val="007C372B"/>
    <w:rsid w:val="007C52EA"/>
    <w:rsid w:val="007C5387"/>
    <w:rsid w:val="007C7A52"/>
    <w:rsid w:val="007C7C20"/>
    <w:rsid w:val="007D0F24"/>
    <w:rsid w:val="007D1402"/>
    <w:rsid w:val="007D2ED4"/>
    <w:rsid w:val="007D32EC"/>
    <w:rsid w:val="007D475A"/>
    <w:rsid w:val="007D5106"/>
    <w:rsid w:val="007D5625"/>
    <w:rsid w:val="007D6375"/>
    <w:rsid w:val="007D685F"/>
    <w:rsid w:val="007D7450"/>
    <w:rsid w:val="007D7570"/>
    <w:rsid w:val="007D7650"/>
    <w:rsid w:val="007E14FB"/>
    <w:rsid w:val="007E1A4F"/>
    <w:rsid w:val="007E1E9F"/>
    <w:rsid w:val="007E2FA7"/>
    <w:rsid w:val="007E3579"/>
    <w:rsid w:val="007E363D"/>
    <w:rsid w:val="007E41CF"/>
    <w:rsid w:val="007E42E3"/>
    <w:rsid w:val="007E5DD0"/>
    <w:rsid w:val="007E60FA"/>
    <w:rsid w:val="007E79B7"/>
    <w:rsid w:val="007F0EA2"/>
    <w:rsid w:val="007F2167"/>
    <w:rsid w:val="007F7AF3"/>
    <w:rsid w:val="007F7DAE"/>
    <w:rsid w:val="00800A00"/>
    <w:rsid w:val="0080386F"/>
    <w:rsid w:val="0080448E"/>
    <w:rsid w:val="008056A1"/>
    <w:rsid w:val="00806B1F"/>
    <w:rsid w:val="00811DCD"/>
    <w:rsid w:val="00811E9F"/>
    <w:rsid w:val="00812A19"/>
    <w:rsid w:val="00813310"/>
    <w:rsid w:val="00813410"/>
    <w:rsid w:val="00814BBD"/>
    <w:rsid w:val="00815E00"/>
    <w:rsid w:val="00816081"/>
    <w:rsid w:val="0081622D"/>
    <w:rsid w:val="00816DF3"/>
    <w:rsid w:val="00816E4C"/>
    <w:rsid w:val="00817E79"/>
    <w:rsid w:val="00817F15"/>
    <w:rsid w:val="008204D8"/>
    <w:rsid w:val="00820DE7"/>
    <w:rsid w:val="008217CF"/>
    <w:rsid w:val="0082197C"/>
    <w:rsid w:val="00821A1D"/>
    <w:rsid w:val="00824E56"/>
    <w:rsid w:val="00826550"/>
    <w:rsid w:val="0082750D"/>
    <w:rsid w:val="00827CC3"/>
    <w:rsid w:val="00830BBE"/>
    <w:rsid w:val="00831200"/>
    <w:rsid w:val="008316D5"/>
    <w:rsid w:val="00831989"/>
    <w:rsid w:val="00831AFC"/>
    <w:rsid w:val="0083315B"/>
    <w:rsid w:val="00833CDB"/>
    <w:rsid w:val="00835294"/>
    <w:rsid w:val="00836C04"/>
    <w:rsid w:val="0083773A"/>
    <w:rsid w:val="00837D47"/>
    <w:rsid w:val="00837E30"/>
    <w:rsid w:val="00841A33"/>
    <w:rsid w:val="00842902"/>
    <w:rsid w:val="00847245"/>
    <w:rsid w:val="00847777"/>
    <w:rsid w:val="008477BF"/>
    <w:rsid w:val="0085178D"/>
    <w:rsid w:val="00852362"/>
    <w:rsid w:val="008528B5"/>
    <w:rsid w:val="00852F62"/>
    <w:rsid w:val="00854774"/>
    <w:rsid w:val="008558A9"/>
    <w:rsid w:val="00856CD9"/>
    <w:rsid w:val="00857A1C"/>
    <w:rsid w:val="0086086A"/>
    <w:rsid w:val="00860BB0"/>
    <w:rsid w:val="00861EC4"/>
    <w:rsid w:val="0086293C"/>
    <w:rsid w:val="00862F07"/>
    <w:rsid w:val="008641C4"/>
    <w:rsid w:val="00864D1B"/>
    <w:rsid w:val="00864DA5"/>
    <w:rsid w:val="00867558"/>
    <w:rsid w:val="008705B0"/>
    <w:rsid w:val="008714AA"/>
    <w:rsid w:val="00871B96"/>
    <w:rsid w:val="00875D41"/>
    <w:rsid w:val="00876AA6"/>
    <w:rsid w:val="00876FF4"/>
    <w:rsid w:val="0087713E"/>
    <w:rsid w:val="00882232"/>
    <w:rsid w:val="0088276F"/>
    <w:rsid w:val="008835A9"/>
    <w:rsid w:val="008846F1"/>
    <w:rsid w:val="0088537A"/>
    <w:rsid w:val="0088584C"/>
    <w:rsid w:val="00886AD0"/>
    <w:rsid w:val="008904AD"/>
    <w:rsid w:val="00892E7D"/>
    <w:rsid w:val="00892FAD"/>
    <w:rsid w:val="008933EF"/>
    <w:rsid w:val="00893AB5"/>
    <w:rsid w:val="00895BEF"/>
    <w:rsid w:val="00895DB7"/>
    <w:rsid w:val="00896A80"/>
    <w:rsid w:val="00897679"/>
    <w:rsid w:val="008A3113"/>
    <w:rsid w:val="008A3A6D"/>
    <w:rsid w:val="008A4C21"/>
    <w:rsid w:val="008A54E3"/>
    <w:rsid w:val="008B0622"/>
    <w:rsid w:val="008B0809"/>
    <w:rsid w:val="008B1B74"/>
    <w:rsid w:val="008B20BD"/>
    <w:rsid w:val="008B4C82"/>
    <w:rsid w:val="008B60BD"/>
    <w:rsid w:val="008B6B2A"/>
    <w:rsid w:val="008B7013"/>
    <w:rsid w:val="008B7895"/>
    <w:rsid w:val="008C28B7"/>
    <w:rsid w:val="008C2C3F"/>
    <w:rsid w:val="008C3145"/>
    <w:rsid w:val="008C4646"/>
    <w:rsid w:val="008C4815"/>
    <w:rsid w:val="008C4CC6"/>
    <w:rsid w:val="008C4F81"/>
    <w:rsid w:val="008C522C"/>
    <w:rsid w:val="008C52EE"/>
    <w:rsid w:val="008C70C7"/>
    <w:rsid w:val="008C7C0B"/>
    <w:rsid w:val="008C7CE1"/>
    <w:rsid w:val="008D1225"/>
    <w:rsid w:val="008D1D0E"/>
    <w:rsid w:val="008D1F15"/>
    <w:rsid w:val="008D1F2B"/>
    <w:rsid w:val="008D3B96"/>
    <w:rsid w:val="008D5210"/>
    <w:rsid w:val="008D6416"/>
    <w:rsid w:val="008D652C"/>
    <w:rsid w:val="008D7F6B"/>
    <w:rsid w:val="008E05E9"/>
    <w:rsid w:val="008E0D37"/>
    <w:rsid w:val="008E2D53"/>
    <w:rsid w:val="008E4467"/>
    <w:rsid w:val="008E4CD7"/>
    <w:rsid w:val="008E641D"/>
    <w:rsid w:val="008E660D"/>
    <w:rsid w:val="008E7DD4"/>
    <w:rsid w:val="008F056F"/>
    <w:rsid w:val="008F21C1"/>
    <w:rsid w:val="008F305A"/>
    <w:rsid w:val="008F3154"/>
    <w:rsid w:val="008F3465"/>
    <w:rsid w:val="008F3512"/>
    <w:rsid w:val="008F371C"/>
    <w:rsid w:val="008F3D5F"/>
    <w:rsid w:val="008F438E"/>
    <w:rsid w:val="008F66BA"/>
    <w:rsid w:val="008F7D54"/>
    <w:rsid w:val="009004F9"/>
    <w:rsid w:val="0090344A"/>
    <w:rsid w:val="0090383C"/>
    <w:rsid w:val="0090561B"/>
    <w:rsid w:val="00910139"/>
    <w:rsid w:val="009112B1"/>
    <w:rsid w:val="00913261"/>
    <w:rsid w:val="00913B82"/>
    <w:rsid w:val="00914276"/>
    <w:rsid w:val="009158AA"/>
    <w:rsid w:val="00916549"/>
    <w:rsid w:val="00916DEB"/>
    <w:rsid w:val="00917022"/>
    <w:rsid w:val="00917485"/>
    <w:rsid w:val="00920C84"/>
    <w:rsid w:val="00920F02"/>
    <w:rsid w:val="00922591"/>
    <w:rsid w:val="00922A73"/>
    <w:rsid w:val="00922D02"/>
    <w:rsid w:val="00926673"/>
    <w:rsid w:val="00926FCA"/>
    <w:rsid w:val="009271A2"/>
    <w:rsid w:val="0093027F"/>
    <w:rsid w:val="0093151B"/>
    <w:rsid w:val="00931738"/>
    <w:rsid w:val="00931B31"/>
    <w:rsid w:val="009325AE"/>
    <w:rsid w:val="009346E0"/>
    <w:rsid w:val="009349B5"/>
    <w:rsid w:val="00940224"/>
    <w:rsid w:val="009402E0"/>
    <w:rsid w:val="009425A7"/>
    <w:rsid w:val="0094265B"/>
    <w:rsid w:val="00942CF7"/>
    <w:rsid w:val="00942E4C"/>
    <w:rsid w:val="00944900"/>
    <w:rsid w:val="00944EA3"/>
    <w:rsid w:val="0094583D"/>
    <w:rsid w:val="00945BCE"/>
    <w:rsid w:val="00950947"/>
    <w:rsid w:val="009509BD"/>
    <w:rsid w:val="00950C0B"/>
    <w:rsid w:val="00951984"/>
    <w:rsid w:val="0095439B"/>
    <w:rsid w:val="00954EC8"/>
    <w:rsid w:val="009553FC"/>
    <w:rsid w:val="009554DD"/>
    <w:rsid w:val="00957E5D"/>
    <w:rsid w:val="0096009C"/>
    <w:rsid w:val="009624C2"/>
    <w:rsid w:val="0096374D"/>
    <w:rsid w:val="00966DA4"/>
    <w:rsid w:val="00970201"/>
    <w:rsid w:val="00971402"/>
    <w:rsid w:val="00971744"/>
    <w:rsid w:val="00971830"/>
    <w:rsid w:val="00971A5A"/>
    <w:rsid w:val="00972C2E"/>
    <w:rsid w:val="00972EB6"/>
    <w:rsid w:val="0097707B"/>
    <w:rsid w:val="00980A15"/>
    <w:rsid w:val="009846CF"/>
    <w:rsid w:val="00984BF8"/>
    <w:rsid w:val="009850BA"/>
    <w:rsid w:val="00985D75"/>
    <w:rsid w:val="00986146"/>
    <w:rsid w:val="00987534"/>
    <w:rsid w:val="00990E20"/>
    <w:rsid w:val="00990ED9"/>
    <w:rsid w:val="00992888"/>
    <w:rsid w:val="00992AA9"/>
    <w:rsid w:val="009947F1"/>
    <w:rsid w:val="009949CE"/>
    <w:rsid w:val="00994F03"/>
    <w:rsid w:val="009A01F1"/>
    <w:rsid w:val="009A045C"/>
    <w:rsid w:val="009A081F"/>
    <w:rsid w:val="009A0EB3"/>
    <w:rsid w:val="009A1D3C"/>
    <w:rsid w:val="009A1E77"/>
    <w:rsid w:val="009A2123"/>
    <w:rsid w:val="009A43E6"/>
    <w:rsid w:val="009A47F0"/>
    <w:rsid w:val="009A5D78"/>
    <w:rsid w:val="009A6127"/>
    <w:rsid w:val="009A6C1F"/>
    <w:rsid w:val="009A77F3"/>
    <w:rsid w:val="009A7B25"/>
    <w:rsid w:val="009B05A6"/>
    <w:rsid w:val="009B0BA2"/>
    <w:rsid w:val="009B1322"/>
    <w:rsid w:val="009B2029"/>
    <w:rsid w:val="009B27DF"/>
    <w:rsid w:val="009B2ABB"/>
    <w:rsid w:val="009B3429"/>
    <w:rsid w:val="009B387F"/>
    <w:rsid w:val="009B5848"/>
    <w:rsid w:val="009B6103"/>
    <w:rsid w:val="009B6310"/>
    <w:rsid w:val="009B6859"/>
    <w:rsid w:val="009B6E90"/>
    <w:rsid w:val="009B7E61"/>
    <w:rsid w:val="009C0395"/>
    <w:rsid w:val="009C0670"/>
    <w:rsid w:val="009C0DB6"/>
    <w:rsid w:val="009C2D4D"/>
    <w:rsid w:val="009C3F50"/>
    <w:rsid w:val="009C4DDA"/>
    <w:rsid w:val="009C60FB"/>
    <w:rsid w:val="009C61D4"/>
    <w:rsid w:val="009C6A99"/>
    <w:rsid w:val="009C6D41"/>
    <w:rsid w:val="009C750F"/>
    <w:rsid w:val="009D18C6"/>
    <w:rsid w:val="009D1DA9"/>
    <w:rsid w:val="009D3922"/>
    <w:rsid w:val="009D4471"/>
    <w:rsid w:val="009D4775"/>
    <w:rsid w:val="009D4AE0"/>
    <w:rsid w:val="009D56BB"/>
    <w:rsid w:val="009D6DFE"/>
    <w:rsid w:val="009D771F"/>
    <w:rsid w:val="009E2771"/>
    <w:rsid w:val="009E322F"/>
    <w:rsid w:val="009E4300"/>
    <w:rsid w:val="009E4DF6"/>
    <w:rsid w:val="009E58C7"/>
    <w:rsid w:val="009E7251"/>
    <w:rsid w:val="009E7A57"/>
    <w:rsid w:val="009E7EE6"/>
    <w:rsid w:val="009F1542"/>
    <w:rsid w:val="009F1734"/>
    <w:rsid w:val="009F2E83"/>
    <w:rsid w:val="009F3B03"/>
    <w:rsid w:val="009F4E51"/>
    <w:rsid w:val="009F652E"/>
    <w:rsid w:val="009F669E"/>
    <w:rsid w:val="009F6ED1"/>
    <w:rsid w:val="00A00155"/>
    <w:rsid w:val="00A01043"/>
    <w:rsid w:val="00A0126B"/>
    <w:rsid w:val="00A01720"/>
    <w:rsid w:val="00A02454"/>
    <w:rsid w:val="00A02548"/>
    <w:rsid w:val="00A02D52"/>
    <w:rsid w:val="00A03A7D"/>
    <w:rsid w:val="00A03B4A"/>
    <w:rsid w:val="00A04AA5"/>
    <w:rsid w:val="00A072C1"/>
    <w:rsid w:val="00A113B3"/>
    <w:rsid w:val="00A11694"/>
    <w:rsid w:val="00A12F12"/>
    <w:rsid w:val="00A134B2"/>
    <w:rsid w:val="00A139E6"/>
    <w:rsid w:val="00A14C28"/>
    <w:rsid w:val="00A16061"/>
    <w:rsid w:val="00A16582"/>
    <w:rsid w:val="00A16772"/>
    <w:rsid w:val="00A16E83"/>
    <w:rsid w:val="00A17085"/>
    <w:rsid w:val="00A2036F"/>
    <w:rsid w:val="00A21509"/>
    <w:rsid w:val="00A22BC9"/>
    <w:rsid w:val="00A250DA"/>
    <w:rsid w:val="00A25620"/>
    <w:rsid w:val="00A2662F"/>
    <w:rsid w:val="00A26E55"/>
    <w:rsid w:val="00A27D3E"/>
    <w:rsid w:val="00A31EA1"/>
    <w:rsid w:val="00A31ED2"/>
    <w:rsid w:val="00A31F1F"/>
    <w:rsid w:val="00A32146"/>
    <w:rsid w:val="00A331B3"/>
    <w:rsid w:val="00A33C7F"/>
    <w:rsid w:val="00A33FE0"/>
    <w:rsid w:val="00A35768"/>
    <w:rsid w:val="00A36146"/>
    <w:rsid w:val="00A36D05"/>
    <w:rsid w:val="00A377EF"/>
    <w:rsid w:val="00A42017"/>
    <w:rsid w:val="00A4272C"/>
    <w:rsid w:val="00A428EA"/>
    <w:rsid w:val="00A43172"/>
    <w:rsid w:val="00A43A21"/>
    <w:rsid w:val="00A446B7"/>
    <w:rsid w:val="00A45306"/>
    <w:rsid w:val="00A45A73"/>
    <w:rsid w:val="00A46106"/>
    <w:rsid w:val="00A47E87"/>
    <w:rsid w:val="00A47ED7"/>
    <w:rsid w:val="00A47F97"/>
    <w:rsid w:val="00A5258C"/>
    <w:rsid w:val="00A526BF"/>
    <w:rsid w:val="00A541BE"/>
    <w:rsid w:val="00A57180"/>
    <w:rsid w:val="00A6060F"/>
    <w:rsid w:val="00A60BE4"/>
    <w:rsid w:val="00A6169A"/>
    <w:rsid w:val="00A628ED"/>
    <w:rsid w:val="00A65364"/>
    <w:rsid w:val="00A654C1"/>
    <w:rsid w:val="00A65A24"/>
    <w:rsid w:val="00A66322"/>
    <w:rsid w:val="00A6632D"/>
    <w:rsid w:val="00A67605"/>
    <w:rsid w:val="00A67CA0"/>
    <w:rsid w:val="00A70308"/>
    <w:rsid w:val="00A7097C"/>
    <w:rsid w:val="00A712FA"/>
    <w:rsid w:val="00A71A85"/>
    <w:rsid w:val="00A72138"/>
    <w:rsid w:val="00A7271F"/>
    <w:rsid w:val="00A7430F"/>
    <w:rsid w:val="00A756FC"/>
    <w:rsid w:val="00A77112"/>
    <w:rsid w:val="00A77A56"/>
    <w:rsid w:val="00A80438"/>
    <w:rsid w:val="00A818B5"/>
    <w:rsid w:val="00A81BA4"/>
    <w:rsid w:val="00A824FF"/>
    <w:rsid w:val="00A82FDB"/>
    <w:rsid w:val="00A839BC"/>
    <w:rsid w:val="00A841EE"/>
    <w:rsid w:val="00A843ED"/>
    <w:rsid w:val="00A866D6"/>
    <w:rsid w:val="00A867D8"/>
    <w:rsid w:val="00A90878"/>
    <w:rsid w:val="00A92684"/>
    <w:rsid w:val="00A93C69"/>
    <w:rsid w:val="00A94509"/>
    <w:rsid w:val="00A948B1"/>
    <w:rsid w:val="00A95790"/>
    <w:rsid w:val="00A969DE"/>
    <w:rsid w:val="00A97396"/>
    <w:rsid w:val="00A97565"/>
    <w:rsid w:val="00AA0D88"/>
    <w:rsid w:val="00AA1E13"/>
    <w:rsid w:val="00AA1FEB"/>
    <w:rsid w:val="00AA24CB"/>
    <w:rsid w:val="00AA4832"/>
    <w:rsid w:val="00AA5A2D"/>
    <w:rsid w:val="00AA7982"/>
    <w:rsid w:val="00AB14E0"/>
    <w:rsid w:val="00AB1FF4"/>
    <w:rsid w:val="00AB3527"/>
    <w:rsid w:val="00AB38CA"/>
    <w:rsid w:val="00AB511C"/>
    <w:rsid w:val="00AB60E2"/>
    <w:rsid w:val="00AB6456"/>
    <w:rsid w:val="00AB6AEF"/>
    <w:rsid w:val="00AB7107"/>
    <w:rsid w:val="00AB7139"/>
    <w:rsid w:val="00AB7C34"/>
    <w:rsid w:val="00AC14D1"/>
    <w:rsid w:val="00AC22A0"/>
    <w:rsid w:val="00AC392D"/>
    <w:rsid w:val="00AC3C2E"/>
    <w:rsid w:val="00AC488B"/>
    <w:rsid w:val="00AC5D60"/>
    <w:rsid w:val="00AC6957"/>
    <w:rsid w:val="00AC76F5"/>
    <w:rsid w:val="00AD2869"/>
    <w:rsid w:val="00AD478B"/>
    <w:rsid w:val="00AD5A34"/>
    <w:rsid w:val="00AD5F18"/>
    <w:rsid w:val="00AE0F11"/>
    <w:rsid w:val="00AE1C47"/>
    <w:rsid w:val="00AE1E2E"/>
    <w:rsid w:val="00AE2057"/>
    <w:rsid w:val="00AE2820"/>
    <w:rsid w:val="00AE2BAB"/>
    <w:rsid w:val="00AE33ED"/>
    <w:rsid w:val="00AE5BDE"/>
    <w:rsid w:val="00AF044A"/>
    <w:rsid w:val="00AF0FF7"/>
    <w:rsid w:val="00AF1F2F"/>
    <w:rsid w:val="00AF2E25"/>
    <w:rsid w:val="00AF42FD"/>
    <w:rsid w:val="00AF59E7"/>
    <w:rsid w:val="00AF6265"/>
    <w:rsid w:val="00AF6BB4"/>
    <w:rsid w:val="00AF7523"/>
    <w:rsid w:val="00B02A35"/>
    <w:rsid w:val="00B04C55"/>
    <w:rsid w:val="00B0682B"/>
    <w:rsid w:val="00B07CDD"/>
    <w:rsid w:val="00B07E11"/>
    <w:rsid w:val="00B11456"/>
    <w:rsid w:val="00B114A3"/>
    <w:rsid w:val="00B11981"/>
    <w:rsid w:val="00B11A9E"/>
    <w:rsid w:val="00B12D4D"/>
    <w:rsid w:val="00B13220"/>
    <w:rsid w:val="00B1431D"/>
    <w:rsid w:val="00B1679C"/>
    <w:rsid w:val="00B16F27"/>
    <w:rsid w:val="00B1771C"/>
    <w:rsid w:val="00B17B88"/>
    <w:rsid w:val="00B20597"/>
    <w:rsid w:val="00B20B1F"/>
    <w:rsid w:val="00B21A44"/>
    <w:rsid w:val="00B21A9F"/>
    <w:rsid w:val="00B21BF0"/>
    <w:rsid w:val="00B21BF2"/>
    <w:rsid w:val="00B227CC"/>
    <w:rsid w:val="00B23A59"/>
    <w:rsid w:val="00B23BDF"/>
    <w:rsid w:val="00B25807"/>
    <w:rsid w:val="00B25DA6"/>
    <w:rsid w:val="00B25E64"/>
    <w:rsid w:val="00B26EA4"/>
    <w:rsid w:val="00B35742"/>
    <w:rsid w:val="00B35D64"/>
    <w:rsid w:val="00B3628F"/>
    <w:rsid w:val="00B36379"/>
    <w:rsid w:val="00B363FB"/>
    <w:rsid w:val="00B364E8"/>
    <w:rsid w:val="00B372D9"/>
    <w:rsid w:val="00B37E5E"/>
    <w:rsid w:val="00B407F7"/>
    <w:rsid w:val="00B40CCB"/>
    <w:rsid w:val="00B41CF3"/>
    <w:rsid w:val="00B42A7F"/>
    <w:rsid w:val="00B42B1C"/>
    <w:rsid w:val="00B43F5D"/>
    <w:rsid w:val="00B44032"/>
    <w:rsid w:val="00B45E12"/>
    <w:rsid w:val="00B468AF"/>
    <w:rsid w:val="00B519C5"/>
    <w:rsid w:val="00B51B78"/>
    <w:rsid w:val="00B528CF"/>
    <w:rsid w:val="00B53C22"/>
    <w:rsid w:val="00B53F3F"/>
    <w:rsid w:val="00B540E7"/>
    <w:rsid w:val="00B541B9"/>
    <w:rsid w:val="00B55791"/>
    <w:rsid w:val="00B55BBD"/>
    <w:rsid w:val="00B56AC9"/>
    <w:rsid w:val="00B600D9"/>
    <w:rsid w:val="00B61465"/>
    <w:rsid w:val="00B6397D"/>
    <w:rsid w:val="00B6405A"/>
    <w:rsid w:val="00B64466"/>
    <w:rsid w:val="00B653BC"/>
    <w:rsid w:val="00B65763"/>
    <w:rsid w:val="00B66AB4"/>
    <w:rsid w:val="00B67AC9"/>
    <w:rsid w:val="00B67CFF"/>
    <w:rsid w:val="00B7072F"/>
    <w:rsid w:val="00B726BD"/>
    <w:rsid w:val="00B72966"/>
    <w:rsid w:val="00B745B1"/>
    <w:rsid w:val="00B77A7D"/>
    <w:rsid w:val="00B77D1D"/>
    <w:rsid w:val="00B80104"/>
    <w:rsid w:val="00B805E4"/>
    <w:rsid w:val="00B80DAE"/>
    <w:rsid w:val="00B814E7"/>
    <w:rsid w:val="00B82698"/>
    <w:rsid w:val="00B833BF"/>
    <w:rsid w:val="00B84B85"/>
    <w:rsid w:val="00B84C76"/>
    <w:rsid w:val="00B853DA"/>
    <w:rsid w:val="00B86576"/>
    <w:rsid w:val="00B86DCD"/>
    <w:rsid w:val="00B87BF6"/>
    <w:rsid w:val="00B87DCC"/>
    <w:rsid w:val="00B907DF"/>
    <w:rsid w:val="00B90804"/>
    <w:rsid w:val="00B932C4"/>
    <w:rsid w:val="00B93856"/>
    <w:rsid w:val="00B94394"/>
    <w:rsid w:val="00B950AD"/>
    <w:rsid w:val="00B9607F"/>
    <w:rsid w:val="00B9731F"/>
    <w:rsid w:val="00BA0346"/>
    <w:rsid w:val="00BA0CCD"/>
    <w:rsid w:val="00BA18FE"/>
    <w:rsid w:val="00BA1DE7"/>
    <w:rsid w:val="00BA2435"/>
    <w:rsid w:val="00BA3742"/>
    <w:rsid w:val="00BA525E"/>
    <w:rsid w:val="00BA6CC7"/>
    <w:rsid w:val="00BA6FDB"/>
    <w:rsid w:val="00BA7021"/>
    <w:rsid w:val="00BA7C2B"/>
    <w:rsid w:val="00BA7DA0"/>
    <w:rsid w:val="00BA7EC6"/>
    <w:rsid w:val="00BB0945"/>
    <w:rsid w:val="00BB4A5F"/>
    <w:rsid w:val="00BB662B"/>
    <w:rsid w:val="00BB7097"/>
    <w:rsid w:val="00BB7392"/>
    <w:rsid w:val="00BB7EF4"/>
    <w:rsid w:val="00BC079B"/>
    <w:rsid w:val="00BC1D50"/>
    <w:rsid w:val="00BC2298"/>
    <w:rsid w:val="00BC4B77"/>
    <w:rsid w:val="00BC4EB6"/>
    <w:rsid w:val="00BC4FB5"/>
    <w:rsid w:val="00BD0271"/>
    <w:rsid w:val="00BD13D6"/>
    <w:rsid w:val="00BD158F"/>
    <w:rsid w:val="00BD17AA"/>
    <w:rsid w:val="00BD1804"/>
    <w:rsid w:val="00BD21F3"/>
    <w:rsid w:val="00BD2401"/>
    <w:rsid w:val="00BD2932"/>
    <w:rsid w:val="00BD294F"/>
    <w:rsid w:val="00BD3A58"/>
    <w:rsid w:val="00BD3EDC"/>
    <w:rsid w:val="00BD5205"/>
    <w:rsid w:val="00BD67C7"/>
    <w:rsid w:val="00BD739D"/>
    <w:rsid w:val="00BE0246"/>
    <w:rsid w:val="00BE1824"/>
    <w:rsid w:val="00BE3B85"/>
    <w:rsid w:val="00BE423B"/>
    <w:rsid w:val="00BE465C"/>
    <w:rsid w:val="00BE4990"/>
    <w:rsid w:val="00BE7015"/>
    <w:rsid w:val="00BE7D0B"/>
    <w:rsid w:val="00BF30BE"/>
    <w:rsid w:val="00BF3810"/>
    <w:rsid w:val="00BF4273"/>
    <w:rsid w:val="00BF447E"/>
    <w:rsid w:val="00BF567D"/>
    <w:rsid w:val="00BF6DB1"/>
    <w:rsid w:val="00C01755"/>
    <w:rsid w:val="00C027BF"/>
    <w:rsid w:val="00C036D9"/>
    <w:rsid w:val="00C05723"/>
    <w:rsid w:val="00C06DC6"/>
    <w:rsid w:val="00C1009A"/>
    <w:rsid w:val="00C10135"/>
    <w:rsid w:val="00C103AF"/>
    <w:rsid w:val="00C10AB7"/>
    <w:rsid w:val="00C1124D"/>
    <w:rsid w:val="00C118B3"/>
    <w:rsid w:val="00C122C6"/>
    <w:rsid w:val="00C133E4"/>
    <w:rsid w:val="00C133E7"/>
    <w:rsid w:val="00C13BE5"/>
    <w:rsid w:val="00C15A80"/>
    <w:rsid w:val="00C16962"/>
    <w:rsid w:val="00C16C27"/>
    <w:rsid w:val="00C1753B"/>
    <w:rsid w:val="00C20017"/>
    <w:rsid w:val="00C20615"/>
    <w:rsid w:val="00C22F62"/>
    <w:rsid w:val="00C23589"/>
    <w:rsid w:val="00C24C68"/>
    <w:rsid w:val="00C24F14"/>
    <w:rsid w:val="00C251B7"/>
    <w:rsid w:val="00C256D7"/>
    <w:rsid w:val="00C26BF6"/>
    <w:rsid w:val="00C27038"/>
    <w:rsid w:val="00C31BA5"/>
    <w:rsid w:val="00C3214A"/>
    <w:rsid w:val="00C32AA5"/>
    <w:rsid w:val="00C34633"/>
    <w:rsid w:val="00C349E8"/>
    <w:rsid w:val="00C352EC"/>
    <w:rsid w:val="00C35459"/>
    <w:rsid w:val="00C36621"/>
    <w:rsid w:val="00C40F2B"/>
    <w:rsid w:val="00C42257"/>
    <w:rsid w:val="00C4247A"/>
    <w:rsid w:val="00C42505"/>
    <w:rsid w:val="00C44691"/>
    <w:rsid w:val="00C46101"/>
    <w:rsid w:val="00C46231"/>
    <w:rsid w:val="00C46887"/>
    <w:rsid w:val="00C47F3D"/>
    <w:rsid w:val="00C5255D"/>
    <w:rsid w:val="00C5270F"/>
    <w:rsid w:val="00C53BC6"/>
    <w:rsid w:val="00C54416"/>
    <w:rsid w:val="00C54DA6"/>
    <w:rsid w:val="00C55787"/>
    <w:rsid w:val="00C57059"/>
    <w:rsid w:val="00C609A5"/>
    <w:rsid w:val="00C61F15"/>
    <w:rsid w:val="00C620F4"/>
    <w:rsid w:val="00C62769"/>
    <w:rsid w:val="00C632A2"/>
    <w:rsid w:val="00C64A64"/>
    <w:rsid w:val="00C64FC7"/>
    <w:rsid w:val="00C654B8"/>
    <w:rsid w:val="00C655A8"/>
    <w:rsid w:val="00C660A0"/>
    <w:rsid w:val="00C66134"/>
    <w:rsid w:val="00C66464"/>
    <w:rsid w:val="00C702D6"/>
    <w:rsid w:val="00C70BDA"/>
    <w:rsid w:val="00C723F9"/>
    <w:rsid w:val="00C72BCD"/>
    <w:rsid w:val="00C73A0A"/>
    <w:rsid w:val="00C763D3"/>
    <w:rsid w:val="00C76904"/>
    <w:rsid w:val="00C7765B"/>
    <w:rsid w:val="00C77983"/>
    <w:rsid w:val="00C779E3"/>
    <w:rsid w:val="00C818B5"/>
    <w:rsid w:val="00C8243D"/>
    <w:rsid w:val="00C83326"/>
    <w:rsid w:val="00C839C7"/>
    <w:rsid w:val="00C83B36"/>
    <w:rsid w:val="00C852D4"/>
    <w:rsid w:val="00C8560B"/>
    <w:rsid w:val="00C87E2D"/>
    <w:rsid w:val="00C908AE"/>
    <w:rsid w:val="00C90DAF"/>
    <w:rsid w:val="00C90EA8"/>
    <w:rsid w:val="00C916B4"/>
    <w:rsid w:val="00C91BD8"/>
    <w:rsid w:val="00C9597C"/>
    <w:rsid w:val="00C9627B"/>
    <w:rsid w:val="00C962F1"/>
    <w:rsid w:val="00C9657E"/>
    <w:rsid w:val="00C9692E"/>
    <w:rsid w:val="00C9773F"/>
    <w:rsid w:val="00CA13DB"/>
    <w:rsid w:val="00CA1F7A"/>
    <w:rsid w:val="00CA2EAA"/>
    <w:rsid w:val="00CA3848"/>
    <w:rsid w:val="00CA3EDB"/>
    <w:rsid w:val="00CA4F9B"/>
    <w:rsid w:val="00CA58E8"/>
    <w:rsid w:val="00CA6C44"/>
    <w:rsid w:val="00CA6DD5"/>
    <w:rsid w:val="00CA7170"/>
    <w:rsid w:val="00CA738A"/>
    <w:rsid w:val="00CA7753"/>
    <w:rsid w:val="00CA7E0E"/>
    <w:rsid w:val="00CB06AB"/>
    <w:rsid w:val="00CB0E75"/>
    <w:rsid w:val="00CB1504"/>
    <w:rsid w:val="00CB2742"/>
    <w:rsid w:val="00CB307D"/>
    <w:rsid w:val="00CB36B3"/>
    <w:rsid w:val="00CB387F"/>
    <w:rsid w:val="00CB763B"/>
    <w:rsid w:val="00CC08EE"/>
    <w:rsid w:val="00CC08F1"/>
    <w:rsid w:val="00CC1B54"/>
    <w:rsid w:val="00CC320A"/>
    <w:rsid w:val="00CC56F4"/>
    <w:rsid w:val="00CC5B2C"/>
    <w:rsid w:val="00CC627C"/>
    <w:rsid w:val="00CC662B"/>
    <w:rsid w:val="00CC745B"/>
    <w:rsid w:val="00CD0317"/>
    <w:rsid w:val="00CD0A5D"/>
    <w:rsid w:val="00CD2680"/>
    <w:rsid w:val="00CD3000"/>
    <w:rsid w:val="00CD3559"/>
    <w:rsid w:val="00CD38BD"/>
    <w:rsid w:val="00CD4212"/>
    <w:rsid w:val="00CD49AE"/>
    <w:rsid w:val="00CD5296"/>
    <w:rsid w:val="00CE02B0"/>
    <w:rsid w:val="00CE03CA"/>
    <w:rsid w:val="00CE0764"/>
    <w:rsid w:val="00CE2E5E"/>
    <w:rsid w:val="00CE3F98"/>
    <w:rsid w:val="00CE4A4A"/>
    <w:rsid w:val="00CE4B31"/>
    <w:rsid w:val="00CE5886"/>
    <w:rsid w:val="00CE701B"/>
    <w:rsid w:val="00CE7331"/>
    <w:rsid w:val="00CE7473"/>
    <w:rsid w:val="00CF0732"/>
    <w:rsid w:val="00CF1126"/>
    <w:rsid w:val="00CF24AD"/>
    <w:rsid w:val="00CF4273"/>
    <w:rsid w:val="00CF49C3"/>
    <w:rsid w:val="00CF5FBE"/>
    <w:rsid w:val="00CF6275"/>
    <w:rsid w:val="00CF7606"/>
    <w:rsid w:val="00CF77D6"/>
    <w:rsid w:val="00D00889"/>
    <w:rsid w:val="00D01238"/>
    <w:rsid w:val="00D01E89"/>
    <w:rsid w:val="00D0202D"/>
    <w:rsid w:val="00D028C3"/>
    <w:rsid w:val="00D03781"/>
    <w:rsid w:val="00D0450A"/>
    <w:rsid w:val="00D062B9"/>
    <w:rsid w:val="00D065DA"/>
    <w:rsid w:val="00D06E1E"/>
    <w:rsid w:val="00D1018B"/>
    <w:rsid w:val="00D10A04"/>
    <w:rsid w:val="00D128D7"/>
    <w:rsid w:val="00D131E9"/>
    <w:rsid w:val="00D1471A"/>
    <w:rsid w:val="00D152D9"/>
    <w:rsid w:val="00D15BC3"/>
    <w:rsid w:val="00D16328"/>
    <w:rsid w:val="00D16FF9"/>
    <w:rsid w:val="00D17D88"/>
    <w:rsid w:val="00D17DF9"/>
    <w:rsid w:val="00D2167C"/>
    <w:rsid w:val="00D2282C"/>
    <w:rsid w:val="00D23D1F"/>
    <w:rsid w:val="00D24C21"/>
    <w:rsid w:val="00D26BBF"/>
    <w:rsid w:val="00D26E9C"/>
    <w:rsid w:val="00D27BC8"/>
    <w:rsid w:val="00D316FE"/>
    <w:rsid w:val="00D3262D"/>
    <w:rsid w:val="00D32A6A"/>
    <w:rsid w:val="00D34976"/>
    <w:rsid w:val="00D35EDA"/>
    <w:rsid w:val="00D36D16"/>
    <w:rsid w:val="00D41955"/>
    <w:rsid w:val="00D41CEF"/>
    <w:rsid w:val="00D42A9B"/>
    <w:rsid w:val="00D436B0"/>
    <w:rsid w:val="00D43EC5"/>
    <w:rsid w:val="00D44378"/>
    <w:rsid w:val="00D44C7A"/>
    <w:rsid w:val="00D44E9F"/>
    <w:rsid w:val="00D46528"/>
    <w:rsid w:val="00D47EDA"/>
    <w:rsid w:val="00D507E7"/>
    <w:rsid w:val="00D516BE"/>
    <w:rsid w:val="00D521CB"/>
    <w:rsid w:val="00D52596"/>
    <w:rsid w:val="00D53811"/>
    <w:rsid w:val="00D53DAE"/>
    <w:rsid w:val="00D543C1"/>
    <w:rsid w:val="00D54667"/>
    <w:rsid w:val="00D5516F"/>
    <w:rsid w:val="00D554B6"/>
    <w:rsid w:val="00D566D4"/>
    <w:rsid w:val="00D604C1"/>
    <w:rsid w:val="00D62831"/>
    <w:rsid w:val="00D62DC1"/>
    <w:rsid w:val="00D641AA"/>
    <w:rsid w:val="00D64AD2"/>
    <w:rsid w:val="00D65F6E"/>
    <w:rsid w:val="00D702D2"/>
    <w:rsid w:val="00D7034F"/>
    <w:rsid w:val="00D70AD3"/>
    <w:rsid w:val="00D70DF4"/>
    <w:rsid w:val="00D72D6A"/>
    <w:rsid w:val="00D733A1"/>
    <w:rsid w:val="00D74300"/>
    <w:rsid w:val="00D76680"/>
    <w:rsid w:val="00D802C2"/>
    <w:rsid w:val="00D803BC"/>
    <w:rsid w:val="00D81D55"/>
    <w:rsid w:val="00D81F28"/>
    <w:rsid w:val="00D8253A"/>
    <w:rsid w:val="00D849C0"/>
    <w:rsid w:val="00D84DBD"/>
    <w:rsid w:val="00D85988"/>
    <w:rsid w:val="00D86166"/>
    <w:rsid w:val="00D86C8B"/>
    <w:rsid w:val="00D8737F"/>
    <w:rsid w:val="00D87764"/>
    <w:rsid w:val="00D90E79"/>
    <w:rsid w:val="00D92B64"/>
    <w:rsid w:val="00D93E39"/>
    <w:rsid w:val="00D940CE"/>
    <w:rsid w:val="00D95A74"/>
    <w:rsid w:val="00D96803"/>
    <w:rsid w:val="00D96A40"/>
    <w:rsid w:val="00D96B14"/>
    <w:rsid w:val="00D96F38"/>
    <w:rsid w:val="00D97978"/>
    <w:rsid w:val="00DA0A08"/>
    <w:rsid w:val="00DA0CAA"/>
    <w:rsid w:val="00DA171F"/>
    <w:rsid w:val="00DA183F"/>
    <w:rsid w:val="00DA22E7"/>
    <w:rsid w:val="00DA2E0B"/>
    <w:rsid w:val="00DA347F"/>
    <w:rsid w:val="00DA445D"/>
    <w:rsid w:val="00DA701D"/>
    <w:rsid w:val="00DB0890"/>
    <w:rsid w:val="00DB0B04"/>
    <w:rsid w:val="00DB2049"/>
    <w:rsid w:val="00DB2710"/>
    <w:rsid w:val="00DB32C8"/>
    <w:rsid w:val="00DB348A"/>
    <w:rsid w:val="00DB3916"/>
    <w:rsid w:val="00DB3B2C"/>
    <w:rsid w:val="00DB548B"/>
    <w:rsid w:val="00DB59BA"/>
    <w:rsid w:val="00DB689E"/>
    <w:rsid w:val="00DB751D"/>
    <w:rsid w:val="00DC0491"/>
    <w:rsid w:val="00DC09E2"/>
    <w:rsid w:val="00DC23E3"/>
    <w:rsid w:val="00DC3596"/>
    <w:rsid w:val="00DC5559"/>
    <w:rsid w:val="00DC5BE7"/>
    <w:rsid w:val="00DC5EAF"/>
    <w:rsid w:val="00DD19FE"/>
    <w:rsid w:val="00DD203D"/>
    <w:rsid w:val="00DD216E"/>
    <w:rsid w:val="00DD2D22"/>
    <w:rsid w:val="00DD463B"/>
    <w:rsid w:val="00DD5E88"/>
    <w:rsid w:val="00DD6531"/>
    <w:rsid w:val="00DD7BA3"/>
    <w:rsid w:val="00DE0003"/>
    <w:rsid w:val="00DE0119"/>
    <w:rsid w:val="00DE05C2"/>
    <w:rsid w:val="00DE0E79"/>
    <w:rsid w:val="00DE1CCB"/>
    <w:rsid w:val="00DE2AF3"/>
    <w:rsid w:val="00DE7027"/>
    <w:rsid w:val="00DE7B3D"/>
    <w:rsid w:val="00DF4282"/>
    <w:rsid w:val="00DF4F75"/>
    <w:rsid w:val="00DF61AF"/>
    <w:rsid w:val="00DF7E39"/>
    <w:rsid w:val="00E00787"/>
    <w:rsid w:val="00E00B96"/>
    <w:rsid w:val="00E021D8"/>
    <w:rsid w:val="00E0264D"/>
    <w:rsid w:val="00E03B3D"/>
    <w:rsid w:val="00E04240"/>
    <w:rsid w:val="00E05C6B"/>
    <w:rsid w:val="00E07645"/>
    <w:rsid w:val="00E10C48"/>
    <w:rsid w:val="00E118E0"/>
    <w:rsid w:val="00E12966"/>
    <w:rsid w:val="00E129DE"/>
    <w:rsid w:val="00E13C8B"/>
    <w:rsid w:val="00E14292"/>
    <w:rsid w:val="00E14BDC"/>
    <w:rsid w:val="00E14E4F"/>
    <w:rsid w:val="00E150CB"/>
    <w:rsid w:val="00E15476"/>
    <w:rsid w:val="00E15592"/>
    <w:rsid w:val="00E1563B"/>
    <w:rsid w:val="00E15721"/>
    <w:rsid w:val="00E15C7D"/>
    <w:rsid w:val="00E16038"/>
    <w:rsid w:val="00E1633B"/>
    <w:rsid w:val="00E167E1"/>
    <w:rsid w:val="00E17832"/>
    <w:rsid w:val="00E21C48"/>
    <w:rsid w:val="00E23764"/>
    <w:rsid w:val="00E25497"/>
    <w:rsid w:val="00E26147"/>
    <w:rsid w:val="00E2730C"/>
    <w:rsid w:val="00E32479"/>
    <w:rsid w:val="00E324A0"/>
    <w:rsid w:val="00E32E2A"/>
    <w:rsid w:val="00E3342C"/>
    <w:rsid w:val="00E34D03"/>
    <w:rsid w:val="00E35D00"/>
    <w:rsid w:val="00E3666B"/>
    <w:rsid w:val="00E36952"/>
    <w:rsid w:val="00E36DE6"/>
    <w:rsid w:val="00E372B5"/>
    <w:rsid w:val="00E37C9E"/>
    <w:rsid w:val="00E40337"/>
    <w:rsid w:val="00E40635"/>
    <w:rsid w:val="00E41BE8"/>
    <w:rsid w:val="00E41D55"/>
    <w:rsid w:val="00E43350"/>
    <w:rsid w:val="00E43737"/>
    <w:rsid w:val="00E43C55"/>
    <w:rsid w:val="00E441FD"/>
    <w:rsid w:val="00E4439E"/>
    <w:rsid w:val="00E46542"/>
    <w:rsid w:val="00E508E3"/>
    <w:rsid w:val="00E5093C"/>
    <w:rsid w:val="00E50983"/>
    <w:rsid w:val="00E51B1F"/>
    <w:rsid w:val="00E532C7"/>
    <w:rsid w:val="00E54E86"/>
    <w:rsid w:val="00E54F09"/>
    <w:rsid w:val="00E54F6F"/>
    <w:rsid w:val="00E55F04"/>
    <w:rsid w:val="00E56258"/>
    <w:rsid w:val="00E601E4"/>
    <w:rsid w:val="00E60723"/>
    <w:rsid w:val="00E61427"/>
    <w:rsid w:val="00E62521"/>
    <w:rsid w:val="00E637E6"/>
    <w:rsid w:val="00E63C9C"/>
    <w:rsid w:val="00E63DEB"/>
    <w:rsid w:val="00E6408C"/>
    <w:rsid w:val="00E64BDE"/>
    <w:rsid w:val="00E667F5"/>
    <w:rsid w:val="00E67B51"/>
    <w:rsid w:val="00E70C9E"/>
    <w:rsid w:val="00E71481"/>
    <w:rsid w:val="00E7279F"/>
    <w:rsid w:val="00E736B1"/>
    <w:rsid w:val="00E74803"/>
    <w:rsid w:val="00E74C42"/>
    <w:rsid w:val="00E75332"/>
    <w:rsid w:val="00E7624D"/>
    <w:rsid w:val="00E808D0"/>
    <w:rsid w:val="00E80A7D"/>
    <w:rsid w:val="00E8251D"/>
    <w:rsid w:val="00E8490D"/>
    <w:rsid w:val="00E85B1B"/>
    <w:rsid w:val="00E86EA2"/>
    <w:rsid w:val="00E87E37"/>
    <w:rsid w:val="00E90138"/>
    <w:rsid w:val="00E92CFD"/>
    <w:rsid w:val="00E933DC"/>
    <w:rsid w:val="00E94CA0"/>
    <w:rsid w:val="00E9744A"/>
    <w:rsid w:val="00E974CF"/>
    <w:rsid w:val="00E97AE2"/>
    <w:rsid w:val="00EA169B"/>
    <w:rsid w:val="00EA26A1"/>
    <w:rsid w:val="00EA4711"/>
    <w:rsid w:val="00EA538F"/>
    <w:rsid w:val="00EA5938"/>
    <w:rsid w:val="00EA5A39"/>
    <w:rsid w:val="00EA5BCF"/>
    <w:rsid w:val="00EA6A83"/>
    <w:rsid w:val="00EA7E15"/>
    <w:rsid w:val="00EB1612"/>
    <w:rsid w:val="00EB1B35"/>
    <w:rsid w:val="00EB492A"/>
    <w:rsid w:val="00EB52C5"/>
    <w:rsid w:val="00EB5843"/>
    <w:rsid w:val="00EB5DE7"/>
    <w:rsid w:val="00EB5E79"/>
    <w:rsid w:val="00EB6589"/>
    <w:rsid w:val="00EB761E"/>
    <w:rsid w:val="00EB7C1E"/>
    <w:rsid w:val="00EC1BCB"/>
    <w:rsid w:val="00EC1F33"/>
    <w:rsid w:val="00EC2021"/>
    <w:rsid w:val="00EC2701"/>
    <w:rsid w:val="00EC37D2"/>
    <w:rsid w:val="00EC4D59"/>
    <w:rsid w:val="00EC53F2"/>
    <w:rsid w:val="00EC55C4"/>
    <w:rsid w:val="00EC5795"/>
    <w:rsid w:val="00ED0571"/>
    <w:rsid w:val="00ED094A"/>
    <w:rsid w:val="00ED205C"/>
    <w:rsid w:val="00ED7314"/>
    <w:rsid w:val="00ED7B8B"/>
    <w:rsid w:val="00EE0808"/>
    <w:rsid w:val="00EE3B17"/>
    <w:rsid w:val="00EE481C"/>
    <w:rsid w:val="00EE48F1"/>
    <w:rsid w:val="00EE4A2D"/>
    <w:rsid w:val="00EE544C"/>
    <w:rsid w:val="00EE66E6"/>
    <w:rsid w:val="00EE7A5F"/>
    <w:rsid w:val="00EF13E6"/>
    <w:rsid w:val="00EF14C9"/>
    <w:rsid w:val="00EF2ED7"/>
    <w:rsid w:val="00EF3888"/>
    <w:rsid w:val="00EF3DC1"/>
    <w:rsid w:val="00EF502A"/>
    <w:rsid w:val="00EF5055"/>
    <w:rsid w:val="00EF5967"/>
    <w:rsid w:val="00EF72F8"/>
    <w:rsid w:val="00EF7C44"/>
    <w:rsid w:val="00EF7CD4"/>
    <w:rsid w:val="00F01695"/>
    <w:rsid w:val="00F040C8"/>
    <w:rsid w:val="00F058C4"/>
    <w:rsid w:val="00F059D2"/>
    <w:rsid w:val="00F05BA8"/>
    <w:rsid w:val="00F073AA"/>
    <w:rsid w:val="00F0747C"/>
    <w:rsid w:val="00F07A38"/>
    <w:rsid w:val="00F07BF2"/>
    <w:rsid w:val="00F11DCA"/>
    <w:rsid w:val="00F12D1C"/>
    <w:rsid w:val="00F1593A"/>
    <w:rsid w:val="00F170C8"/>
    <w:rsid w:val="00F17823"/>
    <w:rsid w:val="00F21D4A"/>
    <w:rsid w:val="00F2303C"/>
    <w:rsid w:val="00F23074"/>
    <w:rsid w:val="00F23FDB"/>
    <w:rsid w:val="00F252C0"/>
    <w:rsid w:val="00F25C19"/>
    <w:rsid w:val="00F2607A"/>
    <w:rsid w:val="00F261AF"/>
    <w:rsid w:val="00F31F13"/>
    <w:rsid w:val="00F359B1"/>
    <w:rsid w:val="00F368EA"/>
    <w:rsid w:val="00F378C2"/>
    <w:rsid w:val="00F37BB4"/>
    <w:rsid w:val="00F42930"/>
    <w:rsid w:val="00F42F9E"/>
    <w:rsid w:val="00F437A5"/>
    <w:rsid w:val="00F43DB2"/>
    <w:rsid w:val="00F45A36"/>
    <w:rsid w:val="00F4639C"/>
    <w:rsid w:val="00F5250B"/>
    <w:rsid w:val="00F526F5"/>
    <w:rsid w:val="00F530DB"/>
    <w:rsid w:val="00F53ED3"/>
    <w:rsid w:val="00F5403B"/>
    <w:rsid w:val="00F54D42"/>
    <w:rsid w:val="00F56183"/>
    <w:rsid w:val="00F565E0"/>
    <w:rsid w:val="00F567DC"/>
    <w:rsid w:val="00F573F8"/>
    <w:rsid w:val="00F60173"/>
    <w:rsid w:val="00F609DC"/>
    <w:rsid w:val="00F62756"/>
    <w:rsid w:val="00F632C5"/>
    <w:rsid w:val="00F63616"/>
    <w:rsid w:val="00F636D1"/>
    <w:rsid w:val="00F643FD"/>
    <w:rsid w:val="00F64404"/>
    <w:rsid w:val="00F64F3C"/>
    <w:rsid w:val="00F656C4"/>
    <w:rsid w:val="00F657B2"/>
    <w:rsid w:val="00F65EF3"/>
    <w:rsid w:val="00F66C9B"/>
    <w:rsid w:val="00F67296"/>
    <w:rsid w:val="00F67B34"/>
    <w:rsid w:val="00F67EFB"/>
    <w:rsid w:val="00F70EDA"/>
    <w:rsid w:val="00F717DA"/>
    <w:rsid w:val="00F72439"/>
    <w:rsid w:val="00F73A36"/>
    <w:rsid w:val="00F74216"/>
    <w:rsid w:val="00F74453"/>
    <w:rsid w:val="00F76095"/>
    <w:rsid w:val="00F769E0"/>
    <w:rsid w:val="00F7745F"/>
    <w:rsid w:val="00F777C1"/>
    <w:rsid w:val="00F77DE8"/>
    <w:rsid w:val="00F80E82"/>
    <w:rsid w:val="00F81232"/>
    <w:rsid w:val="00F8142A"/>
    <w:rsid w:val="00F81CC6"/>
    <w:rsid w:val="00F81E68"/>
    <w:rsid w:val="00F83348"/>
    <w:rsid w:val="00F83CBB"/>
    <w:rsid w:val="00F83F5F"/>
    <w:rsid w:val="00F841C3"/>
    <w:rsid w:val="00F847A8"/>
    <w:rsid w:val="00F874E5"/>
    <w:rsid w:val="00F9078F"/>
    <w:rsid w:val="00F90EC9"/>
    <w:rsid w:val="00F91152"/>
    <w:rsid w:val="00F93435"/>
    <w:rsid w:val="00F95B2D"/>
    <w:rsid w:val="00F960F6"/>
    <w:rsid w:val="00F96918"/>
    <w:rsid w:val="00F979CA"/>
    <w:rsid w:val="00FA0EBD"/>
    <w:rsid w:val="00FA13ED"/>
    <w:rsid w:val="00FA1A7B"/>
    <w:rsid w:val="00FA4546"/>
    <w:rsid w:val="00FA504E"/>
    <w:rsid w:val="00FA5150"/>
    <w:rsid w:val="00FB2E1D"/>
    <w:rsid w:val="00FB365C"/>
    <w:rsid w:val="00FB4843"/>
    <w:rsid w:val="00FB5B4E"/>
    <w:rsid w:val="00FB5F3F"/>
    <w:rsid w:val="00FB6D7A"/>
    <w:rsid w:val="00FB7313"/>
    <w:rsid w:val="00FC0A85"/>
    <w:rsid w:val="00FC1063"/>
    <w:rsid w:val="00FC1AD5"/>
    <w:rsid w:val="00FC1D6F"/>
    <w:rsid w:val="00FC2E6C"/>
    <w:rsid w:val="00FC2FF6"/>
    <w:rsid w:val="00FC3171"/>
    <w:rsid w:val="00FC57AE"/>
    <w:rsid w:val="00FC5D27"/>
    <w:rsid w:val="00FC5E32"/>
    <w:rsid w:val="00FC60B4"/>
    <w:rsid w:val="00FC7502"/>
    <w:rsid w:val="00FD1851"/>
    <w:rsid w:val="00FD1D35"/>
    <w:rsid w:val="00FD3615"/>
    <w:rsid w:val="00FD3F0E"/>
    <w:rsid w:val="00FD4EB6"/>
    <w:rsid w:val="00FD564D"/>
    <w:rsid w:val="00FD571E"/>
    <w:rsid w:val="00FD6AB7"/>
    <w:rsid w:val="00FD6C2B"/>
    <w:rsid w:val="00FD712F"/>
    <w:rsid w:val="00FD7D6D"/>
    <w:rsid w:val="00FE16B3"/>
    <w:rsid w:val="00FE369E"/>
    <w:rsid w:val="00FE4404"/>
    <w:rsid w:val="00FE4C68"/>
    <w:rsid w:val="00FE5BEC"/>
    <w:rsid w:val="00FE6B74"/>
    <w:rsid w:val="00FE6BD4"/>
    <w:rsid w:val="00FE74AD"/>
    <w:rsid w:val="00FE772F"/>
    <w:rsid w:val="00FE77E0"/>
    <w:rsid w:val="00FE79FA"/>
    <w:rsid w:val="00FE7EFC"/>
    <w:rsid w:val="00FF15D2"/>
    <w:rsid w:val="00FF48F5"/>
    <w:rsid w:val="00FF539D"/>
    <w:rsid w:val="00FF5443"/>
    <w:rsid w:val="00FF5CF5"/>
    <w:rsid w:val="00FF7A1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E8A18"/>
  <w15:chartTrackingRefBased/>
  <w15:docId w15:val="{B60705A3-33AE-48C6-9A3A-48BCBF55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Garamond"/>
    <w:basedOn w:val="Normal"/>
    <w:next w:val="Normal"/>
    <w:link w:val="Heading1Char"/>
    <w:uiPriority w:val="9"/>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qFormat/>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C9597C"/>
    <w:pPr>
      <w:spacing w:before="240" w:after="60"/>
      <w:outlineLvl w:val="6"/>
    </w:pPr>
    <w:rPr>
      <w:rFonts w:ascii="Times New Roman" w:eastAsia="Times New Roman" w:hAnsi="Times New Roman"/>
      <w:lang w:val="en-US"/>
    </w:rPr>
  </w:style>
  <w:style w:type="paragraph" w:styleId="Heading8">
    <w:name w:val="heading 8"/>
    <w:basedOn w:val="Normal"/>
    <w:next w:val="Normal"/>
    <w:uiPriority w:val="9"/>
    <w:unhideWhenUsed/>
    <w:qFormat/>
    <w:rsid w:val="003F3A95"/>
    <w:pPr>
      <w:tabs>
        <w:tab w:val="left" w:pos="5760"/>
      </w:tabs>
      <w:spacing w:before="240" w:after="60" w:line="259" w:lineRule="auto"/>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uiPriority w:val="9"/>
    <w:unhideWhenUsed/>
    <w:qFormat/>
    <w:rsid w:val="003F3A95"/>
    <w:pPr>
      <w:tabs>
        <w:tab w:val="left" w:pos="6480"/>
      </w:tabs>
      <w:spacing w:before="240" w:after="60" w:line="259" w:lineRule="auto"/>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basedOn w:val="DefaultParagraphFont"/>
    <w:link w:val="Heading1"/>
    <w:uiPriority w:val="9"/>
    <w:qFormat/>
    <w:rsid w:val="00C9597C"/>
    <w:rPr>
      <w:rFonts w:ascii="Garamond" w:eastAsia="Times New Roman" w:hAnsi="Garamond"/>
      <w:bCs/>
      <w:szCs w:val="28"/>
    </w:rPr>
  </w:style>
  <w:style w:type="character" w:customStyle="1" w:styleId="Heading2Char">
    <w:name w:val="Heading 2 Char"/>
    <w:basedOn w:val="DefaultParagraphFont"/>
    <w:link w:val="Heading2"/>
    <w:rsid w:val="00C9597C"/>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qFormat/>
    <w:rsid w:val="00C9597C"/>
    <w:rPr>
      <w:rFonts w:ascii="Cambria" w:eastAsia="Times New Roman" w:hAnsi="Cambria"/>
      <w:b/>
      <w:bCs/>
      <w:color w:val="4F81BD"/>
    </w:rPr>
  </w:style>
  <w:style w:type="character" w:customStyle="1" w:styleId="Heading4Char">
    <w:name w:val="Heading 4 Char"/>
    <w:basedOn w:val="DefaultParagraphFont"/>
    <w:link w:val="Heading4"/>
    <w:rsid w:val="00C9597C"/>
    <w:rPr>
      <w:rFonts w:ascii="Times New Roman" w:eastAsia="Times New Roman" w:hAnsi="Times New Roman"/>
      <w:b/>
      <w:color w:val="000000"/>
      <w:lang w:val="en-IN" w:eastAsia="en-IN"/>
    </w:rPr>
  </w:style>
  <w:style w:type="character" w:customStyle="1" w:styleId="Heading5Char">
    <w:name w:val="Heading 5 Char"/>
    <w:basedOn w:val="DefaultParagraphFont"/>
    <w:link w:val="Heading5"/>
    <w:rsid w:val="00C9597C"/>
    <w:rPr>
      <w:rFonts w:ascii="Times New Roman" w:eastAsia="Times New Roman" w:hAnsi="Times New Roman"/>
      <w:b/>
      <w:bCs/>
      <w:i/>
      <w:iCs/>
      <w:sz w:val="26"/>
      <w:szCs w:val="26"/>
      <w:lang w:val="en-US"/>
    </w:rPr>
  </w:style>
  <w:style w:type="character" w:customStyle="1" w:styleId="Heading6Char">
    <w:name w:val="Heading 6 Char"/>
    <w:basedOn w:val="DefaultParagraphFont"/>
    <w:link w:val="Heading6"/>
    <w:rsid w:val="00C9597C"/>
    <w:rPr>
      <w:rFonts w:ascii="Times New Roman" w:eastAsia="Times New Roman" w:hAnsi="Times New Roman"/>
      <w:b/>
      <w:color w:val="000000"/>
      <w:sz w:val="20"/>
      <w:szCs w:val="20"/>
      <w:lang w:val="en-IN" w:eastAsia="en-IN"/>
    </w:rPr>
  </w:style>
  <w:style w:type="character" w:customStyle="1" w:styleId="Heading7Char">
    <w:name w:val="Heading 7 Char"/>
    <w:basedOn w:val="DefaultParagraphFont"/>
    <w:link w:val="Heading7"/>
    <w:qFormat/>
    <w:rsid w:val="00C9597C"/>
    <w:rPr>
      <w:rFonts w:ascii="Times New Roman" w:eastAsia="Times New Roman" w:hAnsi="Times New Roman"/>
      <w:lang w:val="en-US"/>
    </w:rPr>
  </w:style>
  <w:style w:type="paragraph" w:styleId="ListParagraph">
    <w:name w:val="List Paragraph"/>
    <w:aliases w:val="lp1,elenco"/>
    <w:basedOn w:val="Normal"/>
    <w:link w:val="ListParagraphChar"/>
    <w:uiPriority w:val="34"/>
    <w:qFormat/>
    <w:rsid w:val="00C9597C"/>
    <w:pPr>
      <w:spacing w:after="200" w:line="276" w:lineRule="auto"/>
      <w:ind w:left="720"/>
      <w:contextualSpacing/>
    </w:pPr>
    <w:rPr>
      <w:rFonts w:ascii="Calibri" w:eastAsia="Calibri" w:hAnsi="Calibri"/>
      <w:sz w:val="20"/>
      <w:szCs w:val="20"/>
      <w:lang w:val="en-US"/>
    </w:rPr>
  </w:style>
  <w:style w:type="paragraph" w:customStyle="1" w:styleId="Default">
    <w:name w:val="Default"/>
    <w:rsid w:val="00C9597C"/>
    <w:pPr>
      <w:autoSpaceDE w:val="0"/>
      <w:autoSpaceDN w:val="0"/>
      <w:adjustRightInd w:val="0"/>
    </w:pPr>
    <w:rPr>
      <w:rFonts w:ascii="Arial" w:eastAsia="Calibri" w:hAnsi="Arial" w:cs="Arial"/>
      <w:color w:val="000000"/>
      <w:lang w:val="en-US"/>
    </w:rPr>
  </w:style>
  <w:style w:type="paragraph" w:styleId="BalloonText">
    <w:name w:val="Balloon Text"/>
    <w:basedOn w:val="Normal"/>
    <w:link w:val="BalloonTextChar"/>
    <w:uiPriority w:val="99"/>
    <w:unhideWhenUsed/>
    <w:qFormat/>
    <w:rsid w:val="00C9597C"/>
    <w:rPr>
      <w:rFonts w:ascii="Tahoma" w:eastAsia="Calibri" w:hAnsi="Tahoma"/>
      <w:sz w:val="16"/>
      <w:szCs w:val="16"/>
      <w:lang w:val="en-US"/>
    </w:rPr>
  </w:style>
  <w:style w:type="character" w:customStyle="1" w:styleId="BalloonTextChar">
    <w:name w:val="Balloon Text Char"/>
    <w:basedOn w:val="DefaultParagraphFont"/>
    <w:link w:val="BalloonText"/>
    <w:uiPriority w:val="99"/>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basedOn w:val="DefaultParagraphFont"/>
    <w:link w:val="Title"/>
    <w:rsid w:val="00C9597C"/>
    <w:rPr>
      <w:rFonts w:ascii="Times New Roman" w:eastAsia="Times New Roman" w:hAnsi="Times New Roman"/>
      <w:b/>
      <w:u w:val="single"/>
      <w:lang w:val="en-US"/>
    </w:rPr>
  </w:style>
  <w:style w:type="paragraph" w:styleId="Header">
    <w:name w:val="header"/>
    <w:basedOn w:val="Normal"/>
    <w:link w:val="HeaderChar"/>
    <w:uiPriority w:val="99"/>
    <w:qFormat/>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basedOn w:val="DefaultParagraphFont"/>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eastAsia="Calibri" w:hAnsi="Calibri"/>
      <w:sz w:val="22"/>
      <w:szCs w:val="22"/>
      <w:lang w:val="en-US"/>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eastAsia="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qFormat/>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qFormat/>
    <w:rsid w:val="00C9597C"/>
    <w:pPr>
      <w:tabs>
        <w:tab w:val="center" w:pos="4680"/>
        <w:tab w:val="right" w:pos="9360"/>
      </w:tabs>
    </w:pPr>
    <w:rPr>
      <w:rFonts w:ascii="Calibri" w:eastAsia="Calibri" w:hAnsi="Calibri"/>
      <w:sz w:val="20"/>
      <w:szCs w:val="20"/>
      <w:lang w:val="en-US"/>
    </w:rPr>
  </w:style>
  <w:style w:type="character" w:customStyle="1" w:styleId="FooterChar">
    <w:name w:val="Footer Char"/>
    <w:basedOn w:val="DefaultParagraphFont"/>
    <w:link w:val="Footer"/>
    <w:uiPriority w:val="99"/>
    <w:rsid w:val="00C9597C"/>
    <w:rPr>
      <w:rFonts w:ascii="Calibri" w:eastAsia="Calibri" w:hAnsi="Calibri"/>
      <w:sz w:val="20"/>
      <w:szCs w:val="20"/>
      <w:lang w:val="en-US"/>
    </w:rPr>
  </w:style>
  <w:style w:type="table" w:styleId="TableGrid">
    <w:name w:val="Table Grid"/>
    <w:basedOn w:val="TableNormal"/>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unhideWhenUsed/>
    <w:qFormat/>
    <w:rsid w:val="00C9597C"/>
    <w:rPr>
      <w:rFonts w:ascii="Calibri" w:eastAsia="Calibri" w:hAnsi="Calibri"/>
      <w:sz w:val="20"/>
      <w:szCs w:val="20"/>
      <w:lang w:val="en-US"/>
    </w:rPr>
  </w:style>
  <w:style w:type="character" w:customStyle="1" w:styleId="EndnoteTextChar">
    <w:name w:val="Endnote Text Char"/>
    <w:basedOn w:val="DefaultParagraphFont"/>
    <w:link w:val="EndnoteText"/>
    <w:uiPriority w:val="99"/>
    <w:rsid w:val="00C9597C"/>
    <w:rPr>
      <w:rFonts w:ascii="Calibri" w:eastAsia="Calibri" w:hAnsi="Calibri"/>
      <w:sz w:val="20"/>
      <w:szCs w:val="20"/>
      <w:lang w:val="en-US"/>
    </w:rPr>
  </w:style>
  <w:style w:type="character" w:styleId="EndnoteReference">
    <w:name w:val="endnote reference"/>
    <w:uiPriority w:val="99"/>
    <w:unhideWhenUsed/>
    <w:qFormat/>
    <w:rsid w:val="00C9597C"/>
    <w:rPr>
      <w:vertAlign w:val="superscript"/>
    </w:rPr>
  </w:style>
  <w:style w:type="paragraph" w:styleId="FootnoteText">
    <w:name w:val="footnote text"/>
    <w:basedOn w:val="Normal"/>
    <w:link w:val="FootnoteTextChar"/>
    <w:uiPriority w:val="99"/>
    <w:unhideWhenUsed/>
    <w:qFormat/>
    <w:rsid w:val="00C9597C"/>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C9597C"/>
    <w:rPr>
      <w:rFonts w:ascii="Calibri" w:eastAsia="Calibri" w:hAnsi="Calibri"/>
      <w:sz w:val="20"/>
      <w:szCs w:val="20"/>
      <w:lang w:val="en-US"/>
    </w:rPr>
  </w:style>
  <w:style w:type="character" w:styleId="FootnoteReference">
    <w:name w:val="footnote reference"/>
    <w:uiPriority w:val="99"/>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unhideWhenUsed/>
    <w:qFormat/>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basedOn w:val="DefaultParagraphFont"/>
    <w:link w:val="BodyTextIndent"/>
    <w:uiPriority w:val="99"/>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qFormat/>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eastAsia="Calibri"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eastAsia="Calibri" w:hAnsi="Times New Roman"/>
      <w:lang w:val="en-US"/>
    </w:rPr>
  </w:style>
  <w:style w:type="character" w:customStyle="1" w:styleId="style36">
    <w:name w:val="style36"/>
    <w:basedOn w:val="DefaultParagraphFont"/>
    <w:rsid w:val="00C9597C"/>
  </w:style>
  <w:style w:type="character" w:styleId="CommentReference">
    <w:name w:val="annotation reference"/>
    <w:uiPriority w:val="99"/>
    <w:unhideWhenUsed/>
    <w:qFormat/>
    <w:rsid w:val="00C9597C"/>
    <w:rPr>
      <w:sz w:val="16"/>
      <w:szCs w:val="16"/>
    </w:rPr>
  </w:style>
  <w:style w:type="paragraph" w:styleId="CommentText">
    <w:name w:val="annotation text"/>
    <w:basedOn w:val="Normal"/>
    <w:link w:val="CommentTextChar"/>
    <w:uiPriority w:val="99"/>
    <w:unhideWhenUsed/>
    <w:qFormat/>
    <w:rsid w:val="00C9597C"/>
    <w:pPr>
      <w:spacing w:after="20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sid w:val="00C9597C"/>
    <w:rPr>
      <w:b/>
      <w:bCs/>
    </w:rPr>
  </w:style>
  <w:style w:type="character" w:customStyle="1" w:styleId="CommentSubjectChar">
    <w:name w:val="Comment Subject Char"/>
    <w:basedOn w:val="CommentTextChar"/>
    <w:link w:val="CommentSubject"/>
    <w:uiPriority w:val="99"/>
    <w:rsid w:val="00C9597C"/>
    <w:rPr>
      <w:rFonts w:ascii="Calibri" w:eastAsia="Calibri" w:hAnsi="Calibri"/>
      <w:b/>
      <w:bCs/>
      <w:sz w:val="20"/>
      <w:szCs w:val="20"/>
      <w:lang w:val="en-US"/>
    </w:rPr>
  </w:style>
  <w:style w:type="character" w:customStyle="1" w:styleId="BalloonTextChar1">
    <w:name w:val="Balloon Text Char1"/>
    <w:uiPriority w:val="99"/>
    <w:semiHidden/>
    <w:rsid w:val="00C9597C"/>
    <w:rPr>
      <w:rFonts w:ascii="Tahoma" w:hAnsi="Tahoma" w:cs="Tahoma"/>
      <w:sz w:val="16"/>
      <w:szCs w:val="16"/>
      <w:lang w:val="en-GB"/>
    </w:rPr>
  </w:style>
  <w:style w:type="character" w:customStyle="1" w:styleId="CommentTextChar1">
    <w:name w:val="Comment Text Char1"/>
    <w:uiPriority w:val="99"/>
    <w:semiHidden/>
    <w:rsid w:val="00C9597C"/>
    <w:rPr>
      <w:sz w:val="20"/>
      <w:szCs w:val="20"/>
      <w:lang w:val="en-GB"/>
    </w:rPr>
  </w:style>
  <w:style w:type="character" w:customStyle="1" w:styleId="CommentSubjectChar1">
    <w:name w:val="Comment Subject Char1"/>
    <w:uiPriority w:val="99"/>
    <w:semiHidden/>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eastAsia="Calibri"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qFormat/>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eastAsia="Calibri"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eastAsia="Calibri"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qFormat/>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eastAsia="Calibri" w:hAnsi="Times New Roman"/>
      <w:b/>
      <w:bCs/>
      <w:sz w:val="20"/>
      <w:szCs w:val="20"/>
      <w:lang w:val="en-US"/>
    </w:rPr>
  </w:style>
  <w:style w:type="character" w:customStyle="1" w:styleId="ListParagraphChar">
    <w:name w:val="List Paragraph Char"/>
    <w:aliases w:val="lp1 Char,elenco Char"/>
    <w:link w:val="ListParagraph"/>
    <w:uiPriority w:val="34"/>
    <w:locked/>
    <w:rsid w:val="00C9597C"/>
    <w:rPr>
      <w:rFonts w:ascii="Calibri" w:eastAsia="Calibri" w:hAnsi="Calibri"/>
      <w:sz w:val="20"/>
      <w:szCs w:val="20"/>
      <w:lang w:val="en-US"/>
    </w:rPr>
  </w:style>
  <w:style w:type="table" w:styleId="MediumGrid1-Accent3">
    <w:name w:val="Medium Grid 1 Accent 3"/>
    <w:basedOn w:val="TableNormal"/>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semiHidden/>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semiHidden/>
    <w:rsid w:val="00C9597C"/>
    <w:rPr>
      <w:rFonts w:ascii="Calibri" w:eastAsia="Calibri" w:hAnsi="Calibri"/>
      <w:sz w:val="22"/>
      <w:szCs w:val="22"/>
      <w:lang w:val="en-US"/>
    </w:rPr>
  </w:style>
  <w:style w:type="numbering" w:customStyle="1" w:styleId="NoList2">
    <w:name w:val="No List2"/>
    <w:next w:val="NoList"/>
    <w:uiPriority w:val="99"/>
    <w:semiHidden/>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
    <w:name w:val="Light Grid - Accent 11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
    <w:name w:val="Light Grid - Accent 5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
    <w:name w:val="Light Grid - Accent 1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
    <w:name w:val="Light List - Accent 5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
    <w:name w:val="Light List - Accent 11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
    <w:name w:val="Light Grid - Accent 1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
    <w:name w:val="Grid Table 4 Accent 3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
    <w:name w:val="No List3"/>
    <w:next w:val="NoList"/>
    <w:uiPriority w:val="99"/>
    <w:semiHidden/>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
    <w:name w:val="Light Grid - Accent 113"/>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
    <w:name w:val="Light Grid - Accent 53"/>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
    <w:name w:val="Light Grid - Accent 12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
    <w:name w:val="Light List - Accent 53"/>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
    <w:name w:val="Light List - Accent 113"/>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
    <w:name w:val="Light Grid - Accent 13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
    <w:name w:val="Grid Table 4 Accent 3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Preformatted">
    <w:name w:val="HTML Preformatted"/>
    <w:basedOn w:val="Normal"/>
    <w:link w:val="HTMLPreformattedChar"/>
    <w:uiPriority w:val="99"/>
    <w:unhideWhenUsed/>
    <w:qFormat/>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qFormat/>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4">
    <w:name w:val="Light Grid - Accent 114"/>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4">
    <w:name w:val="Light Grid - Accent 54"/>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4">
    <w:name w:val="Light Grid - Accent 12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4">
    <w:name w:val="Light List - Accent 54"/>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4">
    <w:name w:val="Light List - Accent 114"/>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4">
    <w:name w:val="Light Grid - Accent 13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3">
    <w:name w:val="Table Grid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
    <w:name w:val="Medium Grid 3 - Accent 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semiHidden/>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semiHidden/>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1">
    <w:name w:val="Light Grid - Accent 112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1">
    <w:name w:val="Light Grid - Accent 52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1">
    <w:name w:val="Light Grid - Accent 12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1">
    <w:name w:val="Light List - Accent 52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1">
    <w:name w:val="Light List - Accent 112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1">
    <w:name w:val="Light Grid - Accent 13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1">
    <w:name w:val="Grid Table 4 Accent 31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1">
    <w:name w:val="No List31"/>
    <w:next w:val="NoList"/>
    <w:uiPriority w:val="99"/>
    <w:semiHidden/>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1">
    <w:name w:val="Light Grid - Accent 113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1">
    <w:name w:val="Light Grid - Accent 53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1">
    <w:name w:val="Light Grid - Accent 12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1">
    <w:name w:val="Light List - Accent 53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1">
    <w:name w:val="Light List - Accent 113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1">
    <w:name w:val="Light Grid - Accent 13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1">
    <w:name w:val="Grid Table 4 Accent 32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1">
    <w:name w:val="Table Grid1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
    <w:name w:val="Medium Grid 3 - Accent 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qFormat/>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semiHidden/>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semiHidden/>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2">
    <w:name w:val="Light Grid - Accent 112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2">
    <w:name w:val="Light Grid - Accent 52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2">
    <w:name w:val="Light Grid - Accent 12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2">
    <w:name w:val="Light List - Accent 52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2">
    <w:name w:val="Light List - Accent 112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2">
    <w:name w:val="Light Grid - Accent 13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2">
    <w:name w:val="Grid Table 4 Accent 31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2">
    <w:name w:val="No List32"/>
    <w:next w:val="NoList"/>
    <w:uiPriority w:val="99"/>
    <w:semiHidden/>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2">
    <w:name w:val="Light Grid - Accent 113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2">
    <w:name w:val="Light Grid - Accent 53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2">
    <w:name w:val="Light Grid - Accent 12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2">
    <w:name w:val="Light List - Accent 53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2">
    <w:name w:val="Light List - Accent 113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2">
    <w:name w:val="Light Grid - Accent 13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2">
    <w:name w:val="Grid Table 4 Accent 32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2">
    <w:name w:val="Table Grid12"/>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6">
    <w:name w:val="Light Grid - Accent 116"/>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6">
    <w:name w:val="Light Grid - Accent 56"/>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6">
    <w:name w:val="Light Grid - Accent 12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6">
    <w:name w:val="Light List - Accent 56"/>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6">
    <w:name w:val="Light List - Accent 116"/>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6">
    <w:name w:val="Light Grid - Accent 13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NoList13">
    <w:name w:val="No List13"/>
    <w:next w:val="NoList"/>
    <w:uiPriority w:val="99"/>
    <w:semiHidden/>
    <w:unhideWhenUsed/>
    <w:rsid w:val="00C9597C"/>
  </w:style>
  <w:style w:type="numbering" w:customStyle="1" w:styleId="NoList23">
    <w:name w:val="No List23"/>
    <w:next w:val="NoList"/>
    <w:uiPriority w:val="99"/>
    <w:semiHidden/>
    <w:unhideWhenUsed/>
    <w:rsid w:val="00C9597C"/>
  </w:style>
  <w:style w:type="numbering" w:customStyle="1" w:styleId="NoList33">
    <w:name w:val="No List33"/>
    <w:next w:val="NoList"/>
    <w:uiPriority w:val="99"/>
    <w:semiHidden/>
    <w:unhideWhenUsed/>
    <w:rsid w:val="00C9597C"/>
  </w:style>
  <w:style w:type="numbering" w:customStyle="1" w:styleId="NoList7">
    <w:name w:val="No List7"/>
    <w:next w:val="NoList"/>
    <w:uiPriority w:val="99"/>
    <w:semiHidden/>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
    <w:name w:val="Medium Grid 3 - Accent 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semiHidden/>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semiHidden/>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semiHidden/>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
    <w:name w:val="Medium Grid 3 - Accent 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semiHidden/>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semiHidden/>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semiHidden/>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semiHidden/>
    <w:unhideWhenUsed/>
    <w:rsid w:val="00C9597C"/>
  </w:style>
  <w:style w:type="numbering" w:customStyle="1" w:styleId="NoList221">
    <w:name w:val="No List221"/>
    <w:next w:val="NoList"/>
    <w:uiPriority w:val="99"/>
    <w:semiHidden/>
    <w:unhideWhenUsed/>
    <w:rsid w:val="00C9597C"/>
  </w:style>
  <w:style w:type="numbering" w:customStyle="1" w:styleId="NoList321">
    <w:name w:val="No List321"/>
    <w:next w:val="NoList"/>
    <w:uiPriority w:val="99"/>
    <w:semiHidden/>
    <w:unhideWhenUsed/>
    <w:rsid w:val="00C9597C"/>
  </w:style>
  <w:style w:type="numbering" w:customStyle="1" w:styleId="NoList61">
    <w:name w:val="No List61"/>
    <w:next w:val="NoList"/>
    <w:uiPriority w:val="99"/>
    <w:semiHidden/>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semiHidden/>
    <w:unhideWhenUsed/>
    <w:rsid w:val="00C9597C"/>
  </w:style>
  <w:style w:type="numbering" w:customStyle="1" w:styleId="NoList231">
    <w:name w:val="No List231"/>
    <w:next w:val="NoList"/>
    <w:uiPriority w:val="99"/>
    <w:semiHidden/>
    <w:unhideWhenUsed/>
    <w:rsid w:val="00C9597C"/>
  </w:style>
  <w:style w:type="numbering" w:customStyle="1" w:styleId="NoList331">
    <w:name w:val="No List331"/>
    <w:next w:val="NoList"/>
    <w:uiPriority w:val="99"/>
    <w:semiHidden/>
    <w:unhideWhenUsed/>
    <w:rsid w:val="00C9597C"/>
  </w:style>
  <w:style w:type="numbering" w:customStyle="1" w:styleId="NoList8">
    <w:name w:val="No List8"/>
    <w:next w:val="NoList"/>
    <w:uiPriority w:val="99"/>
    <w:semiHidden/>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
    <w:name w:val="Medium Grid 3 - Accent 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semiHidden/>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semiHidden/>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semiHidden/>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
    <w:name w:val="Medium Grid 3 - Accent 1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semiHidden/>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semiHidden/>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semiHidden/>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semiHidden/>
    <w:unhideWhenUsed/>
    <w:rsid w:val="00C9597C"/>
  </w:style>
  <w:style w:type="numbering" w:customStyle="1" w:styleId="NoList222">
    <w:name w:val="No List222"/>
    <w:next w:val="NoList"/>
    <w:uiPriority w:val="99"/>
    <w:semiHidden/>
    <w:unhideWhenUsed/>
    <w:rsid w:val="00C9597C"/>
  </w:style>
  <w:style w:type="numbering" w:customStyle="1" w:styleId="NoList322">
    <w:name w:val="No List322"/>
    <w:next w:val="NoList"/>
    <w:uiPriority w:val="99"/>
    <w:semiHidden/>
    <w:unhideWhenUsed/>
    <w:rsid w:val="00C9597C"/>
  </w:style>
  <w:style w:type="numbering" w:customStyle="1" w:styleId="NoList62">
    <w:name w:val="No List62"/>
    <w:next w:val="NoList"/>
    <w:uiPriority w:val="99"/>
    <w:semiHidden/>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semiHidden/>
    <w:unhideWhenUsed/>
    <w:rsid w:val="00C9597C"/>
  </w:style>
  <w:style w:type="numbering" w:customStyle="1" w:styleId="NoList232">
    <w:name w:val="No List232"/>
    <w:next w:val="NoList"/>
    <w:uiPriority w:val="99"/>
    <w:semiHidden/>
    <w:unhideWhenUsed/>
    <w:rsid w:val="00C9597C"/>
  </w:style>
  <w:style w:type="numbering" w:customStyle="1" w:styleId="NoList332">
    <w:name w:val="No List332"/>
    <w:next w:val="NoList"/>
    <w:uiPriority w:val="99"/>
    <w:semiHidden/>
    <w:unhideWhenUsed/>
    <w:rsid w:val="00C9597C"/>
  </w:style>
  <w:style w:type="numbering" w:customStyle="1" w:styleId="NoList9">
    <w:name w:val="No List9"/>
    <w:next w:val="NoList"/>
    <w:uiPriority w:val="99"/>
    <w:semiHidden/>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
    <w:name w:val="Medium Grid 3 - Accent 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semiHidden/>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semiHidden/>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semiHidden/>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
    <w:name w:val="Medium Grid 3 - Accent 1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semiHidden/>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semiHidden/>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semiHidden/>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semiHidden/>
    <w:unhideWhenUsed/>
    <w:rsid w:val="00C9597C"/>
  </w:style>
  <w:style w:type="numbering" w:customStyle="1" w:styleId="NoList223">
    <w:name w:val="No List223"/>
    <w:next w:val="NoList"/>
    <w:uiPriority w:val="99"/>
    <w:semiHidden/>
    <w:unhideWhenUsed/>
    <w:rsid w:val="00C9597C"/>
  </w:style>
  <w:style w:type="numbering" w:customStyle="1" w:styleId="NoList323">
    <w:name w:val="No List323"/>
    <w:next w:val="NoList"/>
    <w:uiPriority w:val="99"/>
    <w:semiHidden/>
    <w:unhideWhenUsed/>
    <w:rsid w:val="00C9597C"/>
  </w:style>
  <w:style w:type="numbering" w:customStyle="1" w:styleId="NoList63">
    <w:name w:val="No List63"/>
    <w:next w:val="NoList"/>
    <w:uiPriority w:val="99"/>
    <w:semiHidden/>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semiHidden/>
    <w:unhideWhenUsed/>
    <w:rsid w:val="00C9597C"/>
  </w:style>
  <w:style w:type="numbering" w:customStyle="1" w:styleId="NoList233">
    <w:name w:val="No List233"/>
    <w:next w:val="NoList"/>
    <w:uiPriority w:val="99"/>
    <w:semiHidden/>
    <w:unhideWhenUsed/>
    <w:rsid w:val="00C9597C"/>
  </w:style>
  <w:style w:type="numbering" w:customStyle="1" w:styleId="NoList333">
    <w:name w:val="No List333"/>
    <w:next w:val="NoList"/>
    <w:uiPriority w:val="99"/>
    <w:semiHidden/>
    <w:unhideWhenUsed/>
    <w:rsid w:val="00C9597C"/>
  </w:style>
  <w:style w:type="numbering" w:customStyle="1" w:styleId="NoList10">
    <w:name w:val="No List10"/>
    <w:next w:val="NoList"/>
    <w:uiPriority w:val="99"/>
    <w:semiHidden/>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
    <w:name w:val="Medium Grid 3 - Accent 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semiHidden/>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semiHidden/>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semiHidden/>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
    <w:name w:val="Medium Grid 3 - Accent 1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semiHidden/>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semiHidden/>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semiHidden/>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semiHidden/>
    <w:unhideWhenUsed/>
    <w:rsid w:val="00C9597C"/>
  </w:style>
  <w:style w:type="numbering" w:customStyle="1" w:styleId="NoList224">
    <w:name w:val="No List224"/>
    <w:next w:val="NoList"/>
    <w:uiPriority w:val="99"/>
    <w:semiHidden/>
    <w:unhideWhenUsed/>
    <w:rsid w:val="00C9597C"/>
  </w:style>
  <w:style w:type="numbering" w:customStyle="1" w:styleId="NoList324">
    <w:name w:val="No List324"/>
    <w:next w:val="NoList"/>
    <w:uiPriority w:val="99"/>
    <w:semiHidden/>
    <w:unhideWhenUsed/>
    <w:rsid w:val="00C9597C"/>
  </w:style>
  <w:style w:type="numbering" w:customStyle="1" w:styleId="NoList64">
    <w:name w:val="No List64"/>
    <w:next w:val="NoList"/>
    <w:uiPriority w:val="99"/>
    <w:semiHidden/>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semiHidden/>
    <w:unhideWhenUsed/>
    <w:rsid w:val="00C9597C"/>
  </w:style>
  <w:style w:type="numbering" w:customStyle="1" w:styleId="NoList234">
    <w:name w:val="No List234"/>
    <w:next w:val="NoList"/>
    <w:uiPriority w:val="99"/>
    <w:semiHidden/>
    <w:unhideWhenUsed/>
    <w:rsid w:val="00C9597C"/>
  </w:style>
  <w:style w:type="numbering" w:customStyle="1" w:styleId="NoList334">
    <w:name w:val="No List334"/>
    <w:next w:val="NoList"/>
    <w:uiPriority w:val="99"/>
    <w:semiHidden/>
    <w:unhideWhenUsed/>
    <w:rsid w:val="00C9597C"/>
  </w:style>
  <w:style w:type="numbering" w:customStyle="1" w:styleId="NoList18">
    <w:name w:val="No List18"/>
    <w:next w:val="NoList"/>
    <w:uiPriority w:val="99"/>
    <w:semiHidden/>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
    <w:name w:val="Medium Grid 3 - Accent 17"/>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semiHidden/>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semiHidden/>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semiHidden/>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
    <w:name w:val="Medium Grid 3 - Accent 1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semiHidden/>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semiHidden/>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semiHidden/>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semiHidden/>
    <w:unhideWhenUsed/>
    <w:rsid w:val="00C9597C"/>
  </w:style>
  <w:style w:type="numbering" w:customStyle="1" w:styleId="NoList225">
    <w:name w:val="No List225"/>
    <w:next w:val="NoList"/>
    <w:uiPriority w:val="99"/>
    <w:semiHidden/>
    <w:unhideWhenUsed/>
    <w:rsid w:val="00C9597C"/>
  </w:style>
  <w:style w:type="numbering" w:customStyle="1" w:styleId="NoList325">
    <w:name w:val="No List325"/>
    <w:next w:val="NoList"/>
    <w:uiPriority w:val="99"/>
    <w:semiHidden/>
    <w:unhideWhenUsed/>
    <w:rsid w:val="00C9597C"/>
  </w:style>
  <w:style w:type="numbering" w:customStyle="1" w:styleId="NoList65">
    <w:name w:val="No List65"/>
    <w:next w:val="NoList"/>
    <w:uiPriority w:val="99"/>
    <w:semiHidden/>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semiHidden/>
    <w:unhideWhenUsed/>
    <w:rsid w:val="00C9597C"/>
  </w:style>
  <w:style w:type="numbering" w:customStyle="1" w:styleId="NoList235">
    <w:name w:val="No List235"/>
    <w:next w:val="NoList"/>
    <w:uiPriority w:val="99"/>
    <w:semiHidden/>
    <w:unhideWhenUsed/>
    <w:rsid w:val="00C9597C"/>
  </w:style>
  <w:style w:type="numbering" w:customStyle="1" w:styleId="NoList335">
    <w:name w:val="No List335"/>
    <w:next w:val="NoList"/>
    <w:uiPriority w:val="99"/>
    <w:semiHidden/>
    <w:unhideWhenUsed/>
    <w:rsid w:val="00C9597C"/>
  </w:style>
  <w:style w:type="numbering" w:customStyle="1" w:styleId="NoList20">
    <w:name w:val="No List20"/>
    <w:next w:val="NoList"/>
    <w:uiPriority w:val="99"/>
    <w:semiHidden/>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
    <w:name w:val="Medium Grid 3 - Accent 18"/>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semiHidden/>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semiHidden/>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semiHidden/>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
    <w:name w:val="Medium Grid 3 - Accent 1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semiHidden/>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semiHidden/>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semiHidden/>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
    <w:name w:val="Medium Grid 3 - Accent 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semiHidden/>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semiHidden/>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semiHidden/>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semiHidden/>
    <w:unhideWhenUsed/>
    <w:rsid w:val="00C9597C"/>
  </w:style>
  <w:style w:type="numbering" w:customStyle="1" w:styleId="NoList236">
    <w:name w:val="No List236"/>
    <w:next w:val="NoList"/>
    <w:uiPriority w:val="99"/>
    <w:semiHidden/>
    <w:unhideWhenUsed/>
    <w:rsid w:val="00C9597C"/>
  </w:style>
  <w:style w:type="numbering" w:customStyle="1" w:styleId="NoList336">
    <w:name w:val="No List336"/>
    <w:next w:val="NoList"/>
    <w:uiPriority w:val="99"/>
    <w:semiHidden/>
    <w:unhideWhenUsed/>
    <w:rsid w:val="00C9597C"/>
  </w:style>
  <w:style w:type="numbering" w:customStyle="1" w:styleId="NoList71">
    <w:name w:val="No List71"/>
    <w:next w:val="NoList"/>
    <w:uiPriority w:val="99"/>
    <w:semiHidden/>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
    <w:name w:val="Medium Grid 3 - Accent 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semiHidden/>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semiHidden/>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semiHidden/>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
    <w:name w:val="Medium Grid 3 - Accent 1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semiHidden/>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semiHidden/>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semiHidden/>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semiHidden/>
    <w:unhideWhenUsed/>
    <w:rsid w:val="00C9597C"/>
  </w:style>
  <w:style w:type="numbering" w:customStyle="1" w:styleId="NoList2211">
    <w:name w:val="No List2211"/>
    <w:next w:val="NoList"/>
    <w:uiPriority w:val="99"/>
    <w:semiHidden/>
    <w:unhideWhenUsed/>
    <w:rsid w:val="00C9597C"/>
  </w:style>
  <w:style w:type="numbering" w:customStyle="1" w:styleId="NoList3211">
    <w:name w:val="No List3211"/>
    <w:next w:val="NoList"/>
    <w:uiPriority w:val="99"/>
    <w:semiHidden/>
    <w:unhideWhenUsed/>
    <w:rsid w:val="00C9597C"/>
  </w:style>
  <w:style w:type="numbering" w:customStyle="1" w:styleId="NoList611">
    <w:name w:val="No List611"/>
    <w:next w:val="NoList"/>
    <w:uiPriority w:val="99"/>
    <w:semiHidden/>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semiHidden/>
    <w:unhideWhenUsed/>
    <w:rsid w:val="00C9597C"/>
  </w:style>
  <w:style w:type="numbering" w:customStyle="1" w:styleId="NoList2311">
    <w:name w:val="No List2311"/>
    <w:next w:val="NoList"/>
    <w:uiPriority w:val="99"/>
    <w:semiHidden/>
    <w:unhideWhenUsed/>
    <w:rsid w:val="00C9597C"/>
  </w:style>
  <w:style w:type="numbering" w:customStyle="1" w:styleId="NoList3311">
    <w:name w:val="No List3311"/>
    <w:next w:val="NoList"/>
    <w:uiPriority w:val="99"/>
    <w:semiHidden/>
    <w:unhideWhenUsed/>
    <w:rsid w:val="00C9597C"/>
  </w:style>
  <w:style w:type="numbering" w:customStyle="1" w:styleId="NoList81">
    <w:name w:val="No List81"/>
    <w:next w:val="NoList"/>
    <w:uiPriority w:val="99"/>
    <w:semiHidden/>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
    <w:name w:val="Medium Grid 3 - Accent 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semiHidden/>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semiHidden/>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semiHidden/>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
    <w:name w:val="Medium Grid 3 - Accent 1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semiHidden/>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semiHidden/>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semiHidden/>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semiHidden/>
    <w:unhideWhenUsed/>
    <w:rsid w:val="00C9597C"/>
  </w:style>
  <w:style w:type="numbering" w:customStyle="1" w:styleId="NoList2221">
    <w:name w:val="No List2221"/>
    <w:next w:val="NoList"/>
    <w:uiPriority w:val="99"/>
    <w:semiHidden/>
    <w:unhideWhenUsed/>
    <w:rsid w:val="00C9597C"/>
  </w:style>
  <w:style w:type="numbering" w:customStyle="1" w:styleId="NoList3221">
    <w:name w:val="No List3221"/>
    <w:next w:val="NoList"/>
    <w:uiPriority w:val="99"/>
    <w:semiHidden/>
    <w:unhideWhenUsed/>
    <w:rsid w:val="00C9597C"/>
  </w:style>
  <w:style w:type="numbering" w:customStyle="1" w:styleId="NoList621">
    <w:name w:val="No List621"/>
    <w:next w:val="NoList"/>
    <w:uiPriority w:val="99"/>
    <w:semiHidden/>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semiHidden/>
    <w:unhideWhenUsed/>
    <w:rsid w:val="00C9597C"/>
  </w:style>
  <w:style w:type="numbering" w:customStyle="1" w:styleId="NoList2321">
    <w:name w:val="No List2321"/>
    <w:next w:val="NoList"/>
    <w:uiPriority w:val="99"/>
    <w:semiHidden/>
    <w:unhideWhenUsed/>
    <w:rsid w:val="00C9597C"/>
  </w:style>
  <w:style w:type="numbering" w:customStyle="1" w:styleId="NoList3321">
    <w:name w:val="No List3321"/>
    <w:next w:val="NoList"/>
    <w:uiPriority w:val="99"/>
    <w:semiHidden/>
    <w:unhideWhenUsed/>
    <w:rsid w:val="00C9597C"/>
  </w:style>
  <w:style w:type="numbering" w:customStyle="1" w:styleId="NoList91">
    <w:name w:val="No List91"/>
    <w:next w:val="NoList"/>
    <w:uiPriority w:val="99"/>
    <w:semiHidden/>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
    <w:name w:val="Medium Grid 3 - Accent 151"/>
    <w:basedOn w:val="TableNormal"/>
    <w:next w:val="MediumGrid3-Accent1"/>
    <w:uiPriority w:val="69"/>
    <w:locked/>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semiHidden/>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semiHidden/>
    <w:unhideWhenUsed/>
    <w:rsid w:val="00C9597C"/>
  </w:style>
  <w:style w:type="table" w:customStyle="1" w:styleId="MediumGrid1-Accent1251">
    <w:name w:val="Medium Grid 1 - Accent 1251"/>
    <w:basedOn w:val="TableNormal"/>
    <w:next w:val="MediumGrid1-Accent1"/>
    <w:uiPriority w:val="67"/>
    <w:qFormat/>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semiHidden/>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
    <w:name w:val="Medium Grid 3 - Accent 1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semiHidden/>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semiHidden/>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semiHidden/>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semiHidden/>
    <w:unhideWhenUsed/>
    <w:rsid w:val="00C9597C"/>
  </w:style>
  <w:style w:type="numbering" w:customStyle="1" w:styleId="NoList2231">
    <w:name w:val="No List2231"/>
    <w:next w:val="NoList"/>
    <w:uiPriority w:val="99"/>
    <w:semiHidden/>
    <w:unhideWhenUsed/>
    <w:rsid w:val="00C9597C"/>
  </w:style>
  <w:style w:type="numbering" w:customStyle="1" w:styleId="NoList3231">
    <w:name w:val="No List3231"/>
    <w:next w:val="NoList"/>
    <w:uiPriority w:val="99"/>
    <w:semiHidden/>
    <w:unhideWhenUsed/>
    <w:rsid w:val="00C9597C"/>
  </w:style>
  <w:style w:type="numbering" w:customStyle="1" w:styleId="NoList631">
    <w:name w:val="No List631"/>
    <w:next w:val="NoList"/>
    <w:uiPriority w:val="99"/>
    <w:semiHidden/>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semiHidden/>
    <w:unhideWhenUsed/>
    <w:rsid w:val="00C9597C"/>
  </w:style>
  <w:style w:type="numbering" w:customStyle="1" w:styleId="NoList2331">
    <w:name w:val="No List2331"/>
    <w:next w:val="NoList"/>
    <w:uiPriority w:val="99"/>
    <w:semiHidden/>
    <w:unhideWhenUsed/>
    <w:rsid w:val="00C9597C"/>
  </w:style>
  <w:style w:type="numbering" w:customStyle="1" w:styleId="NoList3331">
    <w:name w:val="No List3331"/>
    <w:next w:val="NoList"/>
    <w:uiPriority w:val="99"/>
    <w:semiHidden/>
    <w:unhideWhenUsed/>
    <w:rsid w:val="00C9597C"/>
  </w:style>
  <w:style w:type="numbering" w:customStyle="1" w:styleId="NoList101">
    <w:name w:val="No List101"/>
    <w:next w:val="NoList"/>
    <w:uiPriority w:val="99"/>
    <w:semiHidden/>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
    <w:name w:val="Medium Grid 3 - Accent 16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semiHidden/>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semiHidden/>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semiHidden/>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
    <w:name w:val="Medium Grid 3 - Accent 1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semiHidden/>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semiHidden/>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semiHidden/>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semiHidden/>
    <w:unhideWhenUsed/>
    <w:rsid w:val="00C9597C"/>
  </w:style>
  <w:style w:type="numbering" w:customStyle="1" w:styleId="NoList2241">
    <w:name w:val="No List2241"/>
    <w:next w:val="NoList"/>
    <w:uiPriority w:val="99"/>
    <w:semiHidden/>
    <w:unhideWhenUsed/>
    <w:rsid w:val="00C9597C"/>
  </w:style>
  <w:style w:type="numbering" w:customStyle="1" w:styleId="NoList3241">
    <w:name w:val="No List3241"/>
    <w:next w:val="NoList"/>
    <w:uiPriority w:val="99"/>
    <w:semiHidden/>
    <w:unhideWhenUsed/>
    <w:rsid w:val="00C9597C"/>
  </w:style>
  <w:style w:type="numbering" w:customStyle="1" w:styleId="NoList641">
    <w:name w:val="No List641"/>
    <w:next w:val="NoList"/>
    <w:uiPriority w:val="99"/>
    <w:semiHidden/>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semiHidden/>
    <w:unhideWhenUsed/>
    <w:rsid w:val="00C9597C"/>
  </w:style>
  <w:style w:type="numbering" w:customStyle="1" w:styleId="NoList2341">
    <w:name w:val="No List2341"/>
    <w:next w:val="NoList"/>
    <w:uiPriority w:val="99"/>
    <w:semiHidden/>
    <w:unhideWhenUsed/>
    <w:rsid w:val="00C9597C"/>
  </w:style>
  <w:style w:type="numbering" w:customStyle="1" w:styleId="NoList3341">
    <w:name w:val="No List3341"/>
    <w:next w:val="NoList"/>
    <w:uiPriority w:val="99"/>
    <w:semiHidden/>
    <w:unhideWhenUsed/>
    <w:rsid w:val="00C9597C"/>
  </w:style>
  <w:style w:type="numbering" w:customStyle="1" w:styleId="NoList181">
    <w:name w:val="No List181"/>
    <w:next w:val="NoList"/>
    <w:uiPriority w:val="99"/>
    <w:semiHidden/>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
    <w:name w:val="Medium Grid 3 - Accent 17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semiHidden/>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semiHidden/>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semiHidden/>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
    <w:name w:val="Medium Grid 3 - Accent 115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semiHidden/>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semiHidden/>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semiHidden/>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semiHidden/>
    <w:unhideWhenUsed/>
    <w:rsid w:val="00C9597C"/>
  </w:style>
  <w:style w:type="numbering" w:customStyle="1" w:styleId="NoList2251">
    <w:name w:val="No List2251"/>
    <w:next w:val="NoList"/>
    <w:uiPriority w:val="99"/>
    <w:semiHidden/>
    <w:unhideWhenUsed/>
    <w:rsid w:val="00C9597C"/>
  </w:style>
  <w:style w:type="numbering" w:customStyle="1" w:styleId="NoList3251">
    <w:name w:val="No List3251"/>
    <w:next w:val="NoList"/>
    <w:uiPriority w:val="99"/>
    <w:semiHidden/>
    <w:unhideWhenUsed/>
    <w:rsid w:val="00C9597C"/>
  </w:style>
  <w:style w:type="numbering" w:customStyle="1" w:styleId="NoList651">
    <w:name w:val="No List651"/>
    <w:next w:val="NoList"/>
    <w:uiPriority w:val="99"/>
    <w:semiHidden/>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semiHidden/>
    <w:unhideWhenUsed/>
    <w:rsid w:val="00C9597C"/>
  </w:style>
  <w:style w:type="numbering" w:customStyle="1" w:styleId="NoList2351">
    <w:name w:val="No List2351"/>
    <w:next w:val="NoList"/>
    <w:uiPriority w:val="99"/>
    <w:semiHidden/>
    <w:unhideWhenUsed/>
    <w:rsid w:val="00C9597C"/>
  </w:style>
  <w:style w:type="numbering" w:customStyle="1" w:styleId="NoList3351">
    <w:name w:val="No List3351"/>
    <w:next w:val="NoList"/>
    <w:uiPriority w:val="99"/>
    <w:semiHidden/>
    <w:unhideWhenUsed/>
    <w:rsid w:val="00C9597C"/>
  </w:style>
  <w:style w:type="table" w:styleId="GridTable4-Accent5">
    <w:name w:val="Grid Table 4 Accent 5"/>
    <w:basedOn w:val="TableNormal"/>
    <w:uiPriority w:val="49"/>
    <w:rsid w:val="00B25DA6"/>
    <w:rPr>
      <w:rFonts w:asciiTheme="minorHAnsi" w:hAnsiTheme="minorHAnsi" w:cstheme="minorBidi"/>
      <w:sz w:val="22"/>
      <w:szCs w:val="22"/>
      <w:lang w:val="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30">
    <w:name w:val="No List30"/>
    <w:next w:val="NoList"/>
    <w:uiPriority w:val="99"/>
    <w:semiHidden/>
    <w:unhideWhenUsed/>
    <w:rsid w:val="00C64FC7"/>
  </w:style>
  <w:style w:type="table" w:customStyle="1" w:styleId="TableGrid19">
    <w:name w:val="Table Grid19"/>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9">
    <w:name w:val="Medium Grid 3 - Accent 19"/>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semiHidden/>
    <w:unhideWhenUsed/>
    <w:rsid w:val="00C64FC7"/>
  </w:style>
  <w:style w:type="table" w:customStyle="1" w:styleId="MediumGrid1-Accent1117">
    <w:name w:val="Medium Grid 1 - Accent 11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semiHidden/>
    <w:unhideWhenUsed/>
    <w:rsid w:val="00C64FC7"/>
  </w:style>
  <w:style w:type="table" w:customStyle="1" w:styleId="MediumGrid1-Accent129">
    <w:name w:val="Medium Grid 1 - Accent 12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semiHidden/>
    <w:unhideWhenUsed/>
    <w:rsid w:val="00C64FC7"/>
  </w:style>
  <w:style w:type="table" w:customStyle="1" w:styleId="MediumGrid1-Accent139">
    <w:name w:val="Medium Grid 1 - Accent 13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C64FC7"/>
  </w:style>
  <w:style w:type="table" w:customStyle="1" w:styleId="MediumGrid1-Accent147">
    <w:name w:val="Medium Grid 1 - Accent 14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7">
    <w:name w:val="Medium Grid 3 - Accent 117"/>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semiHidden/>
    <w:unhideWhenUsed/>
    <w:rsid w:val="00C64FC7"/>
  </w:style>
  <w:style w:type="table" w:customStyle="1" w:styleId="MediumGrid1-Accent1118">
    <w:name w:val="Medium Grid 1 - Accent 11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semiHidden/>
    <w:unhideWhenUsed/>
    <w:rsid w:val="00C64FC7"/>
  </w:style>
  <w:style w:type="table" w:customStyle="1" w:styleId="MediumGrid1-Accent1217">
    <w:name w:val="Medium Grid 1 - Accent 12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semiHidden/>
    <w:unhideWhenUsed/>
    <w:rsid w:val="00C64FC7"/>
  </w:style>
  <w:style w:type="table" w:customStyle="1" w:styleId="MediumGrid1-Accent1317">
    <w:name w:val="Medium Grid 1 - Accent 13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C64FC7"/>
  </w:style>
  <w:style w:type="table" w:customStyle="1" w:styleId="TableGrid42">
    <w:name w:val="Table Grid4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2">
    <w:name w:val="Medium Grid 3 - Accent 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semiHidden/>
    <w:unhideWhenUsed/>
    <w:rsid w:val="00C64FC7"/>
  </w:style>
  <w:style w:type="table" w:customStyle="1" w:styleId="MediumGrid1-Accent1122">
    <w:name w:val="Medium Grid 1 - Accent 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semiHidden/>
    <w:unhideWhenUsed/>
    <w:rsid w:val="00C64FC7"/>
  </w:style>
  <w:style w:type="table" w:customStyle="1" w:styleId="MediumGrid1-Accent1222">
    <w:name w:val="Medium Grid 1 - Accent 12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semiHidden/>
    <w:unhideWhenUsed/>
    <w:rsid w:val="00C64FC7"/>
  </w:style>
  <w:style w:type="table" w:customStyle="1" w:styleId="MediumGrid1-Accent1322">
    <w:name w:val="Medium Grid 1 - Accent 13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C64FC7"/>
  </w:style>
  <w:style w:type="table" w:customStyle="1" w:styleId="MediumGrid1-Accent167">
    <w:name w:val="Medium Grid 1 - Accent 16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semiHidden/>
    <w:unhideWhenUsed/>
    <w:rsid w:val="00C64FC7"/>
  </w:style>
  <w:style w:type="numbering" w:customStyle="1" w:styleId="NoList237">
    <w:name w:val="No List237"/>
    <w:next w:val="NoList"/>
    <w:uiPriority w:val="99"/>
    <w:semiHidden/>
    <w:unhideWhenUsed/>
    <w:rsid w:val="00C64FC7"/>
  </w:style>
  <w:style w:type="numbering" w:customStyle="1" w:styleId="NoList337">
    <w:name w:val="No List337"/>
    <w:next w:val="NoList"/>
    <w:uiPriority w:val="99"/>
    <w:semiHidden/>
    <w:unhideWhenUsed/>
    <w:rsid w:val="00C64FC7"/>
  </w:style>
  <w:style w:type="numbering" w:customStyle="1" w:styleId="NoList72">
    <w:name w:val="No List72"/>
    <w:next w:val="NoList"/>
    <w:uiPriority w:val="99"/>
    <w:semiHidden/>
    <w:unhideWhenUsed/>
    <w:rsid w:val="00C64FC7"/>
  </w:style>
  <w:style w:type="table" w:customStyle="1" w:styleId="TableGrid52">
    <w:name w:val="Table Grid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2">
    <w:name w:val="Medium Grid 3 - Accent 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semiHidden/>
    <w:unhideWhenUsed/>
    <w:rsid w:val="00C64FC7"/>
  </w:style>
  <w:style w:type="table" w:customStyle="1" w:styleId="MediumGrid1-Accent1132">
    <w:name w:val="Medium Grid 1 - Accent 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semiHidden/>
    <w:unhideWhenUsed/>
    <w:rsid w:val="00C64FC7"/>
  </w:style>
  <w:style w:type="table" w:customStyle="1" w:styleId="MediumGrid1-Accent1232">
    <w:name w:val="Medium Grid 1 - Accent 12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semiHidden/>
    <w:unhideWhenUsed/>
    <w:rsid w:val="00C64FC7"/>
  </w:style>
  <w:style w:type="table" w:customStyle="1" w:styleId="MediumGrid1-Accent1332">
    <w:name w:val="Medium Grid 1 - Accent 13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C64FC7"/>
  </w:style>
  <w:style w:type="table" w:customStyle="1" w:styleId="MediumGrid1-Accent1412">
    <w:name w:val="Medium Grid 1 - Accent 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2">
    <w:name w:val="Medium Grid 3 - Accent 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semiHidden/>
    <w:unhideWhenUsed/>
    <w:rsid w:val="00C64FC7"/>
  </w:style>
  <w:style w:type="table" w:customStyle="1" w:styleId="MediumGrid1-Accent11112">
    <w:name w:val="Medium Grid 1 - Accent 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semiHidden/>
    <w:unhideWhenUsed/>
    <w:rsid w:val="00C64FC7"/>
  </w:style>
  <w:style w:type="table" w:customStyle="1" w:styleId="MediumGrid1-Accent12112">
    <w:name w:val="Medium Grid 1 - Accent 12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semiHidden/>
    <w:unhideWhenUsed/>
    <w:rsid w:val="00C64FC7"/>
  </w:style>
  <w:style w:type="table" w:customStyle="1" w:styleId="MediumGrid1-Accent13112">
    <w:name w:val="Medium Grid 1 - Accent 13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C64FC7"/>
  </w:style>
  <w:style w:type="table" w:customStyle="1" w:styleId="MediumGrid1-Accent1512">
    <w:name w:val="Medium Grid 1 - Accent 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semiHidden/>
    <w:unhideWhenUsed/>
    <w:rsid w:val="00C64FC7"/>
  </w:style>
  <w:style w:type="numbering" w:customStyle="1" w:styleId="NoList2212">
    <w:name w:val="No List2212"/>
    <w:next w:val="NoList"/>
    <w:uiPriority w:val="99"/>
    <w:semiHidden/>
    <w:unhideWhenUsed/>
    <w:rsid w:val="00C64FC7"/>
  </w:style>
  <w:style w:type="numbering" w:customStyle="1" w:styleId="NoList3212">
    <w:name w:val="No List3212"/>
    <w:next w:val="NoList"/>
    <w:uiPriority w:val="99"/>
    <w:semiHidden/>
    <w:unhideWhenUsed/>
    <w:rsid w:val="00C64FC7"/>
  </w:style>
  <w:style w:type="numbering" w:customStyle="1" w:styleId="NoList612">
    <w:name w:val="No List612"/>
    <w:next w:val="NoList"/>
    <w:uiPriority w:val="99"/>
    <w:semiHidden/>
    <w:unhideWhenUsed/>
    <w:rsid w:val="00C64FC7"/>
  </w:style>
  <w:style w:type="table" w:customStyle="1" w:styleId="MediumGrid1-Accent1612">
    <w:name w:val="Medium Grid 1 - Accent 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semiHidden/>
    <w:unhideWhenUsed/>
    <w:rsid w:val="00C64FC7"/>
  </w:style>
  <w:style w:type="numbering" w:customStyle="1" w:styleId="NoList2312">
    <w:name w:val="No List2312"/>
    <w:next w:val="NoList"/>
    <w:uiPriority w:val="99"/>
    <w:semiHidden/>
    <w:unhideWhenUsed/>
    <w:rsid w:val="00C64FC7"/>
  </w:style>
  <w:style w:type="numbering" w:customStyle="1" w:styleId="NoList3312">
    <w:name w:val="No List3312"/>
    <w:next w:val="NoList"/>
    <w:uiPriority w:val="99"/>
    <w:semiHidden/>
    <w:unhideWhenUsed/>
    <w:rsid w:val="00C64FC7"/>
  </w:style>
  <w:style w:type="numbering" w:customStyle="1" w:styleId="NoList82">
    <w:name w:val="No List82"/>
    <w:next w:val="NoList"/>
    <w:uiPriority w:val="99"/>
    <w:semiHidden/>
    <w:unhideWhenUsed/>
    <w:rsid w:val="00C64FC7"/>
  </w:style>
  <w:style w:type="table" w:customStyle="1" w:styleId="TableGrid62">
    <w:name w:val="Table Grid6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2">
    <w:name w:val="Medium Grid 3 - Accent 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semiHidden/>
    <w:unhideWhenUsed/>
    <w:rsid w:val="00C64FC7"/>
  </w:style>
  <w:style w:type="table" w:customStyle="1" w:styleId="MediumGrid1-Accent1142">
    <w:name w:val="Medium Grid 1 - Accent 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semiHidden/>
    <w:unhideWhenUsed/>
    <w:rsid w:val="00C64FC7"/>
  </w:style>
  <w:style w:type="table" w:customStyle="1" w:styleId="MediumGrid1-Accent1242">
    <w:name w:val="Medium Grid 1 - Accent 12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semiHidden/>
    <w:unhideWhenUsed/>
    <w:rsid w:val="00C64FC7"/>
  </w:style>
  <w:style w:type="table" w:customStyle="1" w:styleId="MediumGrid1-Accent1342">
    <w:name w:val="Medium Grid 1 - Accent 13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C64FC7"/>
  </w:style>
  <w:style w:type="table" w:customStyle="1" w:styleId="MediumGrid1-Accent1422">
    <w:name w:val="Medium Grid 1 - Accent 14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2">
    <w:name w:val="Medium Grid 3 - Accent 1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semiHidden/>
    <w:unhideWhenUsed/>
    <w:rsid w:val="00C64FC7"/>
  </w:style>
  <w:style w:type="table" w:customStyle="1" w:styleId="MediumGrid1-Accent11122">
    <w:name w:val="Medium Grid 1 - Accent 1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semiHidden/>
    <w:unhideWhenUsed/>
    <w:rsid w:val="00C64FC7"/>
  </w:style>
  <w:style w:type="table" w:customStyle="1" w:styleId="MediumGrid1-Accent12122">
    <w:name w:val="Medium Grid 1 - Accent 12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semiHidden/>
    <w:unhideWhenUsed/>
    <w:rsid w:val="00C64FC7"/>
  </w:style>
  <w:style w:type="table" w:customStyle="1" w:styleId="MediumGrid1-Accent13122">
    <w:name w:val="Medium Grid 1 - Accent 13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C64FC7"/>
  </w:style>
  <w:style w:type="table" w:customStyle="1" w:styleId="MediumGrid1-Accent1522">
    <w:name w:val="Medium Grid 1 - Accent 15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semiHidden/>
    <w:unhideWhenUsed/>
    <w:rsid w:val="00C64FC7"/>
  </w:style>
  <w:style w:type="numbering" w:customStyle="1" w:styleId="NoList2222">
    <w:name w:val="No List2222"/>
    <w:next w:val="NoList"/>
    <w:uiPriority w:val="99"/>
    <w:semiHidden/>
    <w:unhideWhenUsed/>
    <w:rsid w:val="00C64FC7"/>
  </w:style>
  <w:style w:type="numbering" w:customStyle="1" w:styleId="NoList3222">
    <w:name w:val="No List3222"/>
    <w:next w:val="NoList"/>
    <w:uiPriority w:val="99"/>
    <w:semiHidden/>
    <w:unhideWhenUsed/>
    <w:rsid w:val="00C64FC7"/>
  </w:style>
  <w:style w:type="numbering" w:customStyle="1" w:styleId="NoList622">
    <w:name w:val="No List622"/>
    <w:next w:val="NoList"/>
    <w:uiPriority w:val="99"/>
    <w:semiHidden/>
    <w:unhideWhenUsed/>
    <w:rsid w:val="00C64FC7"/>
  </w:style>
  <w:style w:type="table" w:customStyle="1" w:styleId="MediumGrid1-Accent1622">
    <w:name w:val="Medium Grid 1 - Accent 16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semiHidden/>
    <w:unhideWhenUsed/>
    <w:rsid w:val="00C64FC7"/>
  </w:style>
  <w:style w:type="numbering" w:customStyle="1" w:styleId="NoList2322">
    <w:name w:val="No List2322"/>
    <w:next w:val="NoList"/>
    <w:uiPriority w:val="99"/>
    <w:semiHidden/>
    <w:unhideWhenUsed/>
    <w:rsid w:val="00C64FC7"/>
  </w:style>
  <w:style w:type="numbering" w:customStyle="1" w:styleId="NoList3322">
    <w:name w:val="No List3322"/>
    <w:next w:val="NoList"/>
    <w:uiPriority w:val="99"/>
    <w:semiHidden/>
    <w:unhideWhenUsed/>
    <w:rsid w:val="00C64FC7"/>
  </w:style>
  <w:style w:type="numbering" w:customStyle="1" w:styleId="NoList92">
    <w:name w:val="No List92"/>
    <w:next w:val="NoList"/>
    <w:uiPriority w:val="99"/>
    <w:semiHidden/>
    <w:unhideWhenUsed/>
    <w:rsid w:val="00C64FC7"/>
  </w:style>
  <w:style w:type="table" w:customStyle="1" w:styleId="TableGrid72">
    <w:name w:val="Table Grid7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2">
    <w:name w:val="Medium Grid 3 - Accent 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semiHidden/>
    <w:unhideWhenUsed/>
    <w:rsid w:val="00C64FC7"/>
  </w:style>
  <w:style w:type="table" w:customStyle="1" w:styleId="MediumGrid1-Accent1152">
    <w:name w:val="Medium Grid 1 - Accent 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semiHidden/>
    <w:unhideWhenUsed/>
    <w:rsid w:val="00C64FC7"/>
  </w:style>
  <w:style w:type="table" w:customStyle="1" w:styleId="MediumGrid1-Accent1252">
    <w:name w:val="Medium Grid 1 - Accent 12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semiHidden/>
    <w:unhideWhenUsed/>
    <w:rsid w:val="00C64FC7"/>
  </w:style>
  <w:style w:type="table" w:customStyle="1" w:styleId="MediumGrid1-Accent1352">
    <w:name w:val="Medium Grid 1 - Accent 13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C64FC7"/>
  </w:style>
  <w:style w:type="table" w:customStyle="1" w:styleId="MediumGrid1-Accent1432">
    <w:name w:val="Medium Grid 1 - Accent 14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2">
    <w:name w:val="Medium Grid 3 - Accent 1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semiHidden/>
    <w:unhideWhenUsed/>
    <w:rsid w:val="00C64FC7"/>
  </w:style>
  <w:style w:type="table" w:customStyle="1" w:styleId="MediumGrid1-Accent11132">
    <w:name w:val="Medium Grid 1 - Accent 1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semiHidden/>
    <w:unhideWhenUsed/>
    <w:rsid w:val="00C64FC7"/>
  </w:style>
  <w:style w:type="table" w:customStyle="1" w:styleId="MediumGrid1-Accent12132">
    <w:name w:val="Medium Grid 1 - Accent 12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semiHidden/>
    <w:unhideWhenUsed/>
    <w:rsid w:val="00C64FC7"/>
  </w:style>
  <w:style w:type="table" w:customStyle="1" w:styleId="MediumGrid1-Accent13132">
    <w:name w:val="Medium Grid 1 - Accent 13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C64FC7"/>
  </w:style>
  <w:style w:type="table" w:customStyle="1" w:styleId="MediumGrid1-Accent1532">
    <w:name w:val="Medium Grid 1 - Accent 15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semiHidden/>
    <w:unhideWhenUsed/>
    <w:rsid w:val="00C64FC7"/>
  </w:style>
  <w:style w:type="numbering" w:customStyle="1" w:styleId="NoList2232">
    <w:name w:val="No List2232"/>
    <w:next w:val="NoList"/>
    <w:uiPriority w:val="99"/>
    <w:semiHidden/>
    <w:unhideWhenUsed/>
    <w:rsid w:val="00C64FC7"/>
  </w:style>
  <w:style w:type="numbering" w:customStyle="1" w:styleId="NoList3232">
    <w:name w:val="No List3232"/>
    <w:next w:val="NoList"/>
    <w:uiPriority w:val="99"/>
    <w:semiHidden/>
    <w:unhideWhenUsed/>
    <w:rsid w:val="00C64FC7"/>
  </w:style>
  <w:style w:type="numbering" w:customStyle="1" w:styleId="NoList632">
    <w:name w:val="No List632"/>
    <w:next w:val="NoList"/>
    <w:uiPriority w:val="99"/>
    <w:semiHidden/>
    <w:unhideWhenUsed/>
    <w:rsid w:val="00C64FC7"/>
  </w:style>
  <w:style w:type="table" w:customStyle="1" w:styleId="MediumGrid1-Accent1632">
    <w:name w:val="Medium Grid 1 - Accent 16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semiHidden/>
    <w:unhideWhenUsed/>
    <w:rsid w:val="00C64FC7"/>
  </w:style>
  <w:style w:type="numbering" w:customStyle="1" w:styleId="NoList2332">
    <w:name w:val="No List2332"/>
    <w:next w:val="NoList"/>
    <w:uiPriority w:val="99"/>
    <w:semiHidden/>
    <w:unhideWhenUsed/>
    <w:rsid w:val="00C64FC7"/>
  </w:style>
  <w:style w:type="numbering" w:customStyle="1" w:styleId="NoList3332">
    <w:name w:val="No List3332"/>
    <w:next w:val="NoList"/>
    <w:uiPriority w:val="99"/>
    <w:semiHidden/>
    <w:unhideWhenUsed/>
    <w:rsid w:val="00C64FC7"/>
  </w:style>
  <w:style w:type="numbering" w:customStyle="1" w:styleId="NoList102">
    <w:name w:val="No List102"/>
    <w:next w:val="NoList"/>
    <w:uiPriority w:val="99"/>
    <w:semiHidden/>
    <w:unhideWhenUsed/>
    <w:rsid w:val="00C64FC7"/>
  </w:style>
  <w:style w:type="table" w:customStyle="1" w:styleId="TableGrid82">
    <w:name w:val="Table Grid8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2">
    <w:name w:val="Medium Grid 3 - Accent 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semiHidden/>
    <w:unhideWhenUsed/>
    <w:rsid w:val="00C64FC7"/>
  </w:style>
  <w:style w:type="table" w:customStyle="1" w:styleId="MediumGrid1-Accent1162">
    <w:name w:val="Medium Grid 1 - Accent 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semiHidden/>
    <w:unhideWhenUsed/>
    <w:rsid w:val="00C64FC7"/>
  </w:style>
  <w:style w:type="table" w:customStyle="1" w:styleId="MediumGrid1-Accent1262">
    <w:name w:val="Medium Grid 1 - Accent 12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semiHidden/>
    <w:unhideWhenUsed/>
    <w:rsid w:val="00C64FC7"/>
  </w:style>
  <w:style w:type="table" w:customStyle="1" w:styleId="MediumGrid1-Accent1362">
    <w:name w:val="Medium Grid 1 - Accent 13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C64FC7"/>
  </w:style>
  <w:style w:type="table" w:customStyle="1" w:styleId="MediumGrid1-Accent1442">
    <w:name w:val="Medium Grid 1 - Accent 14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2">
    <w:name w:val="Medium Grid 3 - Accent 1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semiHidden/>
    <w:unhideWhenUsed/>
    <w:rsid w:val="00C64FC7"/>
  </w:style>
  <w:style w:type="table" w:customStyle="1" w:styleId="MediumGrid1-Accent11142">
    <w:name w:val="Medium Grid 1 - Accent 1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semiHidden/>
    <w:unhideWhenUsed/>
    <w:rsid w:val="00C64FC7"/>
  </w:style>
  <w:style w:type="table" w:customStyle="1" w:styleId="MediumGrid1-Accent12142">
    <w:name w:val="Medium Grid 1 - Accent 12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semiHidden/>
    <w:unhideWhenUsed/>
    <w:rsid w:val="00C64FC7"/>
  </w:style>
  <w:style w:type="table" w:customStyle="1" w:styleId="MediumGrid1-Accent13142">
    <w:name w:val="Medium Grid 1 - Accent 13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C64FC7"/>
  </w:style>
  <w:style w:type="table" w:customStyle="1" w:styleId="MediumGrid1-Accent1542">
    <w:name w:val="Medium Grid 1 - Accent 15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semiHidden/>
    <w:unhideWhenUsed/>
    <w:rsid w:val="00C64FC7"/>
  </w:style>
  <w:style w:type="numbering" w:customStyle="1" w:styleId="NoList2242">
    <w:name w:val="No List2242"/>
    <w:next w:val="NoList"/>
    <w:uiPriority w:val="99"/>
    <w:semiHidden/>
    <w:unhideWhenUsed/>
    <w:rsid w:val="00C64FC7"/>
  </w:style>
  <w:style w:type="numbering" w:customStyle="1" w:styleId="NoList3242">
    <w:name w:val="No List3242"/>
    <w:next w:val="NoList"/>
    <w:uiPriority w:val="99"/>
    <w:semiHidden/>
    <w:unhideWhenUsed/>
    <w:rsid w:val="00C64FC7"/>
  </w:style>
  <w:style w:type="numbering" w:customStyle="1" w:styleId="NoList642">
    <w:name w:val="No List642"/>
    <w:next w:val="NoList"/>
    <w:uiPriority w:val="99"/>
    <w:semiHidden/>
    <w:unhideWhenUsed/>
    <w:rsid w:val="00C64FC7"/>
  </w:style>
  <w:style w:type="table" w:customStyle="1" w:styleId="MediumGrid1-Accent1642">
    <w:name w:val="Medium Grid 1 - Accent 16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semiHidden/>
    <w:unhideWhenUsed/>
    <w:rsid w:val="00C64FC7"/>
  </w:style>
  <w:style w:type="numbering" w:customStyle="1" w:styleId="NoList2342">
    <w:name w:val="No List2342"/>
    <w:next w:val="NoList"/>
    <w:uiPriority w:val="99"/>
    <w:semiHidden/>
    <w:unhideWhenUsed/>
    <w:rsid w:val="00C64FC7"/>
  </w:style>
  <w:style w:type="numbering" w:customStyle="1" w:styleId="NoList3342">
    <w:name w:val="No List3342"/>
    <w:next w:val="NoList"/>
    <w:uiPriority w:val="99"/>
    <w:semiHidden/>
    <w:unhideWhenUsed/>
    <w:rsid w:val="00C64FC7"/>
  </w:style>
  <w:style w:type="numbering" w:customStyle="1" w:styleId="NoList182">
    <w:name w:val="No List182"/>
    <w:next w:val="NoList"/>
    <w:uiPriority w:val="99"/>
    <w:semiHidden/>
    <w:unhideWhenUsed/>
    <w:rsid w:val="00C64FC7"/>
  </w:style>
  <w:style w:type="table" w:customStyle="1" w:styleId="TableGrid92">
    <w:name w:val="Table Grid9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2">
    <w:name w:val="Medium Grid 3 - Accent 17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semiHidden/>
    <w:unhideWhenUsed/>
    <w:rsid w:val="00C64FC7"/>
  </w:style>
  <w:style w:type="table" w:customStyle="1" w:styleId="MediumGrid1-Accent1182">
    <w:name w:val="Medium Grid 1 - Accent 11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semiHidden/>
    <w:unhideWhenUsed/>
    <w:rsid w:val="00C64FC7"/>
  </w:style>
  <w:style w:type="table" w:customStyle="1" w:styleId="MediumGrid1-Accent1272">
    <w:name w:val="Medium Grid 1 - Accent 12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semiHidden/>
    <w:unhideWhenUsed/>
    <w:rsid w:val="00C64FC7"/>
  </w:style>
  <w:style w:type="table" w:customStyle="1" w:styleId="MediumGrid1-Accent1372">
    <w:name w:val="Medium Grid 1 - Accent 13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C64FC7"/>
  </w:style>
  <w:style w:type="table" w:customStyle="1" w:styleId="MediumGrid1-Accent1452">
    <w:name w:val="Medium Grid 1 - Accent 14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2">
    <w:name w:val="Medium Grid 3 - Accent 1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semiHidden/>
    <w:unhideWhenUsed/>
    <w:rsid w:val="00C64FC7"/>
  </w:style>
  <w:style w:type="table" w:customStyle="1" w:styleId="MediumGrid1-Accent11152">
    <w:name w:val="Medium Grid 1 - Accent 1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semiHidden/>
    <w:unhideWhenUsed/>
    <w:rsid w:val="00C64FC7"/>
  </w:style>
  <w:style w:type="table" w:customStyle="1" w:styleId="MediumGrid1-Accent12152">
    <w:name w:val="Medium Grid 1 - Accent 12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semiHidden/>
    <w:unhideWhenUsed/>
    <w:rsid w:val="00C64FC7"/>
  </w:style>
  <w:style w:type="table" w:customStyle="1" w:styleId="MediumGrid1-Accent13152">
    <w:name w:val="Medium Grid 1 - Accent 13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C64FC7"/>
  </w:style>
  <w:style w:type="table" w:customStyle="1" w:styleId="MediumGrid1-Accent1552">
    <w:name w:val="Medium Grid 1 - Accent 15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semiHidden/>
    <w:unhideWhenUsed/>
    <w:rsid w:val="00C64FC7"/>
  </w:style>
  <w:style w:type="numbering" w:customStyle="1" w:styleId="NoList2252">
    <w:name w:val="No List2252"/>
    <w:next w:val="NoList"/>
    <w:uiPriority w:val="99"/>
    <w:semiHidden/>
    <w:unhideWhenUsed/>
    <w:rsid w:val="00C64FC7"/>
  </w:style>
  <w:style w:type="numbering" w:customStyle="1" w:styleId="NoList3252">
    <w:name w:val="No List3252"/>
    <w:next w:val="NoList"/>
    <w:uiPriority w:val="99"/>
    <w:semiHidden/>
    <w:unhideWhenUsed/>
    <w:rsid w:val="00C64FC7"/>
  </w:style>
  <w:style w:type="numbering" w:customStyle="1" w:styleId="NoList652">
    <w:name w:val="No List652"/>
    <w:next w:val="NoList"/>
    <w:uiPriority w:val="99"/>
    <w:semiHidden/>
    <w:unhideWhenUsed/>
    <w:rsid w:val="00C64FC7"/>
  </w:style>
  <w:style w:type="table" w:customStyle="1" w:styleId="MediumGrid1-Accent1652">
    <w:name w:val="Medium Grid 1 - Accent 16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semiHidden/>
    <w:unhideWhenUsed/>
    <w:rsid w:val="00C64FC7"/>
  </w:style>
  <w:style w:type="numbering" w:customStyle="1" w:styleId="NoList2352">
    <w:name w:val="No List2352"/>
    <w:next w:val="NoList"/>
    <w:uiPriority w:val="99"/>
    <w:semiHidden/>
    <w:unhideWhenUsed/>
    <w:rsid w:val="00C64FC7"/>
  </w:style>
  <w:style w:type="numbering" w:customStyle="1" w:styleId="NoList3352">
    <w:name w:val="No List3352"/>
    <w:next w:val="NoList"/>
    <w:uiPriority w:val="99"/>
    <w:semiHidden/>
    <w:unhideWhenUsed/>
    <w:rsid w:val="00C64FC7"/>
  </w:style>
  <w:style w:type="numbering" w:customStyle="1" w:styleId="NoList201">
    <w:name w:val="No List201"/>
    <w:next w:val="NoList"/>
    <w:uiPriority w:val="99"/>
    <w:semiHidden/>
    <w:unhideWhenUsed/>
    <w:rsid w:val="00C64FC7"/>
  </w:style>
  <w:style w:type="table" w:customStyle="1" w:styleId="TableGrid101">
    <w:name w:val="Table Grid10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1">
    <w:name w:val="Medium Grid 3 - Accent 18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semiHidden/>
    <w:unhideWhenUsed/>
    <w:rsid w:val="00C64FC7"/>
  </w:style>
  <w:style w:type="table" w:customStyle="1" w:styleId="MediumGrid1-Accent11101">
    <w:name w:val="Medium Grid 1 - Accent 1110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semiHidden/>
    <w:unhideWhenUsed/>
    <w:rsid w:val="00C64FC7"/>
  </w:style>
  <w:style w:type="table" w:customStyle="1" w:styleId="MediumGrid1-Accent1281">
    <w:name w:val="Medium Grid 1 - Accent 12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semiHidden/>
    <w:unhideWhenUsed/>
    <w:rsid w:val="00C64FC7"/>
  </w:style>
  <w:style w:type="table" w:customStyle="1" w:styleId="MediumGrid1-Accent1381">
    <w:name w:val="Medium Grid 1 - Accent 13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C64FC7"/>
  </w:style>
  <w:style w:type="table" w:customStyle="1" w:styleId="MediumGrid1-Accent1461">
    <w:name w:val="Medium Grid 1 - Accent 14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1">
    <w:name w:val="Medium Grid 3 - Accent 116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semiHidden/>
    <w:unhideWhenUsed/>
    <w:rsid w:val="00C64FC7"/>
  </w:style>
  <w:style w:type="table" w:customStyle="1" w:styleId="MediumGrid1-Accent11161">
    <w:name w:val="Medium Grid 1 - Accent 11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semiHidden/>
    <w:unhideWhenUsed/>
    <w:rsid w:val="00C64FC7"/>
  </w:style>
  <w:style w:type="table" w:customStyle="1" w:styleId="MediumGrid1-Accent12161">
    <w:name w:val="Medium Grid 1 - Accent 12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semiHidden/>
    <w:unhideWhenUsed/>
    <w:rsid w:val="00C64FC7"/>
  </w:style>
  <w:style w:type="table" w:customStyle="1" w:styleId="MediumGrid1-Accent13161">
    <w:name w:val="Medium Grid 1 - Accent 13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semiHidden/>
    <w:unhideWhenUsed/>
    <w:rsid w:val="00C64FC7"/>
  </w:style>
  <w:style w:type="table" w:customStyle="1" w:styleId="TableGrid411">
    <w:name w:val="Table Grid411"/>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1">
    <w:name w:val="Medium Grid 3 - Accent 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semiHidden/>
    <w:unhideWhenUsed/>
    <w:rsid w:val="00C64FC7"/>
  </w:style>
  <w:style w:type="table" w:customStyle="1" w:styleId="MediumGrid1-Accent11211">
    <w:name w:val="Medium Grid 1 - Accent 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semiHidden/>
    <w:unhideWhenUsed/>
    <w:rsid w:val="00C64FC7"/>
  </w:style>
  <w:style w:type="table" w:customStyle="1" w:styleId="MediumGrid1-Accent12211">
    <w:name w:val="Medium Grid 1 - Accent 12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semiHidden/>
    <w:unhideWhenUsed/>
    <w:rsid w:val="00C64FC7"/>
  </w:style>
  <w:style w:type="table" w:customStyle="1" w:styleId="MediumGrid1-Accent13211">
    <w:name w:val="Medium Grid 1 - Accent 13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C64FC7"/>
  </w:style>
  <w:style w:type="table" w:customStyle="1" w:styleId="MediumGrid1-Accent1661">
    <w:name w:val="Medium Grid 1 - Accent 16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semiHidden/>
    <w:unhideWhenUsed/>
    <w:rsid w:val="00C64FC7"/>
  </w:style>
  <w:style w:type="numbering" w:customStyle="1" w:styleId="NoList2361">
    <w:name w:val="No List2361"/>
    <w:next w:val="NoList"/>
    <w:uiPriority w:val="99"/>
    <w:semiHidden/>
    <w:unhideWhenUsed/>
    <w:rsid w:val="00C64FC7"/>
  </w:style>
  <w:style w:type="numbering" w:customStyle="1" w:styleId="NoList3361">
    <w:name w:val="No List3361"/>
    <w:next w:val="NoList"/>
    <w:uiPriority w:val="99"/>
    <w:semiHidden/>
    <w:unhideWhenUsed/>
    <w:rsid w:val="00C64FC7"/>
  </w:style>
  <w:style w:type="numbering" w:customStyle="1" w:styleId="NoList711">
    <w:name w:val="No List711"/>
    <w:next w:val="NoList"/>
    <w:uiPriority w:val="99"/>
    <w:semiHidden/>
    <w:unhideWhenUsed/>
    <w:rsid w:val="00C64FC7"/>
  </w:style>
  <w:style w:type="table" w:customStyle="1" w:styleId="TableGrid511">
    <w:name w:val="Table Grid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1">
    <w:name w:val="Medium Grid 3 - Accent 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semiHidden/>
    <w:unhideWhenUsed/>
    <w:rsid w:val="00C64FC7"/>
  </w:style>
  <w:style w:type="table" w:customStyle="1" w:styleId="MediumGrid1-Accent11311">
    <w:name w:val="Medium Grid 1 - Accent 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semiHidden/>
    <w:unhideWhenUsed/>
    <w:rsid w:val="00C64FC7"/>
  </w:style>
  <w:style w:type="table" w:customStyle="1" w:styleId="MediumGrid1-Accent12311">
    <w:name w:val="Medium Grid 1 - Accent 12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semiHidden/>
    <w:unhideWhenUsed/>
    <w:rsid w:val="00C64FC7"/>
  </w:style>
  <w:style w:type="table" w:customStyle="1" w:styleId="MediumGrid1-Accent13311">
    <w:name w:val="Medium Grid 1 - Accent 13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C64FC7"/>
  </w:style>
  <w:style w:type="table" w:customStyle="1" w:styleId="MediumGrid1-Accent14111">
    <w:name w:val="Medium Grid 1 - Accent 14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1">
    <w:name w:val="Medium Grid 3 - Accent 111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semiHidden/>
    <w:unhideWhenUsed/>
    <w:rsid w:val="00C64FC7"/>
  </w:style>
  <w:style w:type="table" w:customStyle="1" w:styleId="MediumGrid1-Accent111111">
    <w:name w:val="Medium Grid 1 - Accent 11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semiHidden/>
    <w:unhideWhenUsed/>
    <w:rsid w:val="00C64FC7"/>
  </w:style>
  <w:style w:type="table" w:customStyle="1" w:styleId="MediumGrid1-Accent121111">
    <w:name w:val="Medium Grid 1 - Accent 12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semiHidden/>
    <w:unhideWhenUsed/>
    <w:rsid w:val="00C64FC7"/>
  </w:style>
  <w:style w:type="table" w:customStyle="1" w:styleId="MediumGrid1-Accent131111">
    <w:name w:val="Medium Grid 1 - Accent 13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semiHidden/>
    <w:unhideWhenUsed/>
    <w:rsid w:val="00C64FC7"/>
  </w:style>
  <w:style w:type="table" w:customStyle="1" w:styleId="MediumGrid1-Accent15111">
    <w:name w:val="Medium Grid 1 - Accent 15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semiHidden/>
    <w:unhideWhenUsed/>
    <w:rsid w:val="00C64FC7"/>
  </w:style>
  <w:style w:type="numbering" w:customStyle="1" w:styleId="NoList22111">
    <w:name w:val="No List22111"/>
    <w:next w:val="NoList"/>
    <w:uiPriority w:val="99"/>
    <w:semiHidden/>
    <w:unhideWhenUsed/>
    <w:rsid w:val="00C64FC7"/>
  </w:style>
  <w:style w:type="numbering" w:customStyle="1" w:styleId="NoList32111">
    <w:name w:val="No List32111"/>
    <w:next w:val="NoList"/>
    <w:uiPriority w:val="99"/>
    <w:semiHidden/>
    <w:unhideWhenUsed/>
    <w:rsid w:val="00C64FC7"/>
  </w:style>
  <w:style w:type="numbering" w:customStyle="1" w:styleId="NoList6111">
    <w:name w:val="No List6111"/>
    <w:next w:val="NoList"/>
    <w:uiPriority w:val="99"/>
    <w:semiHidden/>
    <w:unhideWhenUsed/>
    <w:rsid w:val="00C64FC7"/>
  </w:style>
  <w:style w:type="table" w:customStyle="1" w:styleId="MediumGrid1-Accent16111">
    <w:name w:val="Medium Grid 1 - Accent 16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semiHidden/>
    <w:unhideWhenUsed/>
    <w:rsid w:val="00C64FC7"/>
  </w:style>
  <w:style w:type="numbering" w:customStyle="1" w:styleId="NoList23111">
    <w:name w:val="No List23111"/>
    <w:next w:val="NoList"/>
    <w:uiPriority w:val="99"/>
    <w:semiHidden/>
    <w:unhideWhenUsed/>
    <w:rsid w:val="00C64FC7"/>
  </w:style>
  <w:style w:type="numbering" w:customStyle="1" w:styleId="NoList33111">
    <w:name w:val="No List33111"/>
    <w:next w:val="NoList"/>
    <w:uiPriority w:val="99"/>
    <w:semiHidden/>
    <w:unhideWhenUsed/>
    <w:rsid w:val="00C64FC7"/>
  </w:style>
  <w:style w:type="numbering" w:customStyle="1" w:styleId="NoList811">
    <w:name w:val="No List811"/>
    <w:next w:val="NoList"/>
    <w:uiPriority w:val="99"/>
    <w:semiHidden/>
    <w:unhideWhenUsed/>
    <w:rsid w:val="00C64FC7"/>
  </w:style>
  <w:style w:type="table" w:customStyle="1" w:styleId="TableGrid611">
    <w:name w:val="Table Grid6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1">
    <w:name w:val="Medium Grid 3 - Accent 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semiHidden/>
    <w:unhideWhenUsed/>
    <w:rsid w:val="00C64FC7"/>
  </w:style>
  <w:style w:type="table" w:customStyle="1" w:styleId="MediumGrid1-Accent11411">
    <w:name w:val="Medium Grid 1 - Accent 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semiHidden/>
    <w:unhideWhenUsed/>
    <w:rsid w:val="00C64FC7"/>
  </w:style>
  <w:style w:type="table" w:customStyle="1" w:styleId="MediumGrid1-Accent12411">
    <w:name w:val="Medium Grid 1 - Accent 12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semiHidden/>
    <w:unhideWhenUsed/>
    <w:rsid w:val="00C64FC7"/>
  </w:style>
  <w:style w:type="table" w:customStyle="1" w:styleId="MediumGrid1-Accent13411">
    <w:name w:val="Medium Grid 1 - Accent 13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C64FC7"/>
  </w:style>
  <w:style w:type="table" w:customStyle="1" w:styleId="MediumGrid1-Accent14211">
    <w:name w:val="Medium Grid 1 - Accent 14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1">
    <w:name w:val="Medium Grid 3 - Accent 1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semiHidden/>
    <w:unhideWhenUsed/>
    <w:rsid w:val="00C64FC7"/>
  </w:style>
  <w:style w:type="table" w:customStyle="1" w:styleId="MediumGrid1-Accent111211">
    <w:name w:val="Medium Grid 1 - Accent 1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semiHidden/>
    <w:unhideWhenUsed/>
    <w:rsid w:val="00C64FC7"/>
  </w:style>
  <w:style w:type="table" w:customStyle="1" w:styleId="MediumGrid1-Accent121211">
    <w:name w:val="Medium Grid 1 - Accent 12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semiHidden/>
    <w:unhideWhenUsed/>
    <w:rsid w:val="00C64FC7"/>
  </w:style>
  <w:style w:type="table" w:customStyle="1" w:styleId="MediumGrid1-Accent131211">
    <w:name w:val="Medium Grid 1 - Accent 13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C64FC7"/>
  </w:style>
  <w:style w:type="table" w:customStyle="1" w:styleId="MediumGrid1-Accent15211">
    <w:name w:val="Medium Grid 1 - Accent 15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semiHidden/>
    <w:unhideWhenUsed/>
    <w:rsid w:val="00C64FC7"/>
  </w:style>
  <w:style w:type="numbering" w:customStyle="1" w:styleId="NoList22211">
    <w:name w:val="No List22211"/>
    <w:next w:val="NoList"/>
    <w:uiPriority w:val="99"/>
    <w:semiHidden/>
    <w:unhideWhenUsed/>
    <w:rsid w:val="00C64FC7"/>
  </w:style>
  <w:style w:type="numbering" w:customStyle="1" w:styleId="NoList32211">
    <w:name w:val="No List32211"/>
    <w:next w:val="NoList"/>
    <w:uiPriority w:val="99"/>
    <w:semiHidden/>
    <w:unhideWhenUsed/>
    <w:rsid w:val="00C64FC7"/>
  </w:style>
  <w:style w:type="numbering" w:customStyle="1" w:styleId="NoList6211">
    <w:name w:val="No List6211"/>
    <w:next w:val="NoList"/>
    <w:uiPriority w:val="99"/>
    <w:semiHidden/>
    <w:unhideWhenUsed/>
    <w:rsid w:val="00C64FC7"/>
  </w:style>
  <w:style w:type="table" w:customStyle="1" w:styleId="MediumGrid1-Accent16211">
    <w:name w:val="Medium Grid 1 - Accent 16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semiHidden/>
    <w:unhideWhenUsed/>
    <w:rsid w:val="00C64FC7"/>
  </w:style>
  <w:style w:type="numbering" w:customStyle="1" w:styleId="NoList23211">
    <w:name w:val="No List23211"/>
    <w:next w:val="NoList"/>
    <w:uiPriority w:val="99"/>
    <w:semiHidden/>
    <w:unhideWhenUsed/>
    <w:rsid w:val="00C64FC7"/>
  </w:style>
  <w:style w:type="numbering" w:customStyle="1" w:styleId="NoList33211">
    <w:name w:val="No List33211"/>
    <w:next w:val="NoList"/>
    <w:uiPriority w:val="99"/>
    <w:semiHidden/>
    <w:unhideWhenUsed/>
    <w:rsid w:val="00C64FC7"/>
  </w:style>
  <w:style w:type="numbering" w:customStyle="1" w:styleId="NoList911">
    <w:name w:val="No List911"/>
    <w:next w:val="NoList"/>
    <w:uiPriority w:val="99"/>
    <w:semiHidden/>
    <w:unhideWhenUsed/>
    <w:rsid w:val="00C64FC7"/>
  </w:style>
  <w:style w:type="table" w:customStyle="1" w:styleId="TableGrid711">
    <w:name w:val="Table Grid7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1">
    <w:name w:val="Medium Grid 3 - Accent 1511"/>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semiHidden/>
    <w:unhideWhenUsed/>
    <w:rsid w:val="00C64FC7"/>
  </w:style>
  <w:style w:type="table" w:customStyle="1" w:styleId="MediumGrid1-Accent11511">
    <w:name w:val="Medium Grid 1 - Accent 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semiHidden/>
    <w:unhideWhenUsed/>
    <w:rsid w:val="00C64FC7"/>
  </w:style>
  <w:style w:type="table" w:customStyle="1" w:styleId="MediumGrid1-Accent12511">
    <w:name w:val="Medium Grid 1 - Accent 12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semiHidden/>
    <w:unhideWhenUsed/>
    <w:rsid w:val="00C64FC7"/>
  </w:style>
  <w:style w:type="table" w:customStyle="1" w:styleId="MediumGrid1-Accent13511">
    <w:name w:val="Medium Grid 1 - Accent 13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C64FC7"/>
  </w:style>
  <w:style w:type="table" w:customStyle="1" w:styleId="MediumGrid1-Accent14311">
    <w:name w:val="Medium Grid 1 - Accent 14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1">
    <w:name w:val="Medium Grid 3 - Accent 1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semiHidden/>
    <w:unhideWhenUsed/>
    <w:rsid w:val="00C64FC7"/>
  </w:style>
  <w:style w:type="table" w:customStyle="1" w:styleId="MediumGrid1-Accent111311">
    <w:name w:val="Medium Grid 1 - Accent 1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semiHidden/>
    <w:unhideWhenUsed/>
    <w:rsid w:val="00C64FC7"/>
  </w:style>
  <w:style w:type="table" w:customStyle="1" w:styleId="MediumGrid1-Accent121311">
    <w:name w:val="Medium Grid 1 - Accent 12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semiHidden/>
    <w:unhideWhenUsed/>
    <w:rsid w:val="00C64FC7"/>
  </w:style>
  <w:style w:type="table" w:customStyle="1" w:styleId="MediumGrid1-Accent131311">
    <w:name w:val="Medium Grid 1 - Accent 13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C64FC7"/>
  </w:style>
  <w:style w:type="table" w:customStyle="1" w:styleId="MediumGrid1-Accent15311">
    <w:name w:val="Medium Grid 1 - Accent 15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semiHidden/>
    <w:unhideWhenUsed/>
    <w:rsid w:val="00C64FC7"/>
  </w:style>
  <w:style w:type="numbering" w:customStyle="1" w:styleId="NoList22311">
    <w:name w:val="No List22311"/>
    <w:next w:val="NoList"/>
    <w:uiPriority w:val="99"/>
    <w:semiHidden/>
    <w:unhideWhenUsed/>
    <w:rsid w:val="00C64FC7"/>
  </w:style>
  <w:style w:type="numbering" w:customStyle="1" w:styleId="NoList32311">
    <w:name w:val="No List32311"/>
    <w:next w:val="NoList"/>
    <w:uiPriority w:val="99"/>
    <w:semiHidden/>
    <w:unhideWhenUsed/>
    <w:rsid w:val="00C64FC7"/>
  </w:style>
  <w:style w:type="numbering" w:customStyle="1" w:styleId="NoList6311">
    <w:name w:val="No List6311"/>
    <w:next w:val="NoList"/>
    <w:uiPriority w:val="99"/>
    <w:semiHidden/>
    <w:unhideWhenUsed/>
    <w:rsid w:val="00C64FC7"/>
  </w:style>
  <w:style w:type="table" w:customStyle="1" w:styleId="MediumGrid1-Accent16311">
    <w:name w:val="Medium Grid 1 - Accent 16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semiHidden/>
    <w:unhideWhenUsed/>
    <w:rsid w:val="00C64FC7"/>
  </w:style>
  <w:style w:type="numbering" w:customStyle="1" w:styleId="NoList23311">
    <w:name w:val="No List23311"/>
    <w:next w:val="NoList"/>
    <w:uiPriority w:val="99"/>
    <w:semiHidden/>
    <w:unhideWhenUsed/>
    <w:rsid w:val="00C64FC7"/>
  </w:style>
  <w:style w:type="numbering" w:customStyle="1" w:styleId="NoList33311">
    <w:name w:val="No List33311"/>
    <w:next w:val="NoList"/>
    <w:uiPriority w:val="99"/>
    <w:semiHidden/>
    <w:unhideWhenUsed/>
    <w:rsid w:val="00C64FC7"/>
  </w:style>
  <w:style w:type="numbering" w:customStyle="1" w:styleId="NoList1011">
    <w:name w:val="No List1011"/>
    <w:next w:val="NoList"/>
    <w:uiPriority w:val="99"/>
    <w:semiHidden/>
    <w:unhideWhenUsed/>
    <w:rsid w:val="00C64FC7"/>
  </w:style>
  <w:style w:type="table" w:customStyle="1" w:styleId="TableGrid811">
    <w:name w:val="Table Grid8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1">
    <w:name w:val="Medium Grid 3 - Accent 16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semiHidden/>
    <w:unhideWhenUsed/>
    <w:rsid w:val="00C64FC7"/>
  </w:style>
  <w:style w:type="table" w:customStyle="1" w:styleId="MediumGrid1-Accent11611">
    <w:name w:val="Medium Grid 1 - Accent 11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semiHidden/>
    <w:unhideWhenUsed/>
    <w:rsid w:val="00C64FC7"/>
  </w:style>
  <w:style w:type="table" w:customStyle="1" w:styleId="MediumGrid1-Accent12611">
    <w:name w:val="Medium Grid 1 - Accent 12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semiHidden/>
    <w:unhideWhenUsed/>
    <w:rsid w:val="00C64FC7"/>
  </w:style>
  <w:style w:type="table" w:customStyle="1" w:styleId="MediumGrid1-Accent13611">
    <w:name w:val="Medium Grid 1 - Accent 13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semiHidden/>
    <w:unhideWhenUsed/>
    <w:rsid w:val="00C64FC7"/>
  </w:style>
  <w:style w:type="table" w:customStyle="1" w:styleId="MediumGrid1-Accent14411">
    <w:name w:val="Medium Grid 1 - Accent 14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1">
    <w:name w:val="Medium Grid 3 - Accent 1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semiHidden/>
    <w:unhideWhenUsed/>
    <w:rsid w:val="00C64FC7"/>
  </w:style>
  <w:style w:type="table" w:customStyle="1" w:styleId="MediumGrid1-Accent111411">
    <w:name w:val="Medium Grid 1 - Accent 1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semiHidden/>
    <w:unhideWhenUsed/>
    <w:rsid w:val="00C64FC7"/>
  </w:style>
  <w:style w:type="table" w:customStyle="1" w:styleId="MediumGrid1-Accent121411">
    <w:name w:val="Medium Grid 1 - Accent 12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semiHidden/>
    <w:unhideWhenUsed/>
    <w:rsid w:val="00C64FC7"/>
  </w:style>
  <w:style w:type="table" w:customStyle="1" w:styleId="MediumGrid1-Accent131411">
    <w:name w:val="Medium Grid 1 - Accent 13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1">
    <w:name w:val="No List5411"/>
    <w:next w:val="NoList"/>
    <w:uiPriority w:val="99"/>
    <w:semiHidden/>
    <w:unhideWhenUsed/>
    <w:rsid w:val="00C64FC7"/>
  </w:style>
  <w:style w:type="table" w:customStyle="1" w:styleId="MediumGrid1-Accent15411">
    <w:name w:val="Medium Grid 1 - Accent 15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semiHidden/>
    <w:unhideWhenUsed/>
    <w:rsid w:val="00C64FC7"/>
  </w:style>
  <w:style w:type="numbering" w:customStyle="1" w:styleId="NoList22411">
    <w:name w:val="No List22411"/>
    <w:next w:val="NoList"/>
    <w:uiPriority w:val="99"/>
    <w:semiHidden/>
    <w:unhideWhenUsed/>
    <w:rsid w:val="00C64FC7"/>
  </w:style>
  <w:style w:type="numbering" w:customStyle="1" w:styleId="NoList32411">
    <w:name w:val="No List32411"/>
    <w:next w:val="NoList"/>
    <w:uiPriority w:val="99"/>
    <w:semiHidden/>
    <w:unhideWhenUsed/>
    <w:rsid w:val="00C64FC7"/>
  </w:style>
  <w:style w:type="numbering" w:customStyle="1" w:styleId="NoList6411">
    <w:name w:val="No List6411"/>
    <w:next w:val="NoList"/>
    <w:uiPriority w:val="99"/>
    <w:semiHidden/>
    <w:unhideWhenUsed/>
    <w:rsid w:val="00C64FC7"/>
  </w:style>
  <w:style w:type="table" w:customStyle="1" w:styleId="MediumGrid1-Accent16411">
    <w:name w:val="Medium Grid 1 - Accent 16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semiHidden/>
    <w:unhideWhenUsed/>
    <w:rsid w:val="00C64FC7"/>
  </w:style>
  <w:style w:type="numbering" w:customStyle="1" w:styleId="NoList23411">
    <w:name w:val="No List23411"/>
    <w:next w:val="NoList"/>
    <w:uiPriority w:val="99"/>
    <w:semiHidden/>
    <w:unhideWhenUsed/>
    <w:rsid w:val="00C64FC7"/>
  </w:style>
  <w:style w:type="numbering" w:customStyle="1" w:styleId="NoList33411">
    <w:name w:val="No List33411"/>
    <w:next w:val="NoList"/>
    <w:uiPriority w:val="99"/>
    <w:semiHidden/>
    <w:unhideWhenUsed/>
    <w:rsid w:val="00C64FC7"/>
  </w:style>
  <w:style w:type="numbering" w:customStyle="1" w:styleId="NoList1811">
    <w:name w:val="No List1811"/>
    <w:next w:val="NoList"/>
    <w:uiPriority w:val="99"/>
    <w:semiHidden/>
    <w:unhideWhenUsed/>
    <w:rsid w:val="00C64FC7"/>
  </w:style>
  <w:style w:type="table" w:customStyle="1" w:styleId="TableGrid911">
    <w:name w:val="Table Grid9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1">
    <w:name w:val="Medium Grid 3 - Accent 17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semiHidden/>
    <w:unhideWhenUsed/>
    <w:rsid w:val="00C64FC7"/>
  </w:style>
  <w:style w:type="table" w:customStyle="1" w:styleId="MediumGrid1-Accent11811">
    <w:name w:val="Medium Grid 1 - Accent 118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semiHidden/>
    <w:unhideWhenUsed/>
    <w:rsid w:val="00C64FC7"/>
  </w:style>
  <w:style w:type="table" w:customStyle="1" w:styleId="MediumGrid1-Accent12711">
    <w:name w:val="Medium Grid 1 - Accent 12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semiHidden/>
    <w:unhideWhenUsed/>
    <w:rsid w:val="00C64FC7"/>
  </w:style>
  <w:style w:type="table" w:customStyle="1" w:styleId="MediumGrid1-Accent13711">
    <w:name w:val="Medium Grid 1 - Accent 13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1">
    <w:name w:val="No List4511"/>
    <w:next w:val="NoList"/>
    <w:uiPriority w:val="99"/>
    <w:semiHidden/>
    <w:unhideWhenUsed/>
    <w:rsid w:val="00C64FC7"/>
  </w:style>
  <w:style w:type="table" w:customStyle="1" w:styleId="MediumGrid1-Accent14511">
    <w:name w:val="Medium Grid 1 - Accent 14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1">
    <w:name w:val="Medium Grid 3 - Accent 115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semiHidden/>
    <w:unhideWhenUsed/>
    <w:rsid w:val="00C64FC7"/>
  </w:style>
  <w:style w:type="table" w:customStyle="1" w:styleId="MediumGrid1-Accent111511">
    <w:name w:val="Medium Grid 1 - Accent 1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semiHidden/>
    <w:unhideWhenUsed/>
    <w:rsid w:val="00C64FC7"/>
  </w:style>
  <w:style w:type="table" w:customStyle="1" w:styleId="MediumGrid1-Accent121511">
    <w:name w:val="Medium Grid 1 - Accent 12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semiHidden/>
    <w:unhideWhenUsed/>
    <w:rsid w:val="00C64FC7"/>
  </w:style>
  <w:style w:type="table" w:customStyle="1" w:styleId="MediumGrid1-Accent131511">
    <w:name w:val="Medium Grid 1 - Accent 13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1">
    <w:name w:val="No List5511"/>
    <w:next w:val="NoList"/>
    <w:uiPriority w:val="99"/>
    <w:semiHidden/>
    <w:unhideWhenUsed/>
    <w:rsid w:val="00C64FC7"/>
  </w:style>
  <w:style w:type="table" w:customStyle="1" w:styleId="MediumGrid1-Accent15511">
    <w:name w:val="Medium Grid 1 - Accent 15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semiHidden/>
    <w:unhideWhenUsed/>
    <w:rsid w:val="00C64FC7"/>
  </w:style>
  <w:style w:type="numbering" w:customStyle="1" w:styleId="NoList22511">
    <w:name w:val="No List22511"/>
    <w:next w:val="NoList"/>
    <w:uiPriority w:val="99"/>
    <w:semiHidden/>
    <w:unhideWhenUsed/>
    <w:rsid w:val="00C64FC7"/>
  </w:style>
  <w:style w:type="numbering" w:customStyle="1" w:styleId="NoList32511">
    <w:name w:val="No List32511"/>
    <w:next w:val="NoList"/>
    <w:uiPriority w:val="99"/>
    <w:semiHidden/>
    <w:unhideWhenUsed/>
    <w:rsid w:val="00C64FC7"/>
  </w:style>
  <w:style w:type="numbering" w:customStyle="1" w:styleId="NoList6511">
    <w:name w:val="No List6511"/>
    <w:next w:val="NoList"/>
    <w:uiPriority w:val="99"/>
    <w:semiHidden/>
    <w:unhideWhenUsed/>
    <w:rsid w:val="00C64FC7"/>
  </w:style>
  <w:style w:type="table" w:customStyle="1" w:styleId="MediumGrid1-Accent16511">
    <w:name w:val="Medium Grid 1 - Accent 16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semiHidden/>
    <w:unhideWhenUsed/>
    <w:rsid w:val="00C64FC7"/>
  </w:style>
  <w:style w:type="numbering" w:customStyle="1" w:styleId="NoList23511">
    <w:name w:val="No List23511"/>
    <w:next w:val="NoList"/>
    <w:uiPriority w:val="99"/>
    <w:semiHidden/>
    <w:unhideWhenUsed/>
    <w:rsid w:val="00C64FC7"/>
  </w:style>
  <w:style w:type="numbering" w:customStyle="1" w:styleId="NoList33511">
    <w:name w:val="No List33511"/>
    <w:next w:val="NoList"/>
    <w:uiPriority w:val="99"/>
    <w:semiHidden/>
    <w:unhideWhenUsed/>
    <w:rsid w:val="00C64FC7"/>
  </w:style>
  <w:style w:type="numbering" w:customStyle="1" w:styleId="NoList40">
    <w:name w:val="No List40"/>
    <w:next w:val="NoList"/>
    <w:uiPriority w:val="99"/>
    <w:semiHidden/>
    <w:unhideWhenUsed/>
    <w:rsid w:val="00C64FC7"/>
  </w:style>
  <w:style w:type="table" w:customStyle="1" w:styleId="TableGrid20">
    <w:name w:val="Table Grid20"/>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0">
    <w:name w:val="Medium Grid 3 - Accent 110"/>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semiHidden/>
    <w:unhideWhenUsed/>
    <w:rsid w:val="00C64FC7"/>
  </w:style>
  <w:style w:type="table" w:customStyle="1" w:styleId="MediumGrid1-Accent1119">
    <w:name w:val="Medium Grid 1 - Accent 111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semiHidden/>
    <w:unhideWhenUsed/>
    <w:rsid w:val="00C64FC7"/>
  </w:style>
  <w:style w:type="table" w:customStyle="1" w:styleId="MediumGrid1-Accent1210">
    <w:name w:val="Medium Grid 1 - Accent 12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semiHidden/>
    <w:unhideWhenUsed/>
    <w:rsid w:val="00C64FC7"/>
  </w:style>
  <w:style w:type="table" w:customStyle="1" w:styleId="MediumGrid1-Accent1310">
    <w:name w:val="Medium Grid 1 - Accent 13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C64FC7"/>
  </w:style>
  <w:style w:type="table" w:customStyle="1" w:styleId="MediumGrid1-Accent148">
    <w:name w:val="Medium Grid 1 - Accent 14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8">
    <w:name w:val="Medium Grid 3 - Accent 118"/>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semiHidden/>
    <w:unhideWhenUsed/>
    <w:rsid w:val="00C64FC7"/>
  </w:style>
  <w:style w:type="table" w:customStyle="1" w:styleId="MediumGrid1-Accent11110">
    <w:name w:val="Medium Grid 1 - Accent 111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semiHidden/>
    <w:unhideWhenUsed/>
    <w:rsid w:val="00C64FC7"/>
  </w:style>
  <w:style w:type="table" w:customStyle="1" w:styleId="MediumGrid1-Accent1218">
    <w:name w:val="Medium Grid 1 - Accent 12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semiHidden/>
    <w:unhideWhenUsed/>
    <w:rsid w:val="00C64FC7"/>
  </w:style>
  <w:style w:type="table" w:customStyle="1" w:styleId="MediumGrid1-Accent1318">
    <w:name w:val="Medium Grid 1 - Accent 13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C64FC7"/>
  </w:style>
  <w:style w:type="table" w:customStyle="1" w:styleId="TableGrid43">
    <w:name w:val="Table Grid43"/>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3">
    <w:name w:val="Medium Grid 3 - Accent 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semiHidden/>
    <w:unhideWhenUsed/>
    <w:rsid w:val="00C64FC7"/>
  </w:style>
  <w:style w:type="table" w:customStyle="1" w:styleId="MediumGrid1-Accent1123">
    <w:name w:val="Medium Grid 1 - Accent 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semiHidden/>
    <w:unhideWhenUsed/>
    <w:rsid w:val="00C64FC7"/>
  </w:style>
  <w:style w:type="table" w:customStyle="1" w:styleId="MediumGrid1-Accent1223">
    <w:name w:val="Medium Grid 1 - Accent 12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semiHidden/>
    <w:unhideWhenUsed/>
    <w:rsid w:val="00C64FC7"/>
  </w:style>
  <w:style w:type="table" w:customStyle="1" w:styleId="MediumGrid1-Accent1323">
    <w:name w:val="Medium Grid 1 - Accent 13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C64FC7"/>
  </w:style>
  <w:style w:type="table" w:customStyle="1" w:styleId="MediumGrid1-Accent168">
    <w:name w:val="Medium Grid 1 - Accent 16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semiHidden/>
    <w:unhideWhenUsed/>
    <w:rsid w:val="00C64FC7"/>
  </w:style>
  <w:style w:type="numbering" w:customStyle="1" w:styleId="NoList238">
    <w:name w:val="No List238"/>
    <w:next w:val="NoList"/>
    <w:uiPriority w:val="99"/>
    <w:semiHidden/>
    <w:unhideWhenUsed/>
    <w:rsid w:val="00C64FC7"/>
  </w:style>
  <w:style w:type="numbering" w:customStyle="1" w:styleId="NoList338">
    <w:name w:val="No List338"/>
    <w:next w:val="NoList"/>
    <w:uiPriority w:val="99"/>
    <w:semiHidden/>
    <w:unhideWhenUsed/>
    <w:rsid w:val="00C64FC7"/>
  </w:style>
  <w:style w:type="numbering" w:customStyle="1" w:styleId="NoList73">
    <w:name w:val="No List73"/>
    <w:next w:val="NoList"/>
    <w:uiPriority w:val="99"/>
    <w:semiHidden/>
    <w:unhideWhenUsed/>
    <w:rsid w:val="00C64FC7"/>
  </w:style>
  <w:style w:type="table" w:customStyle="1" w:styleId="TableGrid53">
    <w:name w:val="Table Grid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3">
    <w:name w:val="Medium Grid 3 - Accent 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semiHidden/>
    <w:unhideWhenUsed/>
    <w:rsid w:val="00C64FC7"/>
  </w:style>
  <w:style w:type="table" w:customStyle="1" w:styleId="MediumGrid1-Accent1133">
    <w:name w:val="Medium Grid 1 - Accent 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semiHidden/>
    <w:unhideWhenUsed/>
    <w:rsid w:val="00C64FC7"/>
  </w:style>
  <w:style w:type="table" w:customStyle="1" w:styleId="MediumGrid1-Accent1233">
    <w:name w:val="Medium Grid 1 - Accent 12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semiHidden/>
    <w:unhideWhenUsed/>
    <w:rsid w:val="00C64FC7"/>
  </w:style>
  <w:style w:type="table" w:customStyle="1" w:styleId="MediumGrid1-Accent1333">
    <w:name w:val="Medium Grid 1 - Accent 13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C64FC7"/>
  </w:style>
  <w:style w:type="table" w:customStyle="1" w:styleId="MediumGrid1-Accent1413">
    <w:name w:val="Medium Grid 1 - Accent 14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3">
    <w:name w:val="Medium Grid 3 - Accent 111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semiHidden/>
    <w:unhideWhenUsed/>
    <w:rsid w:val="00C64FC7"/>
  </w:style>
  <w:style w:type="table" w:customStyle="1" w:styleId="MediumGrid1-Accent11113">
    <w:name w:val="Medium Grid 1 - Accent 11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semiHidden/>
    <w:unhideWhenUsed/>
    <w:rsid w:val="00C64FC7"/>
  </w:style>
  <w:style w:type="table" w:customStyle="1" w:styleId="MediumGrid1-Accent12113">
    <w:name w:val="Medium Grid 1 - Accent 12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semiHidden/>
    <w:unhideWhenUsed/>
    <w:rsid w:val="00C64FC7"/>
  </w:style>
  <w:style w:type="table" w:customStyle="1" w:styleId="MediumGrid1-Accent13113">
    <w:name w:val="Medium Grid 1 - Accent 13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C64FC7"/>
  </w:style>
  <w:style w:type="table" w:customStyle="1" w:styleId="MediumGrid1-Accent1513">
    <w:name w:val="Medium Grid 1 - Accent 15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semiHidden/>
    <w:unhideWhenUsed/>
    <w:rsid w:val="00C64FC7"/>
  </w:style>
  <w:style w:type="numbering" w:customStyle="1" w:styleId="NoList2213">
    <w:name w:val="No List2213"/>
    <w:next w:val="NoList"/>
    <w:uiPriority w:val="99"/>
    <w:semiHidden/>
    <w:unhideWhenUsed/>
    <w:rsid w:val="00C64FC7"/>
  </w:style>
  <w:style w:type="numbering" w:customStyle="1" w:styleId="NoList3213">
    <w:name w:val="No List3213"/>
    <w:next w:val="NoList"/>
    <w:uiPriority w:val="99"/>
    <w:semiHidden/>
    <w:unhideWhenUsed/>
    <w:rsid w:val="00C64FC7"/>
  </w:style>
  <w:style w:type="numbering" w:customStyle="1" w:styleId="NoList613">
    <w:name w:val="No List613"/>
    <w:next w:val="NoList"/>
    <w:uiPriority w:val="99"/>
    <w:semiHidden/>
    <w:unhideWhenUsed/>
    <w:rsid w:val="00C64FC7"/>
  </w:style>
  <w:style w:type="table" w:customStyle="1" w:styleId="MediumGrid1-Accent1613">
    <w:name w:val="Medium Grid 1 - Accent 16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semiHidden/>
    <w:unhideWhenUsed/>
    <w:rsid w:val="00C64FC7"/>
  </w:style>
  <w:style w:type="numbering" w:customStyle="1" w:styleId="NoList2313">
    <w:name w:val="No List2313"/>
    <w:next w:val="NoList"/>
    <w:uiPriority w:val="99"/>
    <w:semiHidden/>
    <w:unhideWhenUsed/>
    <w:rsid w:val="00C64FC7"/>
  </w:style>
  <w:style w:type="numbering" w:customStyle="1" w:styleId="NoList3313">
    <w:name w:val="No List3313"/>
    <w:next w:val="NoList"/>
    <w:uiPriority w:val="99"/>
    <w:semiHidden/>
    <w:unhideWhenUsed/>
    <w:rsid w:val="00C64FC7"/>
  </w:style>
  <w:style w:type="numbering" w:customStyle="1" w:styleId="NoList83">
    <w:name w:val="No List83"/>
    <w:next w:val="NoList"/>
    <w:uiPriority w:val="99"/>
    <w:semiHidden/>
    <w:unhideWhenUsed/>
    <w:rsid w:val="00C64FC7"/>
  </w:style>
  <w:style w:type="table" w:customStyle="1" w:styleId="TableGrid63">
    <w:name w:val="Table Grid6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3">
    <w:name w:val="Medium Grid 3 - Accent 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semiHidden/>
    <w:unhideWhenUsed/>
    <w:rsid w:val="00C64FC7"/>
  </w:style>
  <w:style w:type="table" w:customStyle="1" w:styleId="MediumGrid1-Accent1143">
    <w:name w:val="Medium Grid 1 - Accent 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semiHidden/>
    <w:unhideWhenUsed/>
    <w:rsid w:val="00C64FC7"/>
  </w:style>
  <w:style w:type="table" w:customStyle="1" w:styleId="MediumGrid1-Accent1243">
    <w:name w:val="Medium Grid 1 - Accent 12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semiHidden/>
    <w:unhideWhenUsed/>
    <w:rsid w:val="00C64FC7"/>
  </w:style>
  <w:style w:type="table" w:customStyle="1" w:styleId="MediumGrid1-Accent1343">
    <w:name w:val="Medium Grid 1 - Accent 13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C64FC7"/>
  </w:style>
  <w:style w:type="table" w:customStyle="1" w:styleId="MediumGrid1-Accent1423">
    <w:name w:val="Medium Grid 1 - Accent 14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3">
    <w:name w:val="Medium Grid 3 - Accent 1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semiHidden/>
    <w:unhideWhenUsed/>
    <w:rsid w:val="00C64FC7"/>
  </w:style>
  <w:style w:type="table" w:customStyle="1" w:styleId="MediumGrid1-Accent11123">
    <w:name w:val="Medium Grid 1 - Accent 1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semiHidden/>
    <w:unhideWhenUsed/>
    <w:rsid w:val="00C64FC7"/>
  </w:style>
  <w:style w:type="table" w:customStyle="1" w:styleId="MediumGrid1-Accent12123">
    <w:name w:val="Medium Grid 1 - Accent 12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semiHidden/>
    <w:unhideWhenUsed/>
    <w:rsid w:val="00C64FC7"/>
  </w:style>
  <w:style w:type="table" w:customStyle="1" w:styleId="MediumGrid1-Accent13123">
    <w:name w:val="Medium Grid 1 - Accent 13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C64FC7"/>
  </w:style>
  <w:style w:type="table" w:customStyle="1" w:styleId="MediumGrid1-Accent1523">
    <w:name w:val="Medium Grid 1 - Accent 15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semiHidden/>
    <w:unhideWhenUsed/>
    <w:rsid w:val="00C64FC7"/>
  </w:style>
  <w:style w:type="numbering" w:customStyle="1" w:styleId="NoList2223">
    <w:name w:val="No List2223"/>
    <w:next w:val="NoList"/>
    <w:uiPriority w:val="99"/>
    <w:semiHidden/>
    <w:unhideWhenUsed/>
    <w:rsid w:val="00C64FC7"/>
  </w:style>
  <w:style w:type="numbering" w:customStyle="1" w:styleId="NoList3223">
    <w:name w:val="No List3223"/>
    <w:next w:val="NoList"/>
    <w:uiPriority w:val="99"/>
    <w:semiHidden/>
    <w:unhideWhenUsed/>
    <w:rsid w:val="00C64FC7"/>
  </w:style>
  <w:style w:type="numbering" w:customStyle="1" w:styleId="NoList623">
    <w:name w:val="No List623"/>
    <w:next w:val="NoList"/>
    <w:uiPriority w:val="99"/>
    <w:semiHidden/>
    <w:unhideWhenUsed/>
    <w:rsid w:val="00C64FC7"/>
  </w:style>
  <w:style w:type="table" w:customStyle="1" w:styleId="MediumGrid1-Accent1623">
    <w:name w:val="Medium Grid 1 - Accent 16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semiHidden/>
    <w:unhideWhenUsed/>
    <w:rsid w:val="00C64FC7"/>
  </w:style>
  <w:style w:type="numbering" w:customStyle="1" w:styleId="NoList2323">
    <w:name w:val="No List2323"/>
    <w:next w:val="NoList"/>
    <w:uiPriority w:val="99"/>
    <w:semiHidden/>
    <w:unhideWhenUsed/>
    <w:rsid w:val="00C64FC7"/>
  </w:style>
  <w:style w:type="numbering" w:customStyle="1" w:styleId="NoList3323">
    <w:name w:val="No List3323"/>
    <w:next w:val="NoList"/>
    <w:uiPriority w:val="99"/>
    <w:semiHidden/>
    <w:unhideWhenUsed/>
    <w:rsid w:val="00C64FC7"/>
  </w:style>
  <w:style w:type="numbering" w:customStyle="1" w:styleId="NoList93">
    <w:name w:val="No List93"/>
    <w:next w:val="NoList"/>
    <w:uiPriority w:val="99"/>
    <w:semiHidden/>
    <w:unhideWhenUsed/>
    <w:rsid w:val="00C64FC7"/>
  </w:style>
  <w:style w:type="table" w:customStyle="1" w:styleId="TableGrid73">
    <w:name w:val="Table Grid7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3">
    <w:name w:val="Medium Grid 3 - Accent 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semiHidden/>
    <w:unhideWhenUsed/>
    <w:rsid w:val="00C64FC7"/>
  </w:style>
  <w:style w:type="table" w:customStyle="1" w:styleId="MediumGrid1-Accent1153">
    <w:name w:val="Medium Grid 1 - Accent 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semiHidden/>
    <w:unhideWhenUsed/>
    <w:rsid w:val="00C64FC7"/>
  </w:style>
  <w:style w:type="table" w:customStyle="1" w:styleId="MediumGrid1-Accent1253">
    <w:name w:val="Medium Grid 1 - Accent 12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semiHidden/>
    <w:unhideWhenUsed/>
    <w:rsid w:val="00C64FC7"/>
  </w:style>
  <w:style w:type="table" w:customStyle="1" w:styleId="MediumGrid1-Accent1353">
    <w:name w:val="Medium Grid 1 - Accent 13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C64FC7"/>
  </w:style>
  <w:style w:type="table" w:customStyle="1" w:styleId="MediumGrid1-Accent1433">
    <w:name w:val="Medium Grid 1 - Accent 14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3">
    <w:name w:val="Medium Grid 3 - Accent 1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semiHidden/>
    <w:unhideWhenUsed/>
    <w:rsid w:val="00C64FC7"/>
  </w:style>
  <w:style w:type="table" w:customStyle="1" w:styleId="MediumGrid1-Accent11133">
    <w:name w:val="Medium Grid 1 - Accent 1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semiHidden/>
    <w:unhideWhenUsed/>
    <w:rsid w:val="00C64FC7"/>
  </w:style>
  <w:style w:type="table" w:customStyle="1" w:styleId="MediumGrid1-Accent12133">
    <w:name w:val="Medium Grid 1 - Accent 12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semiHidden/>
    <w:unhideWhenUsed/>
    <w:rsid w:val="00C64FC7"/>
  </w:style>
  <w:style w:type="table" w:customStyle="1" w:styleId="MediumGrid1-Accent13133">
    <w:name w:val="Medium Grid 1 - Accent 13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C64FC7"/>
  </w:style>
  <w:style w:type="table" w:customStyle="1" w:styleId="MediumGrid1-Accent1533">
    <w:name w:val="Medium Grid 1 - Accent 15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semiHidden/>
    <w:unhideWhenUsed/>
    <w:rsid w:val="00C64FC7"/>
  </w:style>
  <w:style w:type="numbering" w:customStyle="1" w:styleId="NoList2233">
    <w:name w:val="No List2233"/>
    <w:next w:val="NoList"/>
    <w:uiPriority w:val="99"/>
    <w:semiHidden/>
    <w:unhideWhenUsed/>
    <w:rsid w:val="00C64FC7"/>
  </w:style>
  <w:style w:type="numbering" w:customStyle="1" w:styleId="NoList3233">
    <w:name w:val="No List3233"/>
    <w:next w:val="NoList"/>
    <w:uiPriority w:val="99"/>
    <w:semiHidden/>
    <w:unhideWhenUsed/>
    <w:rsid w:val="00C64FC7"/>
  </w:style>
  <w:style w:type="numbering" w:customStyle="1" w:styleId="NoList633">
    <w:name w:val="No List633"/>
    <w:next w:val="NoList"/>
    <w:uiPriority w:val="99"/>
    <w:semiHidden/>
    <w:unhideWhenUsed/>
    <w:rsid w:val="00C64FC7"/>
  </w:style>
  <w:style w:type="table" w:customStyle="1" w:styleId="MediumGrid1-Accent1633">
    <w:name w:val="Medium Grid 1 - Accent 16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semiHidden/>
    <w:unhideWhenUsed/>
    <w:rsid w:val="00C64FC7"/>
  </w:style>
  <w:style w:type="numbering" w:customStyle="1" w:styleId="NoList2333">
    <w:name w:val="No List2333"/>
    <w:next w:val="NoList"/>
    <w:uiPriority w:val="99"/>
    <w:semiHidden/>
    <w:unhideWhenUsed/>
    <w:rsid w:val="00C64FC7"/>
  </w:style>
  <w:style w:type="numbering" w:customStyle="1" w:styleId="NoList3333">
    <w:name w:val="No List3333"/>
    <w:next w:val="NoList"/>
    <w:uiPriority w:val="99"/>
    <w:semiHidden/>
    <w:unhideWhenUsed/>
    <w:rsid w:val="00C64FC7"/>
  </w:style>
  <w:style w:type="numbering" w:customStyle="1" w:styleId="NoList103">
    <w:name w:val="No List103"/>
    <w:next w:val="NoList"/>
    <w:uiPriority w:val="99"/>
    <w:semiHidden/>
    <w:unhideWhenUsed/>
    <w:rsid w:val="00C64FC7"/>
  </w:style>
  <w:style w:type="table" w:customStyle="1" w:styleId="TableGrid83">
    <w:name w:val="Table Grid8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3">
    <w:name w:val="Medium Grid 3 - Accent 16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semiHidden/>
    <w:unhideWhenUsed/>
    <w:rsid w:val="00C64FC7"/>
  </w:style>
  <w:style w:type="table" w:customStyle="1" w:styleId="MediumGrid1-Accent1163">
    <w:name w:val="Medium Grid 1 - Accent 11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semiHidden/>
    <w:unhideWhenUsed/>
    <w:rsid w:val="00C64FC7"/>
  </w:style>
  <w:style w:type="table" w:customStyle="1" w:styleId="MediumGrid1-Accent1263">
    <w:name w:val="Medium Grid 1 - Accent 12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semiHidden/>
    <w:unhideWhenUsed/>
    <w:rsid w:val="00C64FC7"/>
  </w:style>
  <w:style w:type="table" w:customStyle="1" w:styleId="MediumGrid1-Accent1363">
    <w:name w:val="Medium Grid 1 - Accent 13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C64FC7"/>
  </w:style>
  <w:style w:type="table" w:customStyle="1" w:styleId="MediumGrid1-Accent1443">
    <w:name w:val="Medium Grid 1 - Accent 14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3">
    <w:name w:val="Medium Grid 3 - Accent 1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semiHidden/>
    <w:unhideWhenUsed/>
    <w:rsid w:val="00C64FC7"/>
  </w:style>
  <w:style w:type="table" w:customStyle="1" w:styleId="MediumGrid1-Accent11143">
    <w:name w:val="Medium Grid 1 - Accent 1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semiHidden/>
    <w:unhideWhenUsed/>
    <w:rsid w:val="00C64FC7"/>
  </w:style>
  <w:style w:type="table" w:customStyle="1" w:styleId="MediumGrid1-Accent12143">
    <w:name w:val="Medium Grid 1 - Accent 12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semiHidden/>
    <w:unhideWhenUsed/>
    <w:rsid w:val="00C64FC7"/>
  </w:style>
  <w:style w:type="table" w:customStyle="1" w:styleId="MediumGrid1-Accent13143">
    <w:name w:val="Medium Grid 1 - Accent 13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C64FC7"/>
  </w:style>
  <w:style w:type="table" w:customStyle="1" w:styleId="MediumGrid1-Accent1543">
    <w:name w:val="Medium Grid 1 - Accent 15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semiHidden/>
    <w:unhideWhenUsed/>
    <w:rsid w:val="00C64FC7"/>
  </w:style>
  <w:style w:type="numbering" w:customStyle="1" w:styleId="NoList2243">
    <w:name w:val="No List2243"/>
    <w:next w:val="NoList"/>
    <w:uiPriority w:val="99"/>
    <w:semiHidden/>
    <w:unhideWhenUsed/>
    <w:rsid w:val="00C64FC7"/>
  </w:style>
  <w:style w:type="numbering" w:customStyle="1" w:styleId="NoList3243">
    <w:name w:val="No List3243"/>
    <w:next w:val="NoList"/>
    <w:uiPriority w:val="99"/>
    <w:semiHidden/>
    <w:unhideWhenUsed/>
    <w:rsid w:val="00C64FC7"/>
  </w:style>
  <w:style w:type="numbering" w:customStyle="1" w:styleId="NoList643">
    <w:name w:val="No List643"/>
    <w:next w:val="NoList"/>
    <w:uiPriority w:val="99"/>
    <w:semiHidden/>
    <w:unhideWhenUsed/>
    <w:rsid w:val="00C64FC7"/>
  </w:style>
  <w:style w:type="table" w:customStyle="1" w:styleId="MediumGrid1-Accent1643">
    <w:name w:val="Medium Grid 1 - Accent 16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semiHidden/>
    <w:unhideWhenUsed/>
    <w:rsid w:val="00C64FC7"/>
  </w:style>
  <w:style w:type="numbering" w:customStyle="1" w:styleId="NoList2343">
    <w:name w:val="No List2343"/>
    <w:next w:val="NoList"/>
    <w:uiPriority w:val="99"/>
    <w:semiHidden/>
    <w:unhideWhenUsed/>
    <w:rsid w:val="00C64FC7"/>
  </w:style>
  <w:style w:type="numbering" w:customStyle="1" w:styleId="NoList3343">
    <w:name w:val="No List3343"/>
    <w:next w:val="NoList"/>
    <w:uiPriority w:val="99"/>
    <w:semiHidden/>
    <w:unhideWhenUsed/>
    <w:rsid w:val="00C64FC7"/>
  </w:style>
  <w:style w:type="numbering" w:customStyle="1" w:styleId="NoList183">
    <w:name w:val="No List183"/>
    <w:next w:val="NoList"/>
    <w:uiPriority w:val="99"/>
    <w:semiHidden/>
    <w:unhideWhenUsed/>
    <w:rsid w:val="00C64FC7"/>
  </w:style>
  <w:style w:type="table" w:customStyle="1" w:styleId="TableGrid93">
    <w:name w:val="Table Grid9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3">
    <w:name w:val="Medium Grid 3 - Accent 17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semiHidden/>
    <w:unhideWhenUsed/>
    <w:rsid w:val="00C64FC7"/>
  </w:style>
  <w:style w:type="table" w:customStyle="1" w:styleId="MediumGrid1-Accent1183">
    <w:name w:val="Medium Grid 1 - Accent 118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semiHidden/>
    <w:unhideWhenUsed/>
    <w:rsid w:val="00C64FC7"/>
  </w:style>
  <w:style w:type="table" w:customStyle="1" w:styleId="MediumGrid1-Accent1273">
    <w:name w:val="Medium Grid 1 - Accent 12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semiHidden/>
    <w:unhideWhenUsed/>
    <w:rsid w:val="00C64FC7"/>
  </w:style>
  <w:style w:type="table" w:customStyle="1" w:styleId="MediumGrid1-Accent1373">
    <w:name w:val="Medium Grid 1 - Accent 13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semiHidden/>
    <w:unhideWhenUsed/>
    <w:rsid w:val="00C64FC7"/>
  </w:style>
  <w:style w:type="table" w:customStyle="1" w:styleId="MediumGrid1-Accent1453">
    <w:name w:val="Medium Grid 1 - Accent 14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3">
    <w:name w:val="Medium Grid 3 - Accent 1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semiHidden/>
    <w:unhideWhenUsed/>
    <w:rsid w:val="00C64FC7"/>
  </w:style>
  <w:style w:type="table" w:customStyle="1" w:styleId="MediumGrid1-Accent11153">
    <w:name w:val="Medium Grid 1 - Accent 1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semiHidden/>
    <w:unhideWhenUsed/>
    <w:rsid w:val="00C64FC7"/>
  </w:style>
  <w:style w:type="table" w:customStyle="1" w:styleId="MediumGrid1-Accent12153">
    <w:name w:val="Medium Grid 1 - Accent 12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semiHidden/>
    <w:unhideWhenUsed/>
    <w:rsid w:val="00C64FC7"/>
  </w:style>
  <w:style w:type="table" w:customStyle="1" w:styleId="MediumGrid1-Accent13153">
    <w:name w:val="Medium Grid 1 - Accent 13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semiHidden/>
    <w:unhideWhenUsed/>
    <w:rsid w:val="00C64FC7"/>
  </w:style>
  <w:style w:type="table" w:customStyle="1" w:styleId="MediumGrid1-Accent1553">
    <w:name w:val="Medium Grid 1 - Accent 15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semiHidden/>
    <w:unhideWhenUsed/>
    <w:rsid w:val="00C64FC7"/>
  </w:style>
  <w:style w:type="numbering" w:customStyle="1" w:styleId="NoList2253">
    <w:name w:val="No List2253"/>
    <w:next w:val="NoList"/>
    <w:uiPriority w:val="99"/>
    <w:semiHidden/>
    <w:unhideWhenUsed/>
    <w:rsid w:val="00C64FC7"/>
  </w:style>
  <w:style w:type="numbering" w:customStyle="1" w:styleId="NoList3253">
    <w:name w:val="No List3253"/>
    <w:next w:val="NoList"/>
    <w:uiPriority w:val="99"/>
    <w:semiHidden/>
    <w:unhideWhenUsed/>
    <w:rsid w:val="00C64FC7"/>
  </w:style>
  <w:style w:type="numbering" w:customStyle="1" w:styleId="NoList653">
    <w:name w:val="No List653"/>
    <w:next w:val="NoList"/>
    <w:uiPriority w:val="99"/>
    <w:semiHidden/>
    <w:unhideWhenUsed/>
    <w:rsid w:val="00C64FC7"/>
  </w:style>
  <w:style w:type="table" w:customStyle="1" w:styleId="MediumGrid1-Accent1653">
    <w:name w:val="Medium Grid 1 - Accent 16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semiHidden/>
    <w:unhideWhenUsed/>
    <w:rsid w:val="00C64FC7"/>
  </w:style>
  <w:style w:type="numbering" w:customStyle="1" w:styleId="NoList2353">
    <w:name w:val="No List2353"/>
    <w:next w:val="NoList"/>
    <w:uiPriority w:val="99"/>
    <w:semiHidden/>
    <w:unhideWhenUsed/>
    <w:rsid w:val="00C64FC7"/>
  </w:style>
  <w:style w:type="numbering" w:customStyle="1" w:styleId="NoList3353">
    <w:name w:val="No List3353"/>
    <w:next w:val="NoList"/>
    <w:uiPriority w:val="99"/>
    <w:semiHidden/>
    <w:unhideWhenUsed/>
    <w:rsid w:val="00C64FC7"/>
  </w:style>
  <w:style w:type="numbering" w:customStyle="1" w:styleId="NoList202">
    <w:name w:val="No List202"/>
    <w:next w:val="NoList"/>
    <w:uiPriority w:val="99"/>
    <w:semiHidden/>
    <w:unhideWhenUsed/>
    <w:rsid w:val="00C64FC7"/>
  </w:style>
  <w:style w:type="table" w:customStyle="1" w:styleId="TableGrid102">
    <w:name w:val="Table Grid10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2">
    <w:name w:val="Medium Grid 3 - Accent 18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semiHidden/>
    <w:unhideWhenUsed/>
    <w:rsid w:val="00C64FC7"/>
  </w:style>
  <w:style w:type="table" w:customStyle="1" w:styleId="MediumGrid1-Accent11102">
    <w:name w:val="Medium Grid 1 - Accent 1110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semiHidden/>
    <w:unhideWhenUsed/>
    <w:rsid w:val="00C64FC7"/>
  </w:style>
  <w:style w:type="table" w:customStyle="1" w:styleId="MediumGrid1-Accent1282">
    <w:name w:val="Medium Grid 1 - Accent 12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semiHidden/>
    <w:unhideWhenUsed/>
    <w:rsid w:val="00C64FC7"/>
  </w:style>
  <w:style w:type="table" w:customStyle="1" w:styleId="MediumGrid1-Accent1382">
    <w:name w:val="Medium Grid 1 - Accent 13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C64FC7"/>
  </w:style>
  <w:style w:type="table" w:customStyle="1" w:styleId="MediumGrid1-Accent1462">
    <w:name w:val="Medium Grid 1 - Accent 14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2">
    <w:name w:val="Medium Grid 3 - Accent 1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semiHidden/>
    <w:unhideWhenUsed/>
    <w:rsid w:val="00C64FC7"/>
  </w:style>
  <w:style w:type="table" w:customStyle="1" w:styleId="MediumGrid1-Accent11162">
    <w:name w:val="Medium Grid 1 - Accent 1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semiHidden/>
    <w:unhideWhenUsed/>
    <w:rsid w:val="00C64FC7"/>
  </w:style>
  <w:style w:type="table" w:customStyle="1" w:styleId="MediumGrid1-Accent12162">
    <w:name w:val="Medium Grid 1 - Accent 12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semiHidden/>
    <w:unhideWhenUsed/>
    <w:rsid w:val="00C64FC7"/>
  </w:style>
  <w:style w:type="table" w:customStyle="1" w:styleId="MediumGrid1-Accent13162">
    <w:name w:val="Medium Grid 1 - Accent 13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2">
    <w:name w:val="No List562"/>
    <w:next w:val="NoList"/>
    <w:uiPriority w:val="99"/>
    <w:semiHidden/>
    <w:unhideWhenUsed/>
    <w:rsid w:val="00C64FC7"/>
  </w:style>
  <w:style w:type="table" w:customStyle="1" w:styleId="TableGrid412">
    <w:name w:val="Table Grid41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2">
    <w:name w:val="Medium Grid 3 - Accent 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semiHidden/>
    <w:unhideWhenUsed/>
    <w:rsid w:val="00C64FC7"/>
  </w:style>
  <w:style w:type="table" w:customStyle="1" w:styleId="MediumGrid1-Accent11212">
    <w:name w:val="Medium Grid 1 - Accent 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semiHidden/>
    <w:unhideWhenUsed/>
    <w:rsid w:val="00C64FC7"/>
  </w:style>
  <w:style w:type="table" w:customStyle="1" w:styleId="MediumGrid1-Accent12212">
    <w:name w:val="Medium Grid 1 - Accent 12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semiHidden/>
    <w:unhideWhenUsed/>
    <w:rsid w:val="00C64FC7"/>
  </w:style>
  <w:style w:type="table" w:customStyle="1" w:styleId="MediumGrid1-Accent13212">
    <w:name w:val="Medium Grid 1 - Accent 13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C64FC7"/>
  </w:style>
  <w:style w:type="table" w:customStyle="1" w:styleId="MediumGrid1-Accent1662">
    <w:name w:val="Medium Grid 1 - Accent 16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semiHidden/>
    <w:unhideWhenUsed/>
    <w:rsid w:val="00C64FC7"/>
  </w:style>
  <w:style w:type="numbering" w:customStyle="1" w:styleId="NoList2362">
    <w:name w:val="No List2362"/>
    <w:next w:val="NoList"/>
    <w:uiPriority w:val="99"/>
    <w:semiHidden/>
    <w:unhideWhenUsed/>
    <w:rsid w:val="00C64FC7"/>
  </w:style>
  <w:style w:type="numbering" w:customStyle="1" w:styleId="NoList3362">
    <w:name w:val="No List3362"/>
    <w:next w:val="NoList"/>
    <w:uiPriority w:val="99"/>
    <w:semiHidden/>
    <w:unhideWhenUsed/>
    <w:rsid w:val="00C64FC7"/>
  </w:style>
  <w:style w:type="numbering" w:customStyle="1" w:styleId="NoList712">
    <w:name w:val="No List712"/>
    <w:next w:val="NoList"/>
    <w:uiPriority w:val="99"/>
    <w:semiHidden/>
    <w:unhideWhenUsed/>
    <w:rsid w:val="00C64FC7"/>
  </w:style>
  <w:style w:type="table" w:customStyle="1" w:styleId="TableGrid512">
    <w:name w:val="Table Grid5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2">
    <w:name w:val="Medium Grid 3 - Accent 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semiHidden/>
    <w:unhideWhenUsed/>
    <w:rsid w:val="00C64FC7"/>
  </w:style>
  <w:style w:type="table" w:customStyle="1" w:styleId="MediumGrid1-Accent11312">
    <w:name w:val="Medium Grid 1 - Accent 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semiHidden/>
    <w:unhideWhenUsed/>
    <w:rsid w:val="00C64FC7"/>
  </w:style>
  <w:style w:type="table" w:customStyle="1" w:styleId="MediumGrid1-Accent12312">
    <w:name w:val="Medium Grid 1 - Accent 12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semiHidden/>
    <w:unhideWhenUsed/>
    <w:rsid w:val="00C64FC7"/>
  </w:style>
  <w:style w:type="table" w:customStyle="1" w:styleId="MediumGrid1-Accent13312">
    <w:name w:val="Medium Grid 1 - Accent 13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semiHidden/>
    <w:unhideWhenUsed/>
    <w:rsid w:val="00C64FC7"/>
  </w:style>
  <w:style w:type="table" w:customStyle="1" w:styleId="MediumGrid1-Accent14112">
    <w:name w:val="Medium Grid 1 - Accent 14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2">
    <w:name w:val="Medium Grid 3 - Accent 1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semiHidden/>
    <w:unhideWhenUsed/>
    <w:rsid w:val="00C64FC7"/>
  </w:style>
  <w:style w:type="table" w:customStyle="1" w:styleId="MediumGrid1-Accent111112">
    <w:name w:val="Medium Grid 1 - Accent 1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semiHidden/>
    <w:unhideWhenUsed/>
    <w:rsid w:val="00C64FC7"/>
  </w:style>
  <w:style w:type="table" w:customStyle="1" w:styleId="MediumGrid1-Accent121112">
    <w:name w:val="Medium Grid 1 - Accent 12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semiHidden/>
    <w:unhideWhenUsed/>
    <w:rsid w:val="00C64FC7"/>
  </w:style>
  <w:style w:type="table" w:customStyle="1" w:styleId="MediumGrid1-Accent131112">
    <w:name w:val="Medium Grid 1 - Accent 13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semiHidden/>
    <w:unhideWhenUsed/>
    <w:rsid w:val="00C64FC7"/>
  </w:style>
  <w:style w:type="table" w:customStyle="1" w:styleId="MediumGrid1-Accent15112">
    <w:name w:val="Medium Grid 1 - Accent 15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semiHidden/>
    <w:unhideWhenUsed/>
    <w:rsid w:val="00C64FC7"/>
  </w:style>
  <w:style w:type="numbering" w:customStyle="1" w:styleId="NoList22112">
    <w:name w:val="No List22112"/>
    <w:next w:val="NoList"/>
    <w:uiPriority w:val="99"/>
    <w:semiHidden/>
    <w:unhideWhenUsed/>
    <w:rsid w:val="00C64FC7"/>
  </w:style>
  <w:style w:type="numbering" w:customStyle="1" w:styleId="NoList32112">
    <w:name w:val="No List32112"/>
    <w:next w:val="NoList"/>
    <w:uiPriority w:val="99"/>
    <w:semiHidden/>
    <w:unhideWhenUsed/>
    <w:rsid w:val="00C64FC7"/>
  </w:style>
  <w:style w:type="numbering" w:customStyle="1" w:styleId="NoList6112">
    <w:name w:val="No List6112"/>
    <w:next w:val="NoList"/>
    <w:uiPriority w:val="99"/>
    <w:semiHidden/>
    <w:unhideWhenUsed/>
    <w:rsid w:val="00C64FC7"/>
  </w:style>
  <w:style w:type="table" w:customStyle="1" w:styleId="MediumGrid1-Accent16112">
    <w:name w:val="Medium Grid 1 - Accent 16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semiHidden/>
    <w:unhideWhenUsed/>
    <w:rsid w:val="00C64FC7"/>
  </w:style>
  <w:style w:type="numbering" w:customStyle="1" w:styleId="NoList23112">
    <w:name w:val="No List23112"/>
    <w:next w:val="NoList"/>
    <w:uiPriority w:val="99"/>
    <w:semiHidden/>
    <w:unhideWhenUsed/>
    <w:rsid w:val="00C64FC7"/>
  </w:style>
  <w:style w:type="numbering" w:customStyle="1" w:styleId="NoList33112">
    <w:name w:val="No List33112"/>
    <w:next w:val="NoList"/>
    <w:uiPriority w:val="99"/>
    <w:semiHidden/>
    <w:unhideWhenUsed/>
    <w:rsid w:val="00C64FC7"/>
  </w:style>
  <w:style w:type="numbering" w:customStyle="1" w:styleId="NoList812">
    <w:name w:val="No List812"/>
    <w:next w:val="NoList"/>
    <w:uiPriority w:val="99"/>
    <w:semiHidden/>
    <w:unhideWhenUsed/>
    <w:rsid w:val="00C64FC7"/>
  </w:style>
  <w:style w:type="table" w:customStyle="1" w:styleId="TableGrid612">
    <w:name w:val="Table Grid6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2">
    <w:name w:val="Medium Grid 3 - Accent 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semiHidden/>
    <w:unhideWhenUsed/>
    <w:rsid w:val="00C64FC7"/>
  </w:style>
  <w:style w:type="table" w:customStyle="1" w:styleId="MediumGrid1-Accent11412">
    <w:name w:val="Medium Grid 1 - Accent 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semiHidden/>
    <w:unhideWhenUsed/>
    <w:rsid w:val="00C64FC7"/>
  </w:style>
  <w:style w:type="table" w:customStyle="1" w:styleId="MediumGrid1-Accent12412">
    <w:name w:val="Medium Grid 1 - Accent 12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semiHidden/>
    <w:unhideWhenUsed/>
    <w:rsid w:val="00C64FC7"/>
  </w:style>
  <w:style w:type="table" w:customStyle="1" w:styleId="MediumGrid1-Accent13412">
    <w:name w:val="Medium Grid 1 - Accent 13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C64FC7"/>
  </w:style>
  <w:style w:type="table" w:customStyle="1" w:styleId="MediumGrid1-Accent14212">
    <w:name w:val="Medium Grid 1 - Accent 14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2">
    <w:name w:val="Medium Grid 3 - Accent 1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semiHidden/>
    <w:unhideWhenUsed/>
    <w:rsid w:val="00C64FC7"/>
  </w:style>
  <w:style w:type="table" w:customStyle="1" w:styleId="MediumGrid1-Accent111212">
    <w:name w:val="Medium Grid 1 - Accent 1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semiHidden/>
    <w:unhideWhenUsed/>
    <w:rsid w:val="00C64FC7"/>
  </w:style>
  <w:style w:type="table" w:customStyle="1" w:styleId="MediumGrid1-Accent121212">
    <w:name w:val="Medium Grid 1 - Accent 12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semiHidden/>
    <w:unhideWhenUsed/>
    <w:rsid w:val="00C64FC7"/>
  </w:style>
  <w:style w:type="table" w:customStyle="1" w:styleId="MediumGrid1-Accent131212">
    <w:name w:val="Medium Grid 1 - Accent 13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C64FC7"/>
  </w:style>
  <w:style w:type="table" w:customStyle="1" w:styleId="MediumGrid1-Accent15212">
    <w:name w:val="Medium Grid 1 - Accent 15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semiHidden/>
    <w:unhideWhenUsed/>
    <w:rsid w:val="00C64FC7"/>
  </w:style>
  <w:style w:type="numbering" w:customStyle="1" w:styleId="NoList22212">
    <w:name w:val="No List22212"/>
    <w:next w:val="NoList"/>
    <w:uiPriority w:val="99"/>
    <w:semiHidden/>
    <w:unhideWhenUsed/>
    <w:rsid w:val="00C64FC7"/>
  </w:style>
  <w:style w:type="numbering" w:customStyle="1" w:styleId="NoList32212">
    <w:name w:val="No List32212"/>
    <w:next w:val="NoList"/>
    <w:uiPriority w:val="99"/>
    <w:semiHidden/>
    <w:unhideWhenUsed/>
    <w:rsid w:val="00C64FC7"/>
  </w:style>
  <w:style w:type="numbering" w:customStyle="1" w:styleId="NoList6212">
    <w:name w:val="No List6212"/>
    <w:next w:val="NoList"/>
    <w:uiPriority w:val="99"/>
    <w:semiHidden/>
    <w:unhideWhenUsed/>
    <w:rsid w:val="00C64FC7"/>
  </w:style>
  <w:style w:type="table" w:customStyle="1" w:styleId="MediumGrid1-Accent16212">
    <w:name w:val="Medium Grid 1 - Accent 16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semiHidden/>
    <w:unhideWhenUsed/>
    <w:rsid w:val="00C64FC7"/>
  </w:style>
  <w:style w:type="numbering" w:customStyle="1" w:styleId="NoList23212">
    <w:name w:val="No List23212"/>
    <w:next w:val="NoList"/>
    <w:uiPriority w:val="99"/>
    <w:semiHidden/>
    <w:unhideWhenUsed/>
    <w:rsid w:val="00C64FC7"/>
  </w:style>
  <w:style w:type="numbering" w:customStyle="1" w:styleId="NoList33212">
    <w:name w:val="No List33212"/>
    <w:next w:val="NoList"/>
    <w:uiPriority w:val="99"/>
    <w:semiHidden/>
    <w:unhideWhenUsed/>
    <w:rsid w:val="00C64FC7"/>
  </w:style>
  <w:style w:type="numbering" w:customStyle="1" w:styleId="NoList912">
    <w:name w:val="No List912"/>
    <w:next w:val="NoList"/>
    <w:uiPriority w:val="99"/>
    <w:semiHidden/>
    <w:unhideWhenUsed/>
    <w:rsid w:val="00C64FC7"/>
  </w:style>
  <w:style w:type="table" w:customStyle="1" w:styleId="TableGrid712">
    <w:name w:val="Table Grid7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2">
    <w:name w:val="Medium Grid 3 - Accent 1512"/>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semiHidden/>
    <w:unhideWhenUsed/>
    <w:rsid w:val="00C64FC7"/>
  </w:style>
  <w:style w:type="table" w:customStyle="1" w:styleId="MediumGrid1-Accent11512">
    <w:name w:val="Medium Grid 1 - Accent 1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semiHidden/>
    <w:unhideWhenUsed/>
    <w:rsid w:val="00C64FC7"/>
  </w:style>
  <w:style w:type="table" w:customStyle="1" w:styleId="MediumGrid1-Accent12512">
    <w:name w:val="Medium Grid 1 - Accent 12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semiHidden/>
    <w:unhideWhenUsed/>
    <w:rsid w:val="00C64FC7"/>
  </w:style>
  <w:style w:type="table" w:customStyle="1" w:styleId="MediumGrid1-Accent13512">
    <w:name w:val="Medium Grid 1 - Accent 13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semiHidden/>
    <w:unhideWhenUsed/>
    <w:rsid w:val="00C64FC7"/>
  </w:style>
  <w:style w:type="table" w:customStyle="1" w:styleId="MediumGrid1-Accent14312">
    <w:name w:val="Medium Grid 1 - Accent 14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2">
    <w:name w:val="Medium Grid 3 - Accent 1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semiHidden/>
    <w:unhideWhenUsed/>
    <w:rsid w:val="00C64FC7"/>
  </w:style>
  <w:style w:type="table" w:customStyle="1" w:styleId="MediumGrid1-Accent111312">
    <w:name w:val="Medium Grid 1 - Accent 1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semiHidden/>
    <w:unhideWhenUsed/>
    <w:rsid w:val="00C64FC7"/>
  </w:style>
  <w:style w:type="table" w:customStyle="1" w:styleId="MediumGrid1-Accent121312">
    <w:name w:val="Medium Grid 1 - Accent 12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semiHidden/>
    <w:unhideWhenUsed/>
    <w:rsid w:val="00C64FC7"/>
  </w:style>
  <w:style w:type="table" w:customStyle="1" w:styleId="MediumGrid1-Accent131312">
    <w:name w:val="Medium Grid 1 - Accent 13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2">
    <w:name w:val="No List5312"/>
    <w:next w:val="NoList"/>
    <w:uiPriority w:val="99"/>
    <w:semiHidden/>
    <w:unhideWhenUsed/>
    <w:rsid w:val="00C64FC7"/>
  </w:style>
  <w:style w:type="table" w:customStyle="1" w:styleId="MediumGrid1-Accent15312">
    <w:name w:val="Medium Grid 1 - Accent 15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semiHidden/>
    <w:unhideWhenUsed/>
    <w:rsid w:val="00C64FC7"/>
  </w:style>
  <w:style w:type="numbering" w:customStyle="1" w:styleId="NoList22312">
    <w:name w:val="No List22312"/>
    <w:next w:val="NoList"/>
    <w:uiPriority w:val="99"/>
    <w:semiHidden/>
    <w:unhideWhenUsed/>
    <w:rsid w:val="00C64FC7"/>
  </w:style>
  <w:style w:type="numbering" w:customStyle="1" w:styleId="NoList32312">
    <w:name w:val="No List32312"/>
    <w:next w:val="NoList"/>
    <w:uiPriority w:val="99"/>
    <w:semiHidden/>
    <w:unhideWhenUsed/>
    <w:rsid w:val="00C64FC7"/>
  </w:style>
  <w:style w:type="numbering" w:customStyle="1" w:styleId="NoList6312">
    <w:name w:val="No List6312"/>
    <w:next w:val="NoList"/>
    <w:uiPriority w:val="99"/>
    <w:semiHidden/>
    <w:unhideWhenUsed/>
    <w:rsid w:val="00C64FC7"/>
  </w:style>
  <w:style w:type="table" w:customStyle="1" w:styleId="MediumGrid1-Accent16312">
    <w:name w:val="Medium Grid 1 - Accent 16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semiHidden/>
    <w:unhideWhenUsed/>
    <w:rsid w:val="00C64FC7"/>
  </w:style>
  <w:style w:type="numbering" w:customStyle="1" w:styleId="NoList23312">
    <w:name w:val="No List23312"/>
    <w:next w:val="NoList"/>
    <w:uiPriority w:val="99"/>
    <w:semiHidden/>
    <w:unhideWhenUsed/>
    <w:rsid w:val="00C64FC7"/>
  </w:style>
  <w:style w:type="numbering" w:customStyle="1" w:styleId="NoList33312">
    <w:name w:val="No List33312"/>
    <w:next w:val="NoList"/>
    <w:uiPriority w:val="99"/>
    <w:semiHidden/>
    <w:unhideWhenUsed/>
    <w:rsid w:val="00C64FC7"/>
  </w:style>
  <w:style w:type="numbering" w:customStyle="1" w:styleId="NoList1012">
    <w:name w:val="No List1012"/>
    <w:next w:val="NoList"/>
    <w:uiPriority w:val="99"/>
    <w:semiHidden/>
    <w:unhideWhenUsed/>
    <w:rsid w:val="00C64FC7"/>
  </w:style>
  <w:style w:type="table" w:customStyle="1" w:styleId="TableGrid812">
    <w:name w:val="Table Grid8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2">
    <w:name w:val="Medium Grid 3 - Accent 16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semiHidden/>
    <w:unhideWhenUsed/>
    <w:rsid w:val="00C64FC7"/>
  </w:style>
  <w:style w:type="table" w:customStyle="1" w:styleId="MediumGrid1-Accent11612">
    <w:name w:val="Medium Grid 1 - Accent 1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semiHidden/>
    <w:unhideWhenUsed/>
    <w:rsid w:val="00C64FC7"/>
  </w:style>
  <w:style w:type="table" w:customStyle="1" w:styleId="MediumGrid1-Accent12612">
    <w:name w:val="Medium Grid 1 - Accent 12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semiHidden/>
    <w:unhideWhenUsed/>
    <w:rsid w:val="00C64FC7"/>
  </w:style>
  <w:style w:type="table" w:customStyle="1" w:styleId="MediumGrid1-Accent13612">
    <w:name w:val="Medium Grid 1 - Accent 13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2">
    <w:name w:val="No List4412"/>
    <w:next w:val="NoList"/>
    <w:uiPriority w:val="99"/>
    <w:semiHidden/>
    <w:unhideWhenUsed/>
    <w:rsid w:val="00C64FC7"/>
  </w:style>
  <w:style w:type="table" w:customStyle="1" w:styleId="MediumGrid1-Accent14412">
    <w:name w:val="Medium Grid 1 - Accent 14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2">
    <w:name w:val="Medium Grid 3 - Accent 1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semiHidden/>
    <w:unhideWhenUsed/>
    <w:rsid w:val="00C64FC7"/>
  </w:style>
  <w:style w:type="table" w:customStyle="1" w:styleId="MediumGrid1-Accent111412">
    <w:name w:val="Medium Grid 1 - Accent 1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2">
    <w:name w:val="No List21412"/>
    <w:next w:val="NoList"/>
    <w:uiPriority w:val="99"/>
    <w:semiHidden/>
    <w:unhideWhenUsed/>
    <w:rsid w:val="00C64FC7"/>
  </w:style>
  <w:style w:type="table" w:customStyle="1" w:styleId="MediumGrid1-Accent121412">
    <w:name w:val="Medium Grid 1 - Accent 12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2">
    <w:name w:val="Light Grid - Accent 112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2">
    <w:name w:val="Light Grid - Accent 521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2">
    <w:name w:val="Light Grid - Accent 12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2">
    <w:name w:val="Light List - Accent 521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13310316">
      <w:bodyDiv w:val="1"/>
      <w:marLeft w:val="0"/>
      <w:marRight w:val="0"/>
      <w:marTop w:val="0"/>
      <w:marBottom w:val="0"/>
      <w:divBdr>
        <w:top w:val="none" w:sz="0" w:space="0" w:color="auto"/>
        <w:left w:val="none" w:sz="0" w:space="0" w:color="auto"/>
        <w:bottom w:val="none" w:sz="0" w:space="0" w:color="auto"/>
        <w:right w:val="none" w:sz="0" w:space="0" w:color="auto"/>
      </w:divBdr>
    </w:div>
    <w:div w:id="13578146">
      <w:bodyDiv w:val="1"/>
      <w:marLeft w:val="0"/>
      <w:marRight w:val="0"/>
      <w:marTop w:val="0"/>
      <w:marBottom w:val="0"/>
      <w:divBdr>
        <w:top w:val="none" w:sz="0" w:space="0" w:color="auto"/>
        <w:left w:val="none" w:sz="0" w:space="0" w:color="auto"/>
        <w:bottom w:val="none" w:sz="0" w:space="0" w:color="auto"/>
        <w:right w:val="none" w:sz="0" w:space="0" w:color="auto"/>
      </w:divBdr>
      <w:divsChild>
        <w:div w:id="2105369961">
          <w:marLeft w:val="0"/>
          <w:marRight w:val="0"/>
          <w:marTop w:val="0"/>
          <w:marBottom w:val="0"/>
          <w:divBdr>
            <w:top w:val="none" w:sz="0" w:space="0" w:color="auto"/>
            <w:left w:val="none" w:sz="0" w:space="0" w:color="auto"/>
            <w:bottom w:val="none" w:sz="0" w:space="0" w:color="auto"/>
            <w:right w:val="none" w:sz="0" w:space="0" w:color="auto"/>
          </w:divBdr>
        </w:div>
      </w:divsChild>
    </w:div>
    <w:div w:id="19207987">
      <w:bodyDiv w:val="1"/>
      <w:marLeft w:val="0"/>
      <w:marRight w:val="0"/>
      <w:marTop w:val="0"/>
      <w:marBottom w:val="0"/>
      <w:divBdr>
        <w:top w:val="none" w:sz="0" w:space="0" w:color="auto"/>
        <w:left w:val="none" w:sz="0" w:space="0" w:color="auto"/>
        <w:bottom w:val="none" w:sz="0" w:space="0" w:color="auto"/>
        <w:right w:val="none" w:sz="0" w:space="0" w:color="auto"/>
      </w:divBdr>
    </w:div>
    <w:div w:id="19475855">
      <w:bodyDiv w:val="1"/>
      <w:marLeft w:val="0"/>
      <w:marRight w:val="0"/>
      <w:marTop w:val="0"/>
      <w:marBottom w:val="0"/>
      <w:divBdr>
        <w:top w:val="none" w:sz="0" w:space="0" w:color="auto"/>
        <w:left w:val="none" w:sz="0" w:space="0" w:color="auto"/>
        <w:bottom w:val="none" w:sz="0" w:space="0" w:color="auto"/>
        <w:right w:val="none" w:sz="0" w:space="0" w:color="auto"/>
      </w:divBdr>
    </w:div>
    <w:div w:id="28579509">
      <w:bodyDiv w:val="1"/>
      <w:marLeft w:val="0"/>
      <w:marRight w:val="0"/>
      <w:marTop w:val="0"/>
      <w:marBottom w:val="0"/>
      <w:divBdr>
        <w:top w:val="none" w:sz="0" w:space="0" w:color="auto"/>
        <w:left w:val="none" w:sz="0" w:space="0" w:color="auto"/>
        <w:bottom w:val="none" w:sz="0" w:space="0" w:color="auto"/>
        <w:right w:val="none" w:sz="0" w:space="0" w:color="auto"/>
      </w:divBdr>
    </w:div>
    <w:div w:id="30688402">
      <w:bodyDiv w:val="1"/>
      <w:marLeft w:val="0"/>
      <w:marRight w:val="0"/>
      <w:marTop w:val="0"/>
      <w:marBottom w:val="0"/>
      <w:divBdr>
        <w:top w:val="none" w:sz="0" w:space="0" w:color="auto"/>
        <w:left w:val="none" w:sz="0" w:space="0" w:color="auto"/>
        <w:bottom w:val="none" w:sz="0" w:space="0" w:color="auto"/>
        <w:right w:val="none" w:sz="0" w:space="0" w:color="auto"/>
      </w:divBdr>
    </w:div>
    <w:div w:id="31350755">
      <w:bodyDiv w:val="1"/>
      <w:marLeft w:val="0"/>
      <w:marRight w:val="0"/>
      <w:marTop w:val="0"/>
      <w:marBottom w:val="0"/>
      <w:divBdr>
        <w:top w:val="none" w:sz="0" w:space="0" w:color="auto"/>
        <w:left w:val="none" w:sz="0" w:space="0" w:color="auto"/>
        <w:bottom w:val="none" w:sz="0" w:space="0" w:color="auto"/>
        <w:right w:val="none" w:sz="0" w:space="0" w:color="auto"/>
      </w:divBdr>
    </w:div>
    <w:div w:id="33315537">
      <w:bodyDiv w:val="1"/>
      <w:marLeft w:val="0"/>
      <w:marRight w:val="0"/>
      <w:marTop w:val="0"/>
      <w:marBottom w:val="0"/>
      <w:divBdr>
        <w:top w:val="none" w:sz="0" w:space="0" w:color="auto"/>
        <w:left w:val="none" w:sz="0" w:space="0" w:color="auto"/>
        <w:bottom w:val="none" w:sz="0" w:space="0" w:color="auto"/>
        <w:right w:val="none" w:sz="0" w:space="0" w:color="auto"/>
      </w:divBdr>
      <w:divsChild>
        <w:div w:id="1843623163">
          <w:marLeft w:val="0"/>
          <w:marRight w:val="0"/>
          <w:marTop w:val="0"/>
          <w:marBottom w:val="0"/>
          <w:divBdr>
            <w:top w:val="none" w:sz="0" w:space="0" w:color="auto"/>
            <w:left w:val="none" w:sz="0" w:space="0" w:color="auto"/>
            <w:bottom w:val="none" w:sz="0" w:space="0" w:color="auto"/>
            <w:right w:val="none" w:sz="0" w:space="0" w:color="auto"/>
          </w:divBdr>
        </w:div>
        <w:div w:id="1726680702">
          <w:marLeft w:val="0"/>
          <w:marRight w:val="0"/>
          <w:marTop w:val="0"/>
          <w:marBottom w:val="0"/>
          <w:divBdr>
            <w:top w:val="none" w:sz="0" w:space="0" w:color="auto"/>
            <w:left w:val="none" w:sz="0" w:space="0" w:color="auto"/>
            <w:bottom w:val="none" w:sz="0" w:space="0" w:color="auto"/>
            <w:right w:val="none" w:sz="0" w:space="0" w:color="auto"/>
          </w:divBdr>
        </w:div>
        <w:div w:id="1944070104">
          <w:marLeft w:val="0"/>
          <w:marRight w:val="0"/>
          <w:marTop w:val="0"/>
          <w:marBottom w:val="0"/>
          <w:divBdr>
            <w:top w:val="none" w:sz="0" w:space="0" w:color="auto"/>
            <w:left w:val="none" w:sz="0" w:space="0" w:color="auto"/>
            <w:bottom w:val="none" w:sz="0" w:space="0" w:color="auto"/>
            <w:right w:val="none" w:sz="0" w:space="0" w:color="auto"/>
          </w:divBdr>
        </w:div>
        <w:div w:id="413475020">
          <w:marLeft w:val="0"/>
          <w:marRight w:val="0"/>
          <w:marTop w:val="0"/>
          <w:marBottom w:val="0"/>
          <w:divBdr>
            <w:top w:val="none" w:sz="0" w:space="0" w:color="auto"/>
            <w:left w:val="none" w:sz="0" w:space="0" w:color="auto"/>
            <w:bottom w:val="none" w:sz="0" w:space="0" w:color="auto"/>
            <w:right w:val="none" w:sz="0" w:space="0" w:color="auto"/>
          </w:divBdr>
        </w:div>
        <w:div w:id="1132092421">
          <w:marLeft w:val="0"/>
          <w:marRight w:val="0"/>
          <w:marTop w:val="0"/>
          <w:marBottom w:val="0"/>
          <w:divBdr>
            <w:top w:val="none" w:sz="0" w:space="0" w:color="auto"/>
            <w:left w:val="none" w:sz="0" w:space="0" w:color="auto"/>
            <w:bottom w:val="none" w:sz="0" w:space="0" w:color="auto"/>
            <w:right w:val="none" w:sz="0" w:space="0" w:color="auto"/>
          </w:divBdr>
        </w:div>
        <w:div w:id="1569459871">
          <w:marLeft w:val="0"/>
          <w:marRight w:val="0"/>
          <w:marTop w:val="0"/>
          <w:marBottom w:val="0"/>
          <w:divBdr>
            <w:top w:val="none" w:sz="0" w:space="0" w:color="auto"/>
            <w:left w:val="none" w:sz="0" w:space="0" w:color="auto"/>
            <w:bottom w:val="none" w:sz="0" w:space="0" w:color="auto"/>
            <w:right w:val="none" w:sz="0" w:space="0" w:color="auto"/>
          </w:divBdr>
        </w:div>
        <w:div w:id="2123573788">
          <w:marLeft w:val="0"/>
          <w:marRight w:val="0"/>
          <w:marTop w:val="0"/>
          <w:marBottom w:val="0"/>
          <w:divBdr>
            <w:top w:val="none" w:sz="0" w:space="0" w:color="auto"/>
            <w:left w:val="none" w:sz="0" w:space="0" w:color="auto"/>
            <w:bottom w:val="none" w:sz="0" w:space="0" w:color="auto"/>
            <w:right w:val="none" w:sz="0" w:space="0" w:color="auto"/>
          </w:divBdr>
        </w:div>
        <w:div w:id="463542758">
          <w:marLeft w:val="0"/>
          <w:marRight w:val="0"/>
          <w:marTop w:val="0"/>
          <w:marBottom w:val="0"/>
          <w:divBdr>
            <w:top w:val="none" w:sz="0" w:space="0" w:color="auto"/>
            <w:left w:val="none" w:sz="0" w:space="0" w:color="auto"/>
            <w:bottom w:val="none" w:sz="0" w:space="0" w:color="auto"/>
            <w:right w:val="none" w:sz="0" w:space="0" w:color="auto"/>
          </w:divBdr>
        </w:div>
        <w:div w:id="767821550">
          <w:marLeft w:val="0"/>
          <w:marRight w:val="0"/>
          <w:marTop w:val="0"/>
          <w:marBottom w:val="0"/>
          <w:divBdr>
            <w:top w:val="none" w:sz="0" w:space="0" w:color="auto"/>
            <w:left w:val="none" w:sz="0" w:space="0" w:color="auto"/>
            <w:bottom w:val="none" w:sz="0" w:space="0" w:color="auto"/>
            <w:right w:val="none" w:sz="0" w:space="0" w:color="auto"/>
          </w:divBdr>
        </w:div>
        <w:div w:id="1386640956">
          <w:marLeft w:val="0"/>
          <w:marRight w:val="0"/>
          <w:marTop w:val="0"/>
          <w:marBottom w:val="0"/>
          <w:divBdr>
            <w:top w:val="none" w:sz="0" w:space="0" w:color="auto"/>
            <w:left w:val="none" w:sz="0" w:space="0" w:color="auto"/>
            <w:bottom w:val="none" w:sz="0" w:space="0" w:color="auto"/>
            <w:right w:val="none" w:sz="0" w:space="0" w:color="auto"/>
          </w:divBdr>
        </w:div>
        <w:div w:id="304824829">
          <w:marLeft w:val="0"/>
          <w:marRight w:val="0"/>
          <w:marTop w:val="0"/>
          <w:marBottom w:val="0"/>
          <w:divBdr>
            <w:top w:val="none" w:sz="0" w:space="0" w:color="auto"/>
            <w:left w:val="none" w:sz="0" w:space="0" w:color="auto"/>
            <w:bottom w:val="none" w:sz="0" w:space="0" w:color="auto"/>
            <w:right w:val="none" w:sz="0" w:space="0" w:color="auto"/>
          </w:divBdr>
        </w:div>
        <w:div w:id="764770610">
          <w:marLeft w:val="0"/>
          <w:marRight w:val="0"/>
          <w:marTop w:val="0"/>
          <w:marBottom w:val="0"/>
          <w:divBdr>
            <w:top w:val="none" w:sz="0" w:space="0" w:color="auto"/>
            <w:left w:val="none" w:sz="0" w:space="0" w:color="auto"/>
            <w:bottom w:val="none" w:sz="0" w:space="0" w:color="auto"/>
            <w:right w:val="none" w:sz="0" w:space="0" w:color="auto"/>
          </w:divBdr>
        </w:div>
        <w:div w:id="847597016">
          <w:marLeft w:val="0"/>
          <w:marRight w:val="0"/>
          <w:marTop w:val="0"/>
          <w:marBottom w:val="0"/>
          <w:divBdr>
            <w:top w:val="none" w:sz="0" w:space="0" w:color="auto"/>
            <w:left w:val="none" w:sz="0" w:space="0" w:color="auto"/>
            <w:bottom w:val="none" w:sz="0" w:space="0" w:color="auto"/>
            <w:right w:val="none" w:sz="0" w:space="0" w:color="auto"/>
          </w:divBdr>
        </w:div>
        <w:div w:id="2015722103">
          <w:marLeft w:val="0"/>
          <w:marRight w:val="0"/>
          <w:marTop w:val="0"/>
          <w:marBottom w:val="0"/>
          <w:divBdr>
            <w:top w:val="none" w:sz="0" w:space="0" w:color="auto"/>
            <w:left w:val="none" w:sz="0" w:space="0" w:color="auto"/>
            <w:bottom w:val="none" w:sz="0" w:space="0" w:color="auto"/>
            <w:right w:val="none" w:sz="0" w:space="0" w:color="auto"/>
          </w:divBdr>
        </w:div>
        <w:div w:id="1180465105">
          <w:marLeft w:val="0"/>
          <w:marRight w:val="0"/>
          <w:marTop w:val="0"/>
          <w:marBottom w:val="0"/>
          <w:divBdr>
            <w:top w:val="none" w:sz="0" w:space="0" w:color="auto"/>
            <w:left w:val="none" w:sz="0" w:space="0" w:color="auto"/>
            <w:bottom w:val="none" w:sz="0" w:space="0" w:color="auto"/>
            <w:right w:val="none" w:sz="0" w:space="0" w:color="auto"/>
          </w:divBdr>
        </w:div>
        <w:div w:id="827667789">
          <w:marLeft w:val="0"/>
          <w:marRight w:val="0"/>
          <w:marTop w:val="0"/>
          <w:marBottom w:val="0"/>
          <w:divBdr>
            <w:top w:val="none" w:sz="0" w:space="0" w:color="auto"/>
            <w:left w:val="none" w:sz="0" w:space="0" w:color="auto"/>
            <w:bottom w:val="none" w:sz="0" w:space="0" w:color="auto"/>
            <w:right w:val="none" w:sz="0" w:space="0" w:color="auto"/>
          </w:divBdr>
        </w:div>
        <w:div w:id="1385062433">
          <w:marLeft w:val="0"/>
          <w:marRight w:val="0"/>
          <w:marTop w:val="0"/>
          <w:marBottom w:val="0"/>
          <w:divBdr>
            <w:top w:val="none" w:sz="0" w:space="0" w:color="auto"/>
            <w:left w:val="none" w:sz="0" w:space="0" w:color="auto"/>
            <w:bottom w:val="none" w:sz="0" w:space="0" w:color="auto"/>
            <w:right w:val="none" w:sz="0" w:space="0" w:color="auto"/>
          </w:divBdr>
        </w:div>
        <w:div w:id="1688943621">
          <w:marLeft w:val="0"/>
          <w:marRight w:val="0"/>
          <w:marTop w:val="0"/>
          <w:marBottom w:val="0"/>
          <w:divBdr>
            <w:top w:val="none" w:sz="0" w:space="0" w:color="auto"/>
            <w:left w:val="none" w:sz="0" w:space="0" w:color="auto"/>
            <w:bottom w:val="none" w:sz="0" w:space="0" w:color="auto"/>
            <w:right w:val="none" w:sz="0" w:space="0" w:color="auto"/>
          </w:divBdr>
        </w:div>
        <w:div w:id="831024916">
          <w:marLeft w:val="0"/>
          <w:marRight w:val="0"/>
          <w:marTop w:val="0"/>
          <w:marBottom w:val="0"/>
          <w:divBdr>
            <w:top w:val="none" w:sz="0" w:space="0" w:color="auto"/>
            <w:left w:val="none" w:sz="0" w:space="0" w:color="auto"/>
            <w:bottom w:val="none" w:sz="0" w:space="0" w:color="auto"/>
            <w:right w:val="none" w:sz="0" w:space="0" w:color="auto"/>
          </w:divBdr>
        </w:div>
        <w:div w:id="58554659">
          <w:marLeft w:val="0"/>
          <w:marRight w:val="0"/>
          <w:marTop w:val="0"/>
          <w:marBottom w:val="0"/>
          <w:divBdr>
            <w:top w:val="none" w:sz="0" w:space="0" w:color="auto"/>
            <w:left w:val="none" w:sz="0" w:space="0" w:color="auto"/>
            <w:bottom w:val="none" w:sz="0" w:space="0" w:color="auto"/>
            <w:right w:val="none" w:sz="0" w:space="0" w:color="auto"/>
          </w:divBdr>
        </w:div>
        <w:div w:id="1780366795">
          <w:marLeft w:val="0"/>
          <w:marRight w:val="0"/>
          <w:marTop w:val="0"/>
          <w:marBottom w:val="0"/>
          <w:divBdr>
            <w:top w:val="none" w:sz="0" w:space="0" w:color="auto"/>
            <w:left w:val="none" w:sz="0" w:space="0" w:color="auto"/>
            <w:bottom w:val="none" w:sz="0" w:space="0" w:color="auto"/>
            <w:right w:val="none" w:sz="0" w:space="0" w:color="auto"/>
          </w:divBdr>
        </w:div>
        <w:div w:id="670988903">
          <w:marLeft w:val="0"/>
          <w:marRight w:val="0"/>
          <w:marTop w:val="0"/>
          <w:marBottom w:val="0"/>
          <w:divBdr>
            <w:top w:val="none" w:sz="0" w:space="0" w:color="auto"/>
            <w:left w:val="none" w:sz="0" w:space="0" w:color="auto"/>
            <w:bottom w:val="none" w:sz="0" w:space="0" w:color="auto"/>
            <w:right w:val="none" w:sz="0" w:space="0" w:color="auto"/>
          </w:divBdr>
        </w:div>
        <w:div w:id="1650010697">
          <w:marLeft w:val="0"/>
          <w:marRight w:val="0"/>
          <w:marTop w:val="0"/>
          <w:marBottom w:val="0"/>
          <w:divBdr>
            <w:top w:val="none" w:sz="0" w:space="0" w:color="auto"/>
            <w:left w:val="none" w:sz="0" w:space="0" w:color="auto"/>
            <w:bottom w:val="none" w:sz="0" w:space="0" w:color="auto"/>
            <w:right w:val="none" w:sz="0" w:space="0" w:color="auto"/>
          </w:divBdr>
        </w:div>
        <w:div w:id="1285037378">
          <w:marLeft w:val="0"/>
          <w:marRight w:val="0"/>
          <w:marTop w:val="0"/>
          <w:marBottom w:val="0"/>
          <w:divBdr>
            <w:top w:val="none" w:sz="0" w:space="0" w:color="auto"/>
            <w:left w:val="none" w:sz="0" w:space="0" w:color="auto"/>
            <w:bottom w:val="none" w:sz="0" w:space="0" w:color="auto"/>
            <w:right w:val="none" w:sz="0" w:space="0" w:color="auto"/>
          </w:divBdr>
        </w:div>
      </w:divsChild>
    </w:div>
    <w:div w:id="38748654">
      <w:bodyDiv w:val="1"/>
      <w:marLeft w:val="0"/>
      <w:marRight w:val="0"/>
      <w:marTop w:val="0"/>
      <w:marBottom w:val="0"/>
      <w:divBdr>
        <w:top w:val="none" w:sz="0" w:space="0" w:color="auto"/>
        <w:left w:val="none" w:sz="0" w:space="0" w:color="auto"/>
        <w:bottom w:val="none" w:sz="0" w:space="0" w:color="auto"/>
        <w:right w:val="none" w:sz="0" w:space="0" w:color="auto"/>
      </w:divBdr>
    </w:div>
    <w:div w:id="42826555">
      <w:bodyDiv w:val="1"/>
      <w:marLeft w:val="0"/>
      <w:marRight w:val="0"/>
      <w:marTop w:val="0"/>
      <w:marBottom w:val="0"/>
      <w:divBdr>
        <w:top w:val="none" w:sz="0" w:space="0" w:color="auto"/>
        <w:left w:val="none" w:sz="0" w:space="0" w:color="auto"/>
        <w:bottom w:val="none" w:sz="0" w:space="0" w:color="auto"/>
        <w:right w:val="none" w:sz="0" w:space="0" w:color="auto"/>
      </w:divBdr>
    </w:div>
    <w:div w:id="44527007">
      <w:bodyDiv w:val="1"/>
      <w:marLeft w:val="0"/>
      <w:marRight w:val="0"/>
      <w:marTop w:val="0"/>
      <w:marBottom w:val="0"/>
      <w:divBdr>
        <w:top w:val="none" w:sz="0" w:space="0" w:color="auto"/>
        <w:left w:val="none" w:sz="0" w:space="0" w:color="auto"/>
        <w:bottom w:val="none" w:sz="0" w:space="0" w:color="auto"/>
        <w:right w:val="none" w:sz="0" w:space="0" w:color="auto"/>
      </w:divBdr>
    </w:div>
    <w:div w:id="51082171">
      <w:bodyDiv w:val="1"/>
      <w:marLeft w:val="0"/>
      <w:marRight w:val="0"/>
      <w:marTop w:val="0"/>
      <w:marBottom w:val="0"/>
      <w:divBdr>
        <w:top w:val="none" w:sz="0" w:space="0" w:color="auto"/>
        <w:left w:val="none" w:sz="0" w:space="0" w:color="auto"/>
        <w:bottom w:val="none" w:sz="0" w:space="0" w:color="auto"/>
        <w:right w:val="none" w:sz="0" w:space="0" w:color="auto"/>
      </w:divBdr>
    </w:div>
    <w:div w:id="54356867">
      <w:bodyDiv w:val="1"/>
      <w:marLeft w:val="0"/>
      <w:marRight w:val="0"/>
      <w:marTop w:val="0"/>
      <w:marBottom w:val="0"/>
      <w:divBdr>
        <w:top w:val="none" w:sz="0" w:space="0" w:color="auto"/>
        <w:left w:val="none" w:sz="0" w:space="0" w:color="auto"/>
        <w:bottom w:val="none" w:sz="0" w:space="0" w:color="auto"/>
        <w:right w:val="none" w:sz="0" w:space="0" w:color="auto"/>
      </w:divBdr>
    </w:div>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64572798">
      <w:bodyDiv w:val="1"/>
      <w:marLeft w:val="0"/>
      <w:marRight w:val="0"/>
      <w:marTop w:val="0"/>
      <w:marBottom w:val="0"/>
      <w:divBdr>
        <w:top w:val="none" w:sz="0" w:space="0" w:color="auto"/>
        <w:left w:val="none" w:sz="0" w:space="0" w:color="auto"/>
        <w:bottom w:val="none" w:sz="0" w:space="0" w:color="auto"/>
        <w:right w:val="none" w:sz="0" w:space="0" w:color="auto"/>
      </w:divBdr>
    </w:div>
    <w:div w:id="64762157">
      <w:bodyDiv w:val="1"/>
      <w:marLeft w:val="0"/>
      <w:marRight w:val="0"/>
      <w:marTop w:val="0"/>
      <w:marBottom w:val="0"/>
      <w:divBdr>
        <w:top w:val="none" w:sz="0" w:space="0" w:color="auto"/>
        <w:left w:val="none" w:sz="0" w:space="0" w:color="auto"/>
        <w:bottom w:val="none" w:sz="0" w:space="0" w:color="auto"/>
        <w:right w:val="none" w:sz="0" w:space="0" w:color="auto"/>
      </w:divBdr>
      <w:divsChild>
        <w:div w:id="1615012710">
          <w:marLeft w:val="0"/>
          <w:marRight w:val="0"/>
          <w:marTop w:val="0"/>
          <w:marBottom w:val="0"/>
          <w:divBdr>
            <w:top w:val="none" w:sz="0" w:space="0" w:color="auto"/>
            <w:left w:val="none" w:sz="0" w:space="0" w:color="auto"/>
            <w:bottom w:val="none" w:sz="0" w:space="0" w:color="auto"/>
            <w:right w:val="none" w:sz="0" w:space="0" w:color="auto"/>
          </w:divBdr>
        </w:div>
      </w:divsChild>
    </w:div>
    <w:div w:id="66343589">
      <w:bodyDiv w:val="1"/>
      <w:marLeft w:val="0"/>
      <w:marRight w:val="0"/>
      <w:marTop w:val="0"/>
      <w:marBottom w:val="0"/>
      <w:divBdr>
        <w:top w:val="none" w:sz="0" w:space="0" w:color="auto"/>
        <w:left w:val="none" w:sz="0" w:space="0" w:color="auto"/>
        <w:bottom w:val="none" w:sz="0" w:space="0" w:color="auto"/>
        <w:right w:val="none" w:sz="0" w:space="0" w:color="auto"/>
      </w:divBdr>
    </w:div>
    <w:div w:id="71195577">
      <w:bodyDiv w:val="1"/>
      <w:marLeft w:val="0"/>
      <w:marRight w:val="0"/>
      <w:marTop w:val="0"/>
      <w:marBottom w:val="0"/>
      <w:divBdr>
        <w:top w:val="none" w:sz="0" w:space="0" w:color="auto"/>
        <w:left w:val="none" w:sz="0" w:space="0" w:color="auto"/>
        <w:bottom w:val="none" w:sz="0" w:space="0" w:color="auto"/>
        <w:right w:val="none" w:sz="0" w:space="0" w:color="auto"/>
      </w:divBdr>
    </w:div>
    <w:div w:id="73279492">
      <w:bodyDiv w:val="1"/>
      <w:marLeft w:val="0"/>
      <w:marRight w:val="0"/>
      <w:marTop w:val="0"/>
      <w:marBottom w:val="0"/>
      <w:divBdr>
        <w:top w:val="none" w:sz="0" w:space="0" w:color="auto"/>
        <w:left w:val="none" w:sz="0" w:space="0" w:color="auto"/>
        <w:bottom w:val="none" w:sz="0" w:space="0" w:color="auto"/>
        <w:right w:val="none" w:sz="0" w:space="0" w:color="auto"/>
      </w:divBdr>
    </w:div>
    <w:div w:id="74254284">
      <w:bodyDiv w:val="1"/>
      <w:marLeft w:val="0"/>
      <w:marRight w:val="0"/>
      <w:marTop w:val="0"/>
      <w:marBottom w:val="0"/>
      <w:divBdr>
        <w:top w:val="none" w:sz="0" w:space="0" w:color="auto"/>
        <w:left w:val="none" w:sz="0" w:space="0" w:color="auto"/>
        <w:bottom w:val="none" w:sz="0" w:space="0" w:color="auto"/>
        <w:right w:val="none" w:sz="0" w:space="0" w:color="auto"/>
      </w:divBdr>
    </w:div>
    <w:div w:id="74280638">
      <w:bodyDiv w:val="1"/>
      <w:marLeft w:val="0"/>
      <w:marRight w:val="0"/>
      <w:marTop w:val="0"/>
      <w:marBottom w:val="0"/>
      <w:divBdr>
        <w:top w:val="none" w:sz="0" w:space="0" w:color="auto"/>
        <w:left w:val="none" w:sz="0" w:space="0" w:color="auto"/>
        <w:bottom w:val="none" w:sz="0" w:space="0" w:color="auto"/>
        <w:right w:val="none" w:sz="0" w:space="0" w:color="auto"/>
      </w:divBdr>
    </w:div>
    <w:div w:id="78141133">
      <w:bodyDiv w:val="1"/>
      <w:marLeft w:val="0"/>
      <w:marRight w:val="0"/>
      <w:marTop w:val="0"/>
      <w:marBottom w:val="0"/>
      <w:divBdr>
        <w:top w:val="none" w:sz="0" w:space="0" w:color="auto"/>
        <w:left w:val="none" w:sz="0" w:space="0" w:color="auto"/>
        <w:bottom w:val="none" w:sz="0" w:space="0" w:color="auto"/>
        <w:right w:val="none" w:sz="0" w:space="0" w:color="auto"/>
      </w:divBdr>
    </w:div>
    <w:div w:id="78143174">
      <w:bodyDiv w:val="1"/>
      <w:marLeft w:val="0"/>
      <w:marRight w:val="0"/>
      <w:marTop w:val="0"/>
      <w:marBottom w:val="0"/>
      <w:divBdr>
        <w:top w:val="none" w:sz="0" w:space="0" w:color="auto"/>
        <w:left w:val="none" w:sz="0" w:space="0" w:color="auto"/>
        <w:bottom w:val="none" w:sz="0" w:space="0" w:color="auto"/>
        <w:right w:val="none" w:sz="0" w:space="0" w:color="auto"/>
      </w:divBdr>
    </w:div>
    <w:div w:id="83497711">
      <w:bodyDiv w:val="1"/>
      <w:marLeft w:val="0"/>
      <w:marRight w:val="0"/>
      <w:marTop w:val="0"/>
      <w:marBottom w:val="0"/>
      <w:divBdr>
        <w:top w:val="none" w:sz="0" w:space="0" w:color="auto"/>
        <w:left w:val="none" w:sz="0" w:space="0" w:color="auto"/>
        <w:bottom w:val="none" w:sz="0" w:space="0" w:color="auto"/>
        <w:right w:val="none" w:sz="0" w:space="0" w:color="auto"/>
      </w:divBdr>
    </w:div>
    <w:div w:id="86271895">
      <w:bodyDiv w:val="1"/>
      <w:marLeft w:val="0"/>
      <w:marRight w:val="0"/>
      <w:marTop w:val="0"/>
      <w:marBottom w:val="0"/>
      <w:divBdr>
        <w:top w:val="none" w:sz="0" w:space="0" w:color="auto"/>
        <w:left w:val="none" w:sz="0" w:space="0" w:color="auto"/>
        <w:bottom w:val="none" w:sz="0" w:space="0" w:color="auto"/>
        <w:right w:val="none" w:sz="0" w:space="0" w:color="auto"/>
      </w:divBdr>
    </w:div>
    <w:div w:id="87847649">
      <w:bodyDiv w:val="1"/>
      <w:marLeft w:val="0"/>
      <w:marRight w:val="0"/>
      <w:marTop w:val="0"/>
      <w:marBottom w:val="0"/>
      <w:divBdr>
        <w:top w:val="none" w:sz="0" w:space="0" w:color="auto"/>
        <w:left w:val="none" w:sz="0" w:space="0" w:color="auto"/>
        <w:bottom w:val="none" w:sz="0" w:space="0" w:color="auto"/>
        <w:right w:val="none" w:sz="0" w:space="0" w:color="auto"/>
      </w:divBdr>
    </w:div>
    <w:div w:id="91901644">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95370907">
      <w:bodyDiv w:val="1"/>
      <w:marLeft w:val="0"/>
      <w:marRight w:val="0"/>
      <w:marTop w:val="0"/>
      <w:marBottom w:val="0"/>
      <w:divBdr>
        <w:top w:val="none" w:sz="0" w:space="0" w:color="auto"/>
        <w:left w:val="none" w:sz="0" w:space="0" w:color="auto"/>
        <w:bottom w:val="none" w:sz="0" w:space="0" w:color="auto"/>
        <w:right w:val="none" w:sz="0" w:space="0" w:color="auto"/>
      </w:divBdr>
    </w:div>
    <w:div w:id="96216600">
      <w:bodyDiv w:val="1"/>
      <w:marLeft w:val="0"/>
      <w:marRight w:val="0"/>
      <w:marTop w:val="0"/>
      <w:marBottom w:val="0"/>
      <w:divBdr>
        <w:top w:val="none" w:sz="0" w:space="0" w:color="auto"/>
        <w:left w:val="none" w:sz="0" w:space="0" w:color="auto"/>
        <w:bottom w:val="none" w:sz="0" w:space="0" w:color="auto"/>
        <w:right w:val="none" w:sz="0" w:space="0" w:color="auto"/>
      </w:divBdr>
    </w:div>
    <w:div w:id="102119371">
      <w:bodyDiv w:val="1"/>
      <w:marLeft w:val="0"/>
      <w:marRight w:val="0"/>
      <w:marTop w:val="0"/>
      <w:marBottom w:val="0"/>
      <w:divBdr>
        <w:top w:val="none" w:sz="0" w:space="0" w:color="auto"/>
        <w:left w:val="none" w:sz="0" w:space="0" w:color="auto"/>
        <w:bottom w:val="none" w:sz="0" w:space="0" w:color="auto"/>
        <w:right w:val="none" w:sz="0" w:space="0" w:color="auto"/>
      </w:divBdr>
    </w:div>
    <w:div w:id="104859289">
      <w:bodyDiv w:val="1"/>
      <w:marLeft w:val="0"/>
      <w:marRight w:val="0"/>
      <w:marTop w:val="0"/>
      <w:marBottom w:val="0"/>
      <w:divBdr>
        <w:top w:val="none" w:sz="0" w:space="0" w:color="auto"/>
        <w:left w:val="none" w:sz="0" w:space="0" w:color="auto"/>
        <w:bottom w:val="none" w:sz="0" w:space="0" w:color="auto"/>
        <w:right w:val="none" w:sz="0" w:space="0" w:color="auto"/>
      </w:divBdr>
    </w:div>
    <w:div w:id="108210149">
      <w:bodyDiv w:val="1"/>
      <w:marLeft w:val="0"/>
      <w:marRight w:val="0"/>
      <w:marTop w:val="0"/>
      <w:marBottom w:val="0"/>
      <w:divBdr>
        <w:top w:val="none" w:sz="0" w:space="0" w:color="auto"/>
        <w:left w:val="none" w:sz="0" w:space="0" w:color="auto"/>
        <w:bottom w:val="none" w:sz="0" w:space="0" w:color="auto"/>
        <w:right w:val="none" w:sz="0" w:space="0" w:color="auto"/>
      </w:divBdr>
    </w:div>
    <w:div w:id="116459435">
      <w:bodyDiv w:val="1"/>
      <w:marLeft w:val="0"/>
      <w:marRight w:val="0"/>
      <w:marTop w:val="0"/>
      <w:marBottom w:val="0"/>
      <w:divBdr>
        <w:top w:val="none" w:sz="0" w:space="0" w:color="auto"/>
        <w:left w:val="none" w:sz="0" w:space="0" w:color="auto"/>
        <w:bottom w:val="none" w:sz="0" w:space="0" w:color="auto"/>
        <w:right w:val="none" w:sz="0" w:space="0" w:color="auto"/>
      </w:divBdr>
    </w:div>
    <w:div w:id="121578532">
      <w:bodyDiv w:val="1"/>
      <w:marLeft w:val="0"/>
      <w:marRight w:val="0"/>
      <w:marTop w:val="0"/>
      <w:marBottom w:val="0"/>
      <w:divBdr>
        <w:top w:val="none" w:sz="0" w:space="0" w:color="auto"/>
        <w:left w:val="none" w:sz="0" w:space="0" w:color="auto"/>
        <w:bottom w:val="none" w:sz="0" w:space="0" w:color="auto"/>
        <w:right w:val="none" w:sz="0" w:space="0" w:color="auto"/>
      </w:divBdr>
    </w:div>
    <w:div w:id="123541782">
      <w:bodyDiv w:val="1"/>
      <w:marLeft w:val="0"/>
      <w:marRight w:val="0"/>
      <w:marTop w:val="0"/>
      <w:marBottom w:val="0"/>
      <w:divBdr>
        <w:top w:val="none" w:sz="0" w:space="0" w:color="auto"/>
        <w:left w:val="none" w:sz="0" w:space="0" w:color="auto"/>
        <w:bottom w:val="none" w:sz="0" w:space="0" w:color="auto"/>
        <w:right w:val="none" w:sz="0" w:space="0" w:color="auto"/>
      </w:divBdr>
    </w:div>
    <w:div w:id="127213224">
      <w:bodyDiv w:val="1"/>
      <w:marLeft w:val="0"/>
      <w:marRight w:val="0"/>
      <w:marTop w:val="0"/>
      <w:marBottom w:val="0"/>
      <w:divBdr>
        <w:top w:val="none" w:sz="0" w:space="0" w:color="auto"/>
        <w:left w:val="none" w:sz="0" w:space="0" w:color="auto"/>
        <w:bottom w:val="none" w:sz="0" w:space="0" w:color="auto"/>
        <w:right w:val="none" w:sz="0" w:space="0" w:color="auto"/>
      </w:divBdr>
    </w:div>
    <w:div w:id="127403914">
      <w:bodyDiv w:val="1"/>
      <w:marLeft w:val="0"/>
      <w:marRight w:val="0"/>
      <w:marTop w:val="0"/>
      <w:marBottom w:val="0"/>
      <w:divBdr>
        <w:top w:val="none" w:sz="0" w:space="0" w:color="auto"/>
        <w:left w:val="none" w:sz="0" w:space="0" w:color="auto"/>
        <w:bottom w:val="none" w:sz="0" w:space="0" w:color="auto"/>
        <w:right w:val="none" w:sz="0" w:space="0" w:color="auto"/>
      </w:divBdr>
    </w:div>
    <w:div w:id="131095717">
      <w:bodyDiv w:val="1"/>
      <w:marLeft w:val="0"/>
      <w:marRight w:val="0"/>
      <w:marTop w:val="0"/>
      <w:marBottom w:val="0"/>
      <w:divBdr>
        <w:top w:val="none" w:sz="0" w:space="0" w:color="auto"/>
        <w:left w:val="none" w:sz="0" w:space="0" w:color="auto"/>
        <w:bottom w:val="none" w:sz="0" w:space="0" w:color="auto"/>
        <w:right w:val="none" w:sz="0" w:space="0" w:color="auto"/>
      </w:divBdr>
    </w:div>
    <w:div w:id="133067749">
      <w:bodyDiv w:val="1"/>
      <w:marLeft w:val="0"/>
      <w:marRight w:val="0"/>
      <w:marTop w:val="0"/>
      <w:marBottom w:val="0"/>
      <w:divBdr>
        <w:top w:val="none" w:sz="0" w:space="0" w:color="auto"/>
        <w:left w:val="none" w:sz="0" w:space="0" w:color="auto"/>
        <w:bottom w:val="none" w:sz="0" w:space="0" w:color="auto"/>
        <w:right w:val="none" w:sz="0" w:space="0" w:color="auto"/>
      </w:divBdr>
    </w:div>
    <w:div w:id="134763259">
      <w:bodyDiv w:val="1"/>
      <w:marLeft w:val="0"/>
      <w:marRight w:val="0"/>
      <w:marTop w:val="0"/>
      <w:marBottom w:val="0"/>
      <w:divBdr>
        <w:top w:val="none" w:sz="0" w:space="0" w:color="auto"/>
        <w:left w:val="none" w:sz="0" w:space="0" w:color="auto"/>
        <w:bottom w:val="none" w:sz="0" w:space="0" w:color="auto"/>
        <w:right w:val="none" w:sz="0" w:space="0" w:color="auto"/>
      </w:divBdr>
      <w:divsChild>
        <w:div w:id="170611104">
          <w:marLeft w:val="0"/>
          <w:marRight w:val="83"/>
          <w:marTop w:val="0"/>
          <w:marBottom w:val="0"/>
          <w:divBdr>
            <w:top w:val="none" w:sz="0" w:space="0" w:color="auto"/>
            <w:left w:val="none" w:sz="0" w:space="0" w:color="auto"/>
            <w:bottom w:val="none" w:sz="0" w:space="0" w:color="auto"/>
            <w:right w:val="none" w:sz="0" w:space="0" w:color="auto"/>
          </w:divBdr>
        </w:div>
        <w:div w:id="1727146921">
          <w:marLeft w:val="0"/>
          <w:marRight w:val="0"/>
          <w:marTop w:val="0"/>
          <w:marBottom w:val="0"/>
          <w:divBdr>
            <w:top w:val="none" w:sz="0" w:space="0" w:color="auto"/>
            <w:left w:val="none" w:sz="0" w:space="0" w:color="auto"/>
            <w:bottom w:val="none" w:sz="0" w:space="0" w:color="auto"/>
            <w:right w:val="none" w:sz="0" w:space="0" w:color="auto"/>
          </w:divBdr>
          <w:divsChild>
            <w:div w:id="1770270629">
              <w:marLeft w:val="0"/>
              <w:marRight w:val="0"/>
              <w:marTop w:val="0"/>
              <w:marBottom w:val="0"/>
              <w:divBdr>
                <w:top w:val="none" w:sz="0" w:space="0" w:color="auto"/>
                <w:left w:val="none" w:sz="0" w:space="0" w:color="auto"/>
                <w:bottom w:val="none" w:sz="0" w:space="0" w:color="auto"/>
                <w:right w:val="none" w:sz="0" w:space="0" w:color="auto"/>
              </w:divBdr>
              <w:divsChild>
                <w:div w:id="1938443985">
                  <w:marLeft w:val="0"/>
                  <w:marRight w:val="0"/>
                  <w:marTop w:val="0"/>
                  <w:marBottom w:val="0"/>
                  <w:divBdr>
                    <w:top w:val="none" w:sz="0" w:space="0" w:color="auto"/>
                    <w:left w:val="none" w:sz="0" w:space="0" w:color="auto"/>
                    <w:bottom w:val="none" w:sz="0" w:space="0" w:color="auto"/>
                    <w:right w:val="none" w:sz="0" w:space="0" w:color="auto"/>
                  </w:divBdr>
                  <w:divsChild>
                    <w:div w:id="187302444">
                      <w:marLeft w:val="0"/>
                      <w:marRight w:val="0"/>
                      <w:marTop w:val="0"/>
                      <w:marBottom w:val="0"/>
                      <w:divBdr>
                        <w:top w:val="none" w:sz="0" w:space="0" w:color="auto"/>
                        <w:left w:val="none" w:sz="0" w:space="0" w:color="auto"/>
                        <w:bottom w:val="none" w:sz="0" w:space="0" w:color="auto"/>
                        <w:right w:val="none" w:sz="0" w:space="0" w:color="auto"/>
                      </w:divBdr>
                    </w:div>
                    <w:div w:id="1297759539">
                      <w:marLeft w:val="0"/>
                      <w:marRight w:val="0"/>
                      <w:marTop w:val="0"/>
                      <w:marBottom w:val="0"/>
                      <w:divBdr>
                        <w:top w:val="none" w:sz="0" w:space="0" w:color="auto"/>
                        <w:left w:val="none" w:sz="0" w:space="0" w:color="auto"/>
                        <w:bottom w:val="none" w:sz="0" w:space="0" w:color="auto"/>
                        <w:right w:val="none" w:sz="0" w:space="0" w:color="auto"/>
                      </w:divBdr>
                    </w:div>
                  </w:divsChild>
                </w:div>
                <w:div w:id="1221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9101">
      <w:bodyDiv w:val="1"/>
      <w:marLeft w:val="0"/>
      <w:marRight w:val="0"/>
      <w:marTop w:val="0"/>
      <w:marBottom w:val="0"/>
      <w:divBdr>
        <w:top w:val="none" w:sz="0" w:space="0" w:color="auto"/>
        <w:left w:val="none" w:sz="0" w:space="0" w:color="auto"/>
        <w:bottom w:val="none" w:sz="0" w:space="0" w:color="auto"/>
        <w:right w:val="none" w:sz="0" w:space="0" w:color="auto"/>
      </w:divBdr>
    </w:div>
    <w:div w:id="137772914">
      <w:bodyDiv w:val="1"/>
      <w:marLeft w:val="0"/>
      <w:marRight w:val="0"/>
      <w:marTop w:val="0"/>
      <w:marBottom w:val="0"/>
      <w:divBdr>
        <w:top w:val="none" w:sz="0" w:space="0" w:color="auto"/>
        <w:left w:val="none" w:sz="0" w:space="0" w:color="auto"/>
        <w:bottom w:val="none" w:sz="0" w:space="0" w:color="auto"/>
        <w:right w:val="none" w:sz="0" w:space="0" w:color="auto"/>
      </w:divBdr>
    </w:div>
    <w:div w:id="142477579">
      <w:bodyDiv w:val="1"/>
      <w:marLeft w:val="0"/>
      <w:marRight w:val="0"/>
      <w:marTop w:val="0"/>
      <w:marBottom w:val="0"/>
      <w:divBdr>
        <w:top w:val="none" w:sz="0" w:space="0" w:color="auto"/>
        <w:left w:val="none" w:sz="0" w:space="0" w:color="auto"/>
        <w:bottom w:val="none" w:sz="0" w:space="0" w:color="auto"/>
        <w:right w:val="none" w:sz="0" w:space="0" w:color="auto"/>
      </w:divBdr>
    </w:div>
    <w:div w:id="142619773">
      <w:bodyDiv w:val="1"/>
      <w:marLeft w:val="0"/>
      <w:marRight w:val="0"/>
      <w:marTop w:val="0"/>
      <w:marBottom w:val="0"/>
      <w:divBdr>
        <w:top w:val="none" w:sz="0" w:space="0" w:color="auto"/>
        <w:left w:val="none" w:sz="0" w:space="0" w:color="auto"/>
        <w:bottom w:val="none" w:sz="0" w:space="0" w:color="auto"/>
        <w:right w:val="none" w:sz="0" w:space="0" w:color="auto"/>
      </w:divBdr>
    </w:div>
    <w:div w:id="145169973">
      <w:bodyDiv w:val="1"/>
      <w:marLeft w:val="0"/>
      <w:marRight w:val="0"/>
      <w:marTop w:val="0"/>
      <w:marBottom w:val="0"/>
      <w:divBdr>
        <w:top w:val="none" w:sz="0" w:space="0" w:color="auto"/>
        <w:left w:val="none" w:sz="0" w:space="0" w:color="auto"/>
        <w:bottom w:val="none" w:sz="0" w:space="0" w:color="auto"/>
        <w:right w:val="none" w:sz="0" w:space="0" w:color="auto"/>
      </w:divBdr>
    </w:div>
    <w:div w:id="145899346">
      <w:bodyDiv w:val="1"/>
      <w:marLeft w:val="0"/>
      <w:marRight w:val="0"/>
      <w:marTop w:val="0"/>
      <w:marBottom w:val="0"/>
      <w:divBdr>
        <w:top w:val="none" w:sz="0" w:space="0" w:color="auto"/>
        <w:left w:val="none" w:sz="0" w:space="0" w:color="auto"/>
        <w:bottom w:val="none" w:sz="0" w:space="0" w:color="auto"/>
        <w:right w:val="none" w:sz="0" w:space="0" w:color="auto"/>
      </w:divBdr>
    </w:div>
    <w:div w:id="146362950">
      <w:bodyDiv w:val="1"/>
      <w:marLeft w:val="0"/>
      <w:marRight w:val="0"/>
      <w:marTop w:val="0"/>
      <w:marBottom w:val="0"/>
      <w:divBdr>
        <w:top w:val="none" w:sz="0" w:space="0" w:color="auto"/>
        <w:left w:val="none" w:sz="0" w:space="0" w:color="auto"/>
        <w:bottom w:val="none" w:sz="0" w:space="0" w:color="auto"/>
        <w:right w:val="none" w:sz="0" w:space="0" w:color="auto"/>
      </w:divBdr>
    </w:div>
    <w:div w:id="152071680">
      <w:bodyDiv w:val="1"/>
      <w:marLeft w:val="0"/>
      <w:marRight w:val="0"/>
      <w:marTop w:val="0"/>
      <w:marBottom w:val="0"/>
      <w:divBdr>
        <w:top w:val="none" w:sz="0" w:space="0" w:color="auto"/>
        <w:left w:val="none" w:sz="0" w:space="0" w:color="auto"/>
        <w:bottom w:val="none" w:sz="0" w:space="0" w:color="auto"/>
        <w:right w:val="none" w:sz="0" w:space="0" w:color="auto"/>
      </w:divBdr>
    </w:div>
    <w:div w:id="153306833">
      <w:bodyDiv w:val="1"/>
      <w:marLeft w:val="0"/>
      <w:marRight w:val="0"/>
      <w:marTop w:val="0"/>
      <w:marBottom w:val="0"/>
      <w:divBdr>
        <w:top w:val="none" w:sz="0" w:space="0" w:color="auto"/>
        <w:left w:val="none" w:sz="0" w:space="0" w:color="auto"/>
        <w:bottom w:val="none" w:sz="0" w:space="0" w:color="auto"/>
        <w:right w:val="none" w:sz="0" w:space="0" w:color="auto"/>
      </w:divBdr>
    </w:div>
    <w:div w:id="159851390">
      <w:bodyDiv w:val="1"/>
      <w:marLeft w:val="0"/>
      <w:marRight w:val="0"/>
      <w:marTop w:val="0"/>
      <w:marBottom w:val="0"/>
      <w:divBdr>
        <w:top w:val="none" w:sz="0" w:space="0" w:color="auto"/>
        <w:left w:val="none" w:sz="0" w:space="0" w:color="auto"/>
        <w:bottom w:val="none" w:sz="0" w:space="0" w:color="auto"/>
        <w:right w:val="none" w:sz="0" w:space="0" w:color="auto"/>
      </w:divBdr>
    </w:div>
    <w:div w:id="160778333">
      <w:bodyDiv w:val="1"/>
      <w:marLeft w:val="0"/>
      <w:marRight w:val="0"/>
      <w:marTop w:val="0"/>
      <w:marBottom w:val="0"/>
      <w:divBdr>
        <w:top w:val="none" w:sz="0" w:space="0" w:color="auto"/>
        <w:left w:val="none" w:sz="0" w:space="0" w:color="auto"/>
        <w:bottom w:val="none" w:sz="0" w:space="0" w:color="auto"/>
        <w:right w:val="none" w:sz="0" w:space="0" w:color="auto"/>
      </w:divBdr>
    </w:div>
    <w:div w:id="163521453">
      <w:bodyDiv w:val="1"/>
      <w:marLeft w:val="0"/>
      <w:marRight w:val="0"/>
      <w:marTop w:val="0"/>
      <w:marBottom w:val="0"/>
      <w:divBdr>
        <w:top w:val="none" w:sz="0" w:space="0" w:color="auto"/>
        <w:left w:val="none" w:sz="0" w:space="0" w:color="auto"/>
        <w:bottom w:val="none" w:sz="0" w:space="0" w:color="auto"/>
        <w:right w:val="none" w:sz="0" w:space="0" w:color="auto"/>
      </w:divBdr>
    </w:div>
    <w:div w:id="166291667">
      <w:bodyDiv w:val="1"/>
      <w:marLeft w:val="0"/>
      <w:marRight w:val="0"/>
      <w:marTop w:val="0"/>
      <w:marBottom w:val="0"/>
      <w:divBdr>
        <w:top w:val="none" w:sz="0" w:space="0" w:color="auto"/>
        <w:left w:val="none" w:sz="0" w:space="0" w:color="auto"/>
        <w:bottom w:val="none" w:sz="0" w:space="0" w:color="auto"/>
        <w:right w:val="none" w:sz="0" w:space="0" w:color="auto"/>
      </w:divBdr>
    </w:div>
    <w:div w:id="173305058">
      <w:bodyDiv w:val="1"/>
      <w:marLeft w:val="0"/>
      <w:marRight w:val="0"/>
      <w:marTop w:val="0"/>
      <w:marBottom w:val="0"/>
      <w:divBdr>
        <w:top w:val="none" w:sz="0" w:space="0" w:color="auto"/>
        <w:left w:val="none" w:sz="0" w:space="0" w:color="auto"/>
        <w:bottom w:val="none" w:sz="0" w:space="0" w:color="auto"/>
        <w:right w:val="none" w:sz="0" w:space="0" w:color="auto"/>
      </w:divBdr>
    </w:div>
    <w:div w:id="179665496">
      <w:bodyDiv w:val="1"/>
      <w:marLeft w:val="0"/>
      <w:marRight w:val="0"/>
      <w:marTop w:val="0"/>
      <w:marBottom w:val="0"/>
      <w:divBdr>
        <w:top w:val="none" w:sz="0" w:space="0" w:color="auto"/>
        <w:left w:val="none" w:sz="0" w:space="0" w:color="auto"/>
        <w:bottom w:val="none" w:sz="0" w:space="0" w:color="auto"/>
        <w:right w:val="none" w:sz="0" w:space="0" w:color="auto"/>
      </w:divBdr>
    </w:div>
    <w:div w:id="184055054">
      <w:bodyDiv w:val="1"/>
      <w:marLeft w:val="0"/>
      <w:marRight w:val="0"/>
      <w:marTop w:val="0"/>
      <w:marBottom w:val="0"/>
      <w:divBdr>
        <w:top w:val="none" w:sz="0" w:space="0" w:color="auto"/>
        <w:left w:val="none" w:sz="0" w:space="0" w:color="auto"/>
        <w:bottom w:val="none" w:sz="0" w:space="0" w:color="auto"/>
        <w:right w:val="none" w:sz="0" w:space="0" w:color="auto"/>
      </w:divBdr>
    </w:div>
    <w:div w:id="185217778">
      <w:bodyDiv w:val="1"/>
      <w:marLeft w:val="0"/>
      <w:marRight w:val="0"/>
      <w:marTop w:val="0"/>
      <w:marBottom w:val="0"/>
      <w:divBdr>
        <w:top w:val="none" w:sz="0" w:space="0" w:color="auto"/>
        <w:left w:val="none" w:sz="0" w:space="0" w:color="auto"/>
        <w:bottom w:val="none" w:sz="0" w:space="0" w:color="auto"/>
        <w:right w:val="none" w:sz="0" w:space="0" w:color="auto"/>
      </w:divBdr>
    </w:div>
    <w:div w:id="188374425">
      <w:bodyDiv w:val="1"/>
      <w:marLeft w:val="0"/>
      <w:marRight w:val="0"/>
      <w:marTop w:val="0"/>
      <w:marBottom w:val="0"/>
      <w:divBdr>
        <w:top w:val="none" w:sz="0" w:space="0" w:color="auto"/>
        <w:left w:val="none" w:sz="0" w:space="0" w:color="auto"/>
        <w:bottom w:val="none" w:sz="0" w:space="0" w:color="auto"/>
        <w:right w:val="none" w:sz="0" w:space="0" w:color="auto"/>
      </w:divBdr>
    </w:div>
    <w:div w:id="189295252">
      <w:bodyDiv w:val="1"/>
      <w:marLeft w:val="0"/>
      <w:marRight w:val="0"/>
      <w:marTop w:val="0"/>
      <w:marBottom w:val="0"/>
      <w:divBdr>
        <w:top w:val="none" w:sz="0" w:space="0" w:color="auto"/>
        <w:left w:val="none" w:sz="0" w:space="0" w:color="auto"/>
        <w:bottom w:val="none" w:sz="0" w:space="0" w:color="auto"/>
        <w:right w:val="none" w:sz="0" w:space="0" w:color="auto"/>
      </w:divBdr>
    </w:div>
    <w:div w:id="191503146">
      <w:bodyDiv w:val="1"/>
      <w:marLeft w:val="0"/>
      <w:marRight w:val="0"/>
      <w:marTop w:val="0"/>
      <w:marBottom w:val="0"/>
      <w:divBdr>
        <w:top w:val="none" w:sz="0" w:space="0" w:color="auto"/>
        <w:left w:val="none" w:sz="0" w:space="0" w:color="auto"/>
        <w:bottom w:val="none" w:sz="0" w:space="0" w:color="auto"/>
        <w:right w:val="none" w:sz="0" w:space="0" w:color="auto"/>
      </w:divBdr>
    </w:div>
    <w:div w:id="193346049">
      <w:bodyDiv w:val="1"/>
      <w:marLeft w:val="0"/>
      <w:marRight w:val="0"/>
      <w:marTop w:val="0"/>
      <w:marBottom w:val="0"/>
      <w:divBdr>
        <w:top w:val="none" w:sz="0" w:space="0" w:color="auto"/>
        <w:left w:val="none" w:sz="0" w:space="0" w:color="auto"/>
        <w:bottom w:val="none" w:sz="0" w:space="0" w:color="auto"/>
        <w:right w:val="none" w:sz="0" w:space="0" w:color="auto"/>
      </w:divBdr>
    </w:div>
    <w:div w:id="193882987">
      <w:bodyDiv w:val="1"/>
      <w:marLeft w:val="0"/>
      <w:marRight w:val="0"/>
      <w:marTop w:val="0"/>
      <w:marBottom w:val="0"/>
      <w:divBdr>
        <w:top w:val="none" w:sz="0" w:space="0" w:color="auto"/>
        <w:left w:val="none" w:sz="0" w:space="0" w:color="auto"/>
        <w:bottom w:val="none" w:sz="0" w:space="0" w:color="auto"/>
        <w:right w:val="none" w:sz="0" w:space="0" w:color="auto"/>
      </w:divBdr>
      <w:divsChild>
        <w:div w:id="1632318501">
          <w:marLeft w:val="0"/>
          <w:marRight w:val="0"/>
          <w:marTop w:val="0"/>
          <w:marBottom w:val="0"/>
          <w:divBdr>
            <w:top w:val="none" w:sz="0" w:space="0" w:color="auto"/>
            <w:left w:val="none" w:sz="0" w:space="0" w:color="auto"/>
            <w:bottom w:val="none" w:sz="0" w:space="0" w:color="auto"/>
            <w:right w:val="none" w:sz="0" w:space="0" w:color="auto"/>
          </w:divBdr>
        </w:div>
      </w:divsChild>
    </w:div>
    <w:div w:id="199828448">
      <w:bodyDiv w:val="1"/>
      <w:marLeft w:val="0"/>
      <w:marRight w:val="0"/>
      <w:marTop w:val="0"/>
      <w:marBottom w:val="0"/>
      <w:divBdr>
        <w:top w:val="none" w:sz="0" w:space="0" w:color="auto"/>
        <w:left w:val="none" w:sz="0" w:space="0" w:color="auto"/>
        <w:bottom w:val="none" w:sz="0" w:space="0" w:color="auto"/>
        <w:right w:val="none" w:sz="0" w:space="0" w:color="auto"/>
      </w:divBdr>
    </w:div>
    <w:div w:id="201405758">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17472511">
      <w:bodyDiv w:val="1"/>
      <w:marLeft w:val="0"/>
      <w:marRight w:val="0"/>
      <w:marTop w:val="0"/>
      <w:marBottom w:val="0"/>
      <w:divBdr>
        <w:top w:val="none" w:sz="0" w:space="0" w:color="auto"/>
        <w:left w:val="none" w:sz="0" w:space="0" w:color="auto"/>
        <w:bottom w:val="none" w:sz="0" w:space="0" w:color="auto"/>
        <w:right w:val="none" w:sz="0" w:space="0" w:color="auto"/>
      </w:divBdr>
    </w:div>
    <w:div w:id="220485982">
      <w:bodyDiv w:val="1"/>
      <w:marLeft w:val="0"/>
      <w:marRight w:val="0"/>
      <w:marTop w:val="0"/>
      <w:marBottom w:val="0"/>
      <w:divBdr>
        <w:top w:val="none" w:sz="0" w:space="0" w:color="auto"/>
        <w:left w:val="none" w:sz="0" w:space="0" w:color="auto"/>
        <w:bottom w:val="none" w:sz="0" w:space="0" w:color="auto"/>
        <w:right w:val="none" w:sz="0" w:space="0" w:color="auto"/>
      </w:divBdr>
    </w:div>
    <w:div w:id="220792788">
      <w:bodyDiv w:val="1"/>
      <w:marLeft w:val="0"/>
      <w:marRight w:val="0"/>
      <w:marTop w:val="0"/>
      <w:marBottom w:val="0"/>
      <w:divBdr>
        <w:top w:val="none" w:sz="0" w:space="0" w:color="auto"/>
        <w:left w:val="none" w:sz="0" w:space="0" w:color="auto"/>
        <w:bottom w:val="none" w:sz="0" w:space="0" w:color="auto"/>
        <w:right w:val="none" w:sz="0" w:space="0" w:color="auto"/>
      </w:divBdr>
    </w:div>
    <w:div w:id="224611064">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231815199">
      <w:bodyDiv w:val="1"/>
      <w:marLeft w:val="0"/>
      <w:marRight w:val="0"/>
      <w:marTop w:val="0"/>
      <w:marBottom w:val="0"/>
      <w:divBdr>
        <w:top w:val="none" w:sz="0" w:space="0" w:color="auto"/>
        <w:left w:val="none" w:sz="0" w:space="0" w:color="auto"/>
        <w:bottom w:val="none" w:sz="0" w:space="0" w:color="auto"/>
        <w:right w:val="none" w:sz="0" w:space="0" w:color="auto"/>
      </w:divBdr>
    </w:div>
    <w:div w:id="233441735">
      <w:bodyDiv w:val="1"/>
      <w:marLeft w:val="0"/>
      <w:marRight w:val="0"/>
      <w:marTop w:val="0"/>
      <w:marBottom w:val="0"/>
      <w:divBdr>
        <w:top w:val="none" w:sz="0" w:space="0" w:color="auto"/>
        <w:left w:val="none" w:sz="0" w:space="0" w:color="auto"/>
        <w:bottom w:val="none" w:sz="0" w:space="0" w:color="auto"/>
        <w:right w:val="none" w:sz="0" w:space="0" w:color="auto"/>
      </w:divBdr>
    </w:div>
    <w:div w:id="235017036">
      <w:bodyDiv w:val="1"/>
      <w:marLeft w:val="0"/>
      <w:marRight w:val="0"/>
      <w:marTop w:val="0"/>
      <w:marBottom w:val="0"/>
      <w:divBdr>
        <w:top w:val="none" w:sz="0" w:space="0" w:color="auto"/>
        <w:left w:val="none" w:sz="0" w:space="0" w:color="auto"/>
        <w:bottom w:val="none" w:sz="0" w:space="0" w:color="auto"/>
        <w:right w:val="none" w:sz="0" w:space="0" w:color="auto"/>
      </w:divBdr>
    </w:div>
    <w:div w:id="235864833">
      <w:bodyDiv w:val="1"/>
      <w:marLeft w:val="0"/>
      <w:marRight w:val="0"/>
      <w:marTop w:val="0"/>
      <w:marBottom w:val="0"/>
      <w:divBdr>
        <w:top w:val="none" w:sz="0" w:space="0" w:color="auto"/>
        <w:left w:val="none" w:sz="0" w:space="0" w:color="auto"/>
        <w:bottom w:val="none" w:sz="0" w:space="0" w:color="auto"/>
        <w:right w:val="none" w:sz="0" w:space="0" w:color="auto"/>
      </w:divBdr>
    </w:div>
    <w:div w:id="238373744">
      <w:bodyDiv w:val="1"/>
      <w:marLeft w:val="0"/>
      <w:marRight w:val="0"/>
      <w:marTop w:val="0"/>
      <w:marBottom w:val="0"/>
      <w:divBdr>
        <w:top w:val="none" w:sz="0" w:space="0" w:color="auto"/>
        <w:left w:val="none" w:sz="0" w:space="0" w:color="auto"/>
        <w:bottom w:val="none" w:sz="0" w:space="0" w:color="auto"/>
        <w:right w:val="none" w:sz="0" w:space="0" w:color="auto"/>
      </w:divBdr>
    </w:div>
    <w:div w:id="244808016">
      <w:bodyDiv w:val="1"/>
      <w:marLeft w:val="0"/>
      <w:marRight w:val="0"/>
      <w:marTop w:val="0"/>
      <w:marBottom w:val="0"/>
      <w:divBdr>
        <w:top w:val="none" w:sz="0" w:space="0" w:color="auto"/>
        <w:left w:val="none" w:sz="0" w:space="0" w:color="auto"/>
        <w:bottom w:val="none" w:sz="0" w:space="0" w:color="auto"/>
        <w:right w:val="none" w:sz="0" w:space="0" w:color="auto"/>
      </w:divBdr>
      <w:divsChild>
        <w:div w:id="1942032327">
          <w:marLeft w:val="0"/>
          <w:marRight w:val="0"/>
          <w:marTop w:val="0"/>
          <w:marBottom w:val="0"/>
          <w:divBdr>
            <w:top w:val="none" w:sz="0" w:space="0" w:color="auto"/>
            <w:left w:val="none" w:sz="0" w:space="0" w:color="auto"/>
            <w:bottom w:val="none" w:sz="0" w:space="0" w:color="auto"/>
            <w:right w:val="none" w:sz="0" w:space="0" w:color="auto"/>
          </w:divBdr>
        </w:div>
        <w:div w:id="1518231279">
          <w:marLeft w:val="0"/>
          <w:marRight w:val="0"/>
          <w:marTop w:val="0"/>
          <w:marBottom w:val="0"/>
          <w:divBdr>
            <w:top w:val="none" w:sz="0" w:space="0" w:color="auto"/>
            <w:left w:val="none" w:sz="0" w:space="0" w:color="auto"/>
            <w:bottom w:val="none" w:sz="0" w:space="0" w:color="auto"/>
            <w:right w:val="none" w:sz="0" w:space="0" w:color="auto"/>
          </w:divBdr>
          <w:divsChild>
            <w:div w:id="287704891">
              <w:marLeft w:val="0"/>
              <w:marRight w:val="0"/>
              <w:marTop w:val="0"/>
              <w:marBottom w:val="0"/>
              <w:divBdr>
                <w:top w:val="none" w:sz="0" w:space="0" w:color="auto"/>
                <w:left w:val="none" w:sz="0" w:space="0" w:color="auto"/>
                <w:bottom w:val="none" w:sz="0" w:space="0" w:color="auto"/>
                <w:right w:val="none" w:sz="0" w:space="0" w:color="auto"/>
              </w:divBdr>
              <w:divsChild>
                <w:div w:id="16266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3735">
      <w:bodyDiv w:val="1"/>
      <w:marLeft w:val="0"/>
      <w:marRight w:val="0"/>
      <w:marTop w:val="0"/>
      <w:marBottom w:val="0"/>
      <w:divBdr>
        <w:top w:val="none" w:sz="0" w:space="0" w:color="auto"/>
        <w:left w:val="none" w:sz="0" w:space="0" w:color="auto"/>
        <w:bottom w:val="none" w:sz="0" w:space="0" w:color="auto"/>
        <w:right w:val="none" w:sz="0" w:space="0" w:color="auto"/>
      </w:divBdr>
    </w:div>
    <w:div w:id="266618758">
      <w:bodyDiv w:val="1"/>
      <w:marLeft w:val="0"/>
      <w:marRight w:val="0"/>
      <w:marTop w:val="0"/>
      <w:marBottom w:val="0"/>
      <w:divBdr>
        <w:top w:val="none" w:sz="0" w:space="0" w:color="auto"/>
        <w:left w:val="none" w:sz="0" w:space="0" w:color="auto"/>
        <w:bottom w:val="none" w:sz="0" w:space="0" w:color="auto"/>
        <w:right w:val="none" w:sz="0" w:space="0" w:color="auto"/>
      </w:divBdr>
    </w:div>
    <w:div w:id="271980141">
      <w:bodyDiv w:val="1"/>
      <w:marLeft w:val="0"/>
      <w:marRight w:val="0"/>
      <w:marTop w:val="0"/>
      <w:marBottom w:val="0"/>
      <w:divBdr>
        <w:top w:val="none" w:sz="0" w:space="0" w:color="auto"/>
        <w:left w:val="none" w:sz="0" w:space="0" w:color="auto"/>
        <w:bottom w:val="none" w:sz="0" w:space="0" w:color="auto"/>
        <w:right w:val="none" w:sz="0" w:space="0" w:color="auto"/>
      </w:divBdr>
    </w:div>
    <w:div w:id="274681859">
      <w:bodyDiv w:val="1"/>
      <w:marLeft w:val="0"/>
      <w:marRight w:val="0"/>
      <w:marTop w:val="0"/>
      <w:marBottom w:val="0"/>
      <w:divBdr>
        <w:top w:val="none" w:sz="0" w:space="0" w:color="auto"/>
        <w:left w:val="none" w:sz="0" w:space="0" w:color="auto"/>
        <w:bottom w:val="none" w:sz="0" w:space="0" w:color="auto"/>
        <w:right w:val="none" w:sz="0" w:space="0" w:color="auto"/>
      </w:divBdr>
    </w:div>
    <w:div w:id="284044050">
      <w:bodyDiv w:val="1"/>
      <w:marLeft w:val="0"/>
      <w:marRight w:val="0"/>
      <w:marTop w:val="0"/>
      <w:marBottom w:val="0"/>
      <w:divBdr>
        <w:top w:val="none" w:sz="0" w:space="0" w:color="auto"/>
        <w:left w:val="none" w:sz="0" w:space="0" w:color="auto"/>
        <w:bottom w:val="none" w:sz="0" w:space="0" w:color="auto"/>
        <w:right w:val="none" w:sz="0" w:space="0" w:color="auto"/>
      </w:divBdr>
    </w:div>
    <w:div w:id="287703869">
      <w:bodyDiv w:val="1"/>
      <w:marLeft w:val="0"/>
      <w:marRight w:val="0"/>
      <w:marTop w:val="0"/>
      <w:marBottom w:val="0"/>
      <w:divBdr>
        <w:top w:val="none" w:sz="0" w:space="0" w:color="auto"/>
        <w:left w:val="none" w:sz="0" w:space="0" w:color="auto"/>
        <w:bottom w:val="none" w:sz="0" w:space="0" w:color="auto"/>
        <w:right w:val="none" w:sz="0" w:space="0" w:color="auto"/>
      </w:divBdr>
    </w:div>
    <w:div w:id="289629793">
      <w:bodyDiv w:val="1"/>
      <w:marLeft w:val="0"/>
      <w:marRight w:val="0"/>
      <w:marTop w:val="0"/>
      <w:marBottom w:val="0"/>
      <w:divBdr>
        <w:top w:val="none" w:sz="0" w:space="0" w:color="auto"/>
        <w:left w:val="none" w:sz="0" w:space="0" w:color="auto"/>
        <w:bottom w:val="none" w:sz="0" w:space="0" w:color="auto"/>
        <w:right w:val="none" w:sz="0" w:space="0" w:color="auto"/>
      </w:divBdr>
      <w:divsChild>
        <w:div w:id="969170244">
          <w:marLeft w:val="0"/>
          <w:marRight w:val="0"/>
          <w:marTop w:val="0"/>
          <w:marBottom w:val="0"/>
          <w:divBdr>
            <w:top w:val="none" w:sz="0" w:space="0" w:color="auto"/>
            <w:left w:val="none" w:sz="0" w:space="0" w:color="auto"/>
            <w:bottom w:val="none" w:sz="0" w:space="0" w:color="auto"/>
            <w:right w:val="none" w:sz="0" w:space="0" w:color="auto"/>
          </w:divBdr>
        </w:div>
        <w:div w:id="1121610744">
          <w:marLeft w:val="0"/>
          <w:marRight w:val="0"/>
          <w:marTop w:val="0"/>
          <w:marBottom w:val="0"/>
          <w:divBdr>
            <w:top w:val="none" w:sz="0" w:space="0" w:color="auto"/>
            <w:left w:val="none" w:sz="0" w:space="0" w:color="auto"/>
            <w:bottom w:val="none" w:sz="0" w:space="0" w:color="auto"/>
            <w:right w:val="none" w:sz="0" w:space="0" w:color="auto"/>
          </w:divBdr>
        </w:div>
        <w:div w:id="1479030387">
          <w:marLeft w:val="0"/>
          <w:marRight w:val="0"/>
          <w:marTop w:val="0"/>
          <w:marBottom w:val="0"/>
          <w:divBdr>
            <w:top w:val="none" w:sz="0" w:space="0" w:color="auto"/>
            <w:left w:val="none" w:sz="0" w:space="0" w:color="auto"/>
            <w:bottom w:val="none" w:sz="0" w:space="0" w:color="auto"/>
            <w:right w:val="none" w:sz="0" w:space="0" w:color="auto"/>
          </w:divBdr>
        </w:div>
        <w:div w:id="1881163479">
          <w:marLeft w:val="0"/>
          <w:marRight w:val="0"/>
          <w:marTop w:val="0"/>
          <w:marBottom w:val="0"/>
          <w:divBdr>
            <w:top w:val="none" w:sz="0" w:space="0" w:color="auto"/>
            <w:left w:val="none" w:sz="0" w:space="0" w:color="auto"/>
            <w:bottom w:val="none" w:sz="0" w:space="0" w:color="auto"/>
            <w:right w:val="none" w:sz="0" w:space="0" w:color="auto"/>
          </w:divBdr>
        </w:div>
      </w:divsChild>
    </w:div>
    <w:div w:id="292558560">
      <w:bodyDiv w:val="1"/>
      <w:marLeft w:val="0"/>
      <w:marRight w:val="0"/>
      <w:marTop w:val="0"/>
      <w:marBottom w:val="0"/>
      <w:divBdr>
        <w:top w:val="none" w:sz="0" w:space="0" w:color="auto"/>
        <w:left w:val="none" w:sz="0" w:space="0" w:color="auto"/>
        <w:bottom w:val="none" w:sz="0" w:space="0" w:color="auto"/>
        <w:right w:val="none" w:sz="0" w:space="0" w:color="auto"/>
      </w:divBdr>
      <w:divsChild>
        <w:div w:id="1014504050">
          <w:marLeft w:val="0"/>
          <w:marRight w:val="0"/>
          <w:marTop w:val="15"/>
          <w:marBottom w:val="0"/>
          <w:divBdr>
            <w:top w:val="none" w:sz="0" w:space="0" w:color="auto"/>
            <w:left w:val="none" w:sz="0" w:space="0" w:color="auto"/>
            <w:bottom w:val="none" w:sz="0" w:space="0" w:color="auto"/>
            <w:right w:val="none" w:sz="0" w:space="0" w:color="auto"/>
          </w:divBdr>
          <w:divsChild>
            <w:div w:id="832337499">
              <w:marLeft w:val="0"/>
              <w:marRight w:val="0"/>
              <w:marTop w:val="0"/>
              <w:marBottom w:val="0"/>
              <w:divBdr>
                <w:top w:val="none" w:sz="0" w:space="0" w:color="auto"/>
                <w:left w:val="none" w:sz="0" w:space="0" w:color="auto"/>
                <w:bottom w:val="none" w:sz="0" w:space="0" w:color="auto"/>
                <w:right w:val="none" w:sz="0" w:space="0" w:color="auto"/>
              </w:divBdr>
              <w:divsChild>
                <w:div w:id="142934389">
                  <w:marLeft w:val="0"/>
                  <w:marRight w:val="0"/>
                  <w:marTop w:val="0"/>
                  <w:marBottom w:val="0"/>
                  <w:divBdr>
                    <w:top w:val="none" w:sz="0" w:space="0" w:color="auto"/>
                    <w:left w:val="none" w:sz="0" w:space="0" w:color="auto"/>
                    <w:bottom w:val="none" w:sz="0" w:space="0" w:color="auto"/>
                    <w:right w:val="none" w:sz="0" w:space="0" w:color="auto"/>
                  </w:divBdr>
                </w:div>
                <w:div w:id="1651442000">
                  <w:marLeft w:val="0"/>
                  <w:marRight w:val="0"/>
                  <w:marTop w:val="0"/>
                  <w:marBottom w:val="0"/>
                  <w:divBdr>
                    <w:top w:val="none" w:sz="0" w:space="0" w:color="auto"/>
                    <w:left w:val="none" w:sz="0" w:space="0" w:color="auto"/>
                    <w:bottom w:val="none" w:sz="0" w:space="0" w:color="auto"/>
                    <w:right w:val="none" w:sz="0" w:space="0" w:color="auto"/>
                  </w:divBdr>
                </w:div>
                <w:div w:id="1965385126">
                  <w:marLeft w:val="0"/>
                  <w:marRight w:val="0"/>
                  <w:marTop w:val="0"/>
                  <w:marBottom w:val="0"/>
                  <w:divBdr>
                    <w:top w:val="none" w:sz="0" w:space="0" w:color="auto"/>
                    <w:left w:val="none" w:sz="0" w:space="0" w:color="auto"/>
                    <w:bottom w:val="none" w:sz="0" w:space="0" w:color="auto"/>
                    <w:right w:val="none" w:sz="0" w:space="0" w:color="auto"/>
                  </w:divBdr>
                </w:div>
                <w:div w:id="1232228302">
                  <w:marLeft w:val="0"/>
                  <w:marRight w:val="0"/>
                  <w:marTop w:val="0"/>
                  <w:marBottom w:val="0"/>
                  <w:divBdr>
                    <w:top w:val="none" w:sz="0" w:space="0" w:color="auto"/>
                    <w:left w:val="none" w:sz="0" w:space="0" w:color="auto"/>
                    <w:bottom w:val="none" w:sz="0" w:space="0" w:color="auto"/>
                    <w:right w:val="none" w:sz="0" w:space="0" w:color="auto"/>
                  </w:divBdr>
                </w:div>
                <w:div w:id="8757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4049">
          <w:marLeft w:val="0"/>
          <w:marRight w:val="0"/>
          <w:marTop w:val="15"/>
          <w:marBottom w:val="0"/>
          <w:divBdr>
            <w:top w:val="none" w:sz="0" w:space="0" w:color="auto"/>
            <w:left w:val="none" w:sz="0" w:space="0" w:color="auto"/>
            <w:bottom w:val="none" w:sz="0" w:space="0" w:color="auto"/>
            <w:right w:val="none" w:sz="0" w:space="0" w:color="auto"/>
          </w:divBdr>
          <w:divsChild>
            <w:div w:id="214036881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51">
      <w:bodyDiv w:val="1"/>
      <w:marLeft w:val="0"/>
      <w:marRight w:val="0"/>
      <w:marTop w:val="0"/>
      <w:marBottom w:val="0"/>
      <w:divBdr>
        <w:top w:val="none" w:sz="0" w:space="0" w:color="auto"/>
        <w:left w:val="none" w:sz="0" w:space="0" w:color="auto"/>
        <w:bottom w:val="none" w:sz="0" w:space="0" w:color="auto"/>
        <w:right w:val="none" w:sz="0" w:space="0" w:color="auto"/>
      </w:divBdr>
      <w:divsChild>
        <w:div w:id="1660690898">
          <w:marLeft w:val="0"/>
          <w:marRight w:val="0"/>
          <w:marTop w:val="0"/>
          <w:marBottom w:val="0"/>
          <w:divBdr>
            <w:top w:val="none" w:sz="0" w:space="0" w:color="auto"/>
            <w:left w:val="none" w:sz="0" w:space="0" w:color="auto"/>
            <w:bottom w:val="none" w:sz="0" w:space="0" w:color="auto"/>
            <w:right w:val="none" w:sz="0" w:space="0" w:color="auto"/>
          </w:divBdr>
        </w:div>
      </w:divsChild>
    </w:div>
    <w:div w:id="298387686">
      <w:bodyDiv w:val="1"/>
      <w:marLeft w:val="0"/>
      <w:marRight w:val="0"/>
      <w:marTop w:val="0"/>
      <w:marBottom w:val="0"/>
      <w:divBdr>
        <w:top w:val="none" w:sz="0" w:space="0" w:color="auto"/>
        <w:left w:val="none" w:sz="0" w:space="0" w:color="auto"/>
        <w:bottom w:val="none" w:sz="0" w:space="0" w:color="auto"/>
        <w:right w:val="none" w:sz="0" w:space="0" w:color="auto"/>
      </w:divBdr>
    </w:div>
    <w:div w:id="304435309">
      <w:bodyDiv w:val="1"/>
      <w:marLeft w:val="0"/>
      <w:marRight w:val="0"/>
      <w:marTop w:val="0"/>
      <w:marBottom w:val="0"/>
      <w:divBdr>
        <w:top w:val="none" w:sz="0" w:space="0" w:color="auto"/>
        <w:left w:val="none" w:sz="0" w:space="0" w:color="auto"/>
        <w:bottom w:val="none" w:sz="0" w:space="0" w:color="auto"/>
        <w:right w:val="none" w:sz="0" w:space="0" w:color="auto"/>
      </w:divBdr>
    </w:div>
    <w:div w:id="305667258">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13142992">
      <w:bodyDiv w:val="1"/>
      <w:marLeft w:val="0"/>
      <w:marRight w:val="0"/>
      <w:marTop w:val="0"/>
      <w:marBottom w:val="0"/>
      <w:divBdr>
        <w:top w:val="none" w:sz="0" w:space="0" w:color="auto"/>
        <w:left w:val="none" w:sz="0" w:space="0" w:color="auto"/>
        <w:bottom w:val="none" w:sz="0" w:space="0" w:color="auto"/>
        <w:right w:val="none" w:sz="0" w:space="0" w:color="auto"/>
      </w:divBdr>
    </w:div>
    <w:div w:id="314839537">
      <w:bodyDiv w:val="1"/>
      <w:marLeft w:val="0"/>
      <w:marRight w:val="0"/>
      <w:marTop w:val="0"/>
      <w:marBottom w:val="0"/>
      <w:divBdr>
        <w:top w:val="none" w:sz="0" w:space="0" w:color="auto"/>
        <w:left w:val="none" w:sz="0" w:space="0" w:color="auto"/>
        <w:bottom w:val="none" w:sz="0" w:space="0" w:color="auto"/>
        <w:right w:val="none" w:sz="0" w:space="0" w:color="auto"/>
      </w:divBdr>
    </w:div>
    <w:div w:id="317464358">
      <w:bodyDiv w:val="1"/>
      <w:marLeft w:val="0"/>
      <w:marRight w:val="0"/>
      <w:marTop w:val="0"/>
      <w:marBottom w:val="0"/>
      <w:divBdr>
        <w:top w:val="none" w:sz="0" w:space="0" w:color="auto"/>
        <w:left w:val="none" w:sz="0" w:space="0" w:color="auto"/>
        <w:bottom w:val="none" w:sz="0" w:space="0" w:color="auto"/>
        <w:right w:val="none" w:sz="0" w:space="0" w:color="auto"/>
      </w:divBdr>
    </w:div>
    <w:div w:id="319845794">
      <w:bodyDiv w:val="1"/>
      <w:marLeft w:val="0"/>
      <w:marRight w:val="0"/>
      <w:marTop w:val="0"/>
      <w:marBottom w:val="0"/>
      <w:divBdr>
        <w:top w:val="none" w:sz="0" w:space="0" w:color="auto"/>
        <w:left w:val="none" w:sz="0" w:space="0" w:color="auto"/>
        <w:bottom w:val="none" w:sz="0" w:space="0" w:color="auto"/>
        <w:right w:val="none" w:sz="0" w:space="0" w:color="auto"/>
      </w:divBdr>
    </w:div>
    <w:div w:id="321545706">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328218394">
      <w:bodyDiv w:val="1"/>
      <w:marLeft w:val="0"/>
      <w:marRight w:val="0"/>
      <w:marTop w:val="0"/>
      <w:marBottom w:val="0"/>
      <w:divBdr>
        <w:top w:val="none" w:sz="0" w:space="0" w:color="auto"/>
        <w:left w:val="none" w:sz="0" w:space="0" w:color="auto"/>
        <w:bottom w:val="none" w:sz="0" w:space="0" w:color="auto"/>
        <w:right w:val="none" w:sz="0" w:space="0" w:color="auto"/>
      </w:divBdr>
    </w:div>
    <w:div w:id="330375759">
      <w:bodyDiv w:val="1"/>
      <w:marLeft w:val="0"/>
      <w:marRight w:val="0"/>
      <w:marTop w:val="0"/>
      <w:marBottom w:val="0"/>
      <w:divBdr>
        <w:top w:val="none" w:sz="0" w:space="0" w:color="auto"/>
        <w:left w:val="none" w:sz="0" w:space="0" w:color="auto"/>
        <w:bottom w:val="none" w:sz="0" w:space="0" w:color="auto"/>
        <w:right w:val="none" w:sz="0" w:space="0" w:color="auto"/>
      </w:divBdr>
    </w:div>
    <w:div w:id="332924186">
      <w:bodyDiv w:val="1"/>
      <w:marLeft w:val="0"/>
      <w:marRight w:val="0"/>
      <w:marTop w:val="0"/>
      <w:marBottom w:val="0"/>
      <w:divBdr>
        <w:top w:val="none" w:sz="0" w:space="0" w:color="auto"/>
        <w:left w:val="none" w:sz="0" w:space="0" w:color="auto"/>
        <w:bottom w:val="none" w:sz="0" w:space="0" w:color="auto"/>
        <w:right w:val="none" w:sz="0" w:space="0" w:color="auto"/>
      </w:divBdr>
    </w:div>
    <w:div w:id="335108927">
      <w:bodyDiv w:val="1"/>
      <w:marLeft w:val="0"/>
      <w:marRight w:val="0"/>
      <w:marTop w:val="0"/>
      <w:marBottom w:val="0"/>
      <w:divBdr>
        <w:top w:val="none" w:sz="0" w:space="0" w:color="auto"/>
        <w:left w:val="none" w:sz="0" w:space="0" w:color="auto"/>
        <w:bottom w:val="none" w:sz="0" w:space="0" w:color="auto"/>
        <w:right w:val="none" w:sz="0" w:space="0" w:color="auto"/>
      </w:divBdr>
    </w:div>
    <w:div w:id="337080708">
      <w:bodyDiv w:val="1"/>
      <w:marLeft w:val="0"/>
      <w:marRight w:val="0"/>
      <w:marTop w:val="0"/>
      <w:marBottom w:val="0"/>
      <w:divBdr>
        <w:top w:val="none" w:sz="0" w:space="0" w:color="auto"/>
        <w:left w:val="none" w:sz="0" w:space="0" w:color="auto"/>
        <w:bottom w:val="none" w:sz="0" w:space="0" w:color="auto"/>
        <w:right w:val="none" w:sz="0" w:space="0" w:color="auto"/>
      </w:divBdr>
    </w:div>
    <w:div w:id="340667333">
      <w:bodyDiv w:val="1"/>
      <w:marLeft w:val="0"/>
      <w:marRight w:val="0"/>
      <w:marTop w:val="0"/>
      <w:marBottom w:val="0"/>
      <w:divBdr>
        <w:top w:val="none" w:sz="0" w:space="0" w:color="auto"/>
        <w:left w:val="none" w:sz="0" w:space="0" w:color="auto"/>
        <w:bottom w:val="none" w:sz="0" w:space="0" w:color="auto"/>
        <w:right w:val="none" w:sz="0" w:space="0" w:color="auto"/>
      </w:divBdr>
      <w:divsChild>
        <w:div w:id="2005357222">
          <w:marLeft w:val="0"/>
          <w:marRight w:val="0"/>
          <w:marTop w:val="0"/>
          <w:marBottom w:val="0"/>
          <w:divBdr>
            <w:top w:val="none" w:sz="0" w:space="0" w:color="auto"/>
            <w:left w:val="none" w:sz="0" w:space="0" w:color="auto"/>
            <w:bottom w:val="none" w:sz="0" w:space="0" w:color="auto"/>
            <w:right w:val="none" w:sz="0" w:space="0" w:color="auto"/>
          </w:divBdr>
          <w:divsChild>
            <w:div w:id="801192617">
              <w:marLeft w:val="0"/>
              <w:marRight w:val="0"/>
              <w:marTop w:val="0"/>
              <w:marBottom w:val="0"/>
              <w:divBdr>
                <w:top w:val="none" w:sz="0" w:space="0" w:color="auto"/>
                <w:left w:val="none" w:sz="0" w:space="0" w:color="auto"/>
                <w:bottom w:val="none" w:sz="0" w:space="0" w:color="auto"/>
                <w:right w:val="none" w:sz="0" w:space="0" w:color="auto"/>
              </w:divBdr>
              <w:divsChild>
                <w:div w:id="1067848533">
                  <w:marLeft w:val="0"/>
                  <w:marRight w:val="0"/>
                  <w:marTop w:val="0"/>
                  <w:marBottom w:val="0"/>
                  <w:divBdr>
                    <w:top w:val="none" w:sz="0" w:space="0" w:color="auto"/>
                    <w:left w:val="none" w:sz="0" w:space="0" w:color="auto"/>
                    <w:bottom w:val="none" w:sz="0" w:space="0" w:color="auto"/>
                    <w:right w:val="none" w:sz="0" w:space="0" w:color="auto"/>
                  </w:divBdr>
                  <w:divsChild>
                    <w:div w:id="588588077">
                      <w:marLeft w:val="-15"/>
                      <w:marRight w:val="0"/>
                      <w:marTop w:val="0"/>
                      <w:marBottom w:val="0"/>
                      <w:divBdr>
                        <w:top w:val="none" w:sz="0" w:space="0" w:color="auto"/>
                        <w:left w:val="none" w:sz="0" w:space="0" w:color="auto"/>
                        <w:bottom w:val="none" w:sz="0" w:space="0" w:color="auto"/>
                        <w:right w:val="none" w:sz="0" w:space="0" w:color="auto"/>
                      </w:divBdr>
                      <w:divsChild>
                        <w:div w:id="1374306690">
                          <w:marLeft w:val="0"/>
                          <w:marRight w:val="30"/>
                          <w:marTop w:val="45"/>
                          <w:marBottom w:val="60"/>
                          <w:divBdr>
                            <w:top w:val="none" w:sz="0" w:space="0" w:color="auto"/>
                            <w:left w:val="none" w:sz="0" w:space="0" w:color="auto"/>
                            <w:bottom w:val="none" w:sz="0" w:space="0" w:color="auto"/>
                            <w:right w:val="none" w:sz="0" w:space="0" w:color="auto"/>
                          </w:divBdr>
                        </w:div>
                      </w:divsChild>
                    </w:div>
                    <w:div w:id="948045099">
                      <w:marLeft w:val="0"/>
                      <w:marRight w:val="0"/>
                      <w:marTop w:val="0"/>
                      <w:marBottom w:val="0"/>
                      <w:divBdr>
                        <w:top w:val="none" w:sz="0" w:space="0" w:color="auto"/>
                        <w:left w:val="none" w:sz="0" w:space="0" w:color="auto"/>
                        <w:bottom w:val="none" w:sz="0" w:space="0" w:color="auto"/>
                        <w:right w:val="none" w:sz="0" w:space="0" w:color="auto"/>
                      </w:divBdr>
                      <w:divsChild>
                        <w:div w:id="16503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8897">
          <w:marLeft w:val="0"/>
          <w:marRight w:val="0"/>
          <w:marTop w:val="0"/>
          <w:marBottom w:val="0"/>
          <w:divBdr>
            <w:top w:val="none" w:sz="0" w:space="0" w:color="auto"/>
            <w:left w:val="none" w:sz="0" w:space="0" w:color="auto"/>
            <w:bottom w:val="none" w:sz="0" w:space="0" w:color="auto"/>
            <w:right w:val="none" w:sz="0" w:space="0" w:color="auto"/>
          </w:divBdr>
          <w:divsChild>
            <w:div w:id="1847743689">
              <w:marLeft w:val="0"/>
              <w:marRight w:val="0"/>
              <w:marTop w:val="0"/>
              <w:marBottom w:val="0"/>
              <w:divBdr>
                <w:top w:val="none" w:sz="0" w:space="0" w:color="auto"/>
                <w:left w:val="none" w:sz="0" w:space="0" w:color="auto"/>
                <w:bottom w:val="none" w:sz="0" w:space="0" w:color="auto"/>
                <w:right w:val="none" w:sz="0" w:space="0" w:color="auto"/>
              </w:divBdr>
              <w:divsChild>
                <w:div w:id="789977494">
                  <w:marLeft w:val="0"/>
                  <w:marRight w:val="0"/>
                  <w:marTop w:val="15"/>
                  <w:marBottom w:val="0"/>
                  <w:divBdr>
                    <w:top w:val="none" w:sz="0" w:space="0" w:color="auto"/>
                    <w:left w:val="none" w:sz="0" w:space="0" w:color="auto"/>
                    <w:bottom w:val="none" w:sz="0" w:space="0" w:color="auto"/>
                    <w:right w:val="none" w:sz="0" w:space="0" w:color="auto"/>
                  </w:divBdr>
                  <w:divsChild>
                    <w:div w:id="677730455">
                      <w:marLeft w:val="0"/>
                      <w:marRight w:val="0"/>
                      <w:marTop w:val="0"/>
                      <w:marBottom w:val="0"/>
                      <w:divBdr>
                        <w:top w:val="none" w:sz="0" w:space="0" w:color="auto"/>
                        <w:left w:val="none" w:sz="0" w:space="0" w:color="auto"/>
                        <w:bottom w:val="none" w:sz="0" w:space="0" w:color="auto"/>
                        <w:right w:val="none" w:sz="0" w:space="0" w:color="auto"/>
                      </w:divBdr>
                      <w:divsChild>
                        <w:div w:id="937061378">
                          <w:marLeft w:val="0"/>
                          <w:marRight w:val="0"/>
                          <w:marTop w:val="0"/>
                          <w:marBottom w:val="0"/>
                          <w:divBdr>
                            <w:top w:val="none" w:sz="0" w:space="0" w:color="auto"/>
                            <w:left w:val="none" w:sz="0" w:space="0" w:color="auto"/>
                            <w:bottom w:val="none" w:sz="0" w:space="0" w:color="auto"/>
                            <w:right w:val="none" w:sz="0" w:space="0" w:color="auto"/>
                          </w:divBdr>
                        </w:div>
                        <w:div w:id="822238447">
                          <w:marLeft w:val="0"/>
                          <w:marRight w:val="0"/>
                          <w:marTop w:val="0"/>
                          <w:marBottom w:val="0"/>
                          <w:divBdr>
                            <w:top w:val="none" w:sz="0" w:space="0" w:color="auto"/>
                            <w:left w:val="none" w:sz="0" w:space="0" w:color="auto"/>
                            <w:bottom w:val="none" w:sz="0" w:space="0" w:color="auto"/>
                            <w:right w:val="none" w:sz="0" w:space="0" w:color="auto"/>
                          </w:divBdr>
                        </w:div>
                        <w:div w:id="1465005509">
                          <w:marLeft w:val="0"/>
                          <w:marRight w:val="0"/>
                          <w:marTop w:val="0"/>
                          <w:marBottom w:val="0"/>
                          <w:divBdr>
                            <w:top w:val="none" w:sz="0" w:space="0" w:color="auto"/>
                            <w:left w:val="none" w:sz="0" w:space="0" w:color="auto"/>
                            <w:bottom w:val="none" w:sz="0" w:space="0" w:color="auto"/>
                            <w:right w:val="none" w:sz="0" w:space="0" w:color="auto"/>
                          </w:divBdr>
                        </w:div>
                        <w:div w:id="1575165882">
                          <w:marLeft w:val="0"/>
                          <w:marRight w:val="0"/>
                          <w:marTop w:val="0"/>
                          <w:marBottom w:val="0"/>
                          <w:divBdr>
                            <w:top w:val="none" w:sz="0" w:space="0" w:color="auto"/>
                            <w:left w:val="none" w:sz="0" w:space="0" w:color="auto"/>
                            <w:bottom w:val="none" w:sz="0" w:space="0" w:color="auto"/>
                            <w:right w:val="none" w:sz="0" w:space="0" w:color="auto"/>
                          </w:divBdr>
                        </w:div>
                        <w:div w:id="923999382">
                          <w:marLeft w:val="0"/>
                          <w:marRight w:val="0"/>
                          <w:marTop w:val="0"/>
                          <w:marBottom w:val="0"/>
                          <w:divBdr>
                            <w:top w:val="none" w:sz="0" w:space="0" w:color="auto"/>
                            <w:left w:val="none" w:sz="0" w:space="0" w:color="auto"/>
                            <w:bottom w:val="none" w:sz="0" w:space="0" w:color="auto"/>
                            <w:right w:val="none" w:sz="0" w:space="0" w:color="auto"/>
                          </w:divBdr>
                        </w:div>
                        <w:div w:id="747577598">
                          <w:marLeft w:val="0"/>
                          <w:marRight w:val="0"/>
                          <w:marTop w:val="0"/>
                          <w:marBottom w:val="0"/>
                          <w:divBdr>
                            <w:top w:val="none" w:sz="0" w:space="0" w:color="auto"/>
                            <w:left w:val="none" w:sz="0" w:space="0" w:color="auto"/>
                            <w:bottom w:val="none" w:sz="0" w:space="0" w:color="auto"/>
                            <w:right w:val="none" w:sz="0" w:space="0" w:color="auto"/>
                          </w:divBdr>
                        </w:div>
                        <w:div w:id="797407157">
                          <w:marLeft w:val="0"/>
                          <w:marRight w:val="0"/>
                          <w:marTop w:val="0"/>
                          <w:marBottom w:val="0"/>
                          <w:divBdr>
                            <w:top w:val="none" w:sz="0" w:space="0" w:color="auto"/>
                            <w:left w:val="none" w:sz="0" w:space="0" w:color="auto"/>
                            <w:bottom w:val="none" w:sz="0" w:space="0" w:color="auto"/>
                            <w:right w:val="none" w:sz="0" w:space="0" w:color="auto"/>
                          </w:divBdr>
                        </w:div>
                        <w:div w:id="319970994">
                          <w:marLeft w:val="0"/>
                          <w:marRight w:val="0"/>
                          <w:marTop w:val="0"/>
                          <w:marBottom w:val="0"/>
                          <w:divBdr>
                            <w:top w:val="none" w:sz="0" w:space="0" w:color="auto"/>
                            <w:left w:val="none" w:sz="0" w:space="0" w:color="auto"/>
                            <w:bottom w:val="none" w:sz="0" w:space="0" w:color="auto"/>
                            <w:right w:val="none" w:sz="0" w:space="0" w:color="auto"/>
                          </w:divBdr>
                        </w:div>
                        <w:div w:id="1799839688">
                          <w:marLeft w:val="0"/>
                          <w:marRight w:val="0"/>
                          <w:marTop w:val="0"/>
                          <w:marBottom w:val="0"/>
                          <w:divBdr>
                            <w:top w:val="none" w:sz="0" w:space="0" w:color="auto"/>
                            <w:left w:val="none" w:sz="0" w:space="0" w:color="auto"/>
                            <w:bottom w:val="none" w:sz="0" w:space="0" w:color="auto"/>
                            <w:right w:val="none" w:sz="0" w:space="0" w:color="auto"/>
                          </w:divBdr>
                        </w:div>
                        <w:div w:id="247347765">
                          <w:marLeft w:val="0"/>
                          <w:marRight w:val="0"/>
                          <w:marTop w:val="0"/>
                          <w:marBottom w:val="0"/>
                          <w:divBdr>
                            <w:top w:val="none" w:sz="0" w:space="0" w:color="auto"/>
                            <w:left w:val="none" w:sz="0" w:space="0" w:color="auto"/>
                            <w:bottom w:val="none" w:sz="0" w:space="0" w:color="auto"/>
                            <w:right w:val="none" w:sz="0" w:space="0" w:color="auto"/>
                          </w:divBdr>
                        </w:div>
                        <w:div w:id="470753904">
                          <w:marLeft w:val="0"/>
                          <w:marRight w:val="0"/>
                          <w:marTop w:val="0"/>
                          <w:marBottom w:val="0"/>
                          <w:divBdr>
                            <w:top w:val="none" w:sz="0" w:space="0" w:color="auto"/>
                            <w:left w:val="none" w:sz="0" w:space="0" w:color="auto"/>
                            <w:bottom w:val="none" w:sz="0" w:space="0" w:color="auto"/>
                            <w:right w:val="none" w:sz="0" w:space="0" w:color="auto"/>
                          </w:divBdr>
                        </w:div>
                        <w:div w:id="587422974">
                          <w:marLeft w:val="0"/>
                          <w:marRight w:val="0"/>
                          <w:marTop w:val="0"/>
                          <w:marBottom w:val="0"/>
                          <w:divBdr>
                            <w:top w:val="none" w:sz="0" w:space="0" w:color="auto"/>
                            <w:left w:val="none" w:sz="0" w:space="0" w:color="auto"/>
                            <w:bottom w:val="none" w:sz="0" w:space="0" w:color="auto"/>
                            <w:right w:val="none" w:sz="0" w:space="0" w:color="auto"/>
                          </w:divBdr>
                        </w:div>
                        <w:div w:id="423303602">
                          <w:marLeft w:val="0"/>
                          <w:marRight w:val="0"/>
                          <w:marTop w:val="0"/>
                          <w:marBottom w:val="0"/>
                          <w:divBdr>
                            <w:top w:val="none" w:sz="0" w:space="0" w:color="auto"/>
                            <w:left w:val="none" w:sz="0" w:space="0" w:color="auto"/>
                            <w:bottom w:val="none" w:sz="0" w:space="0" w:color="auto"/>
                            <w:right w:val="none" w:sz="0" w:space="0" w:color="auto"/>
                          </w:divBdr>
                        </w:div>
                        <w:div w:id="1238713564">
                          <w:marLeft w:val="0"/>
                          <w:marRight w:val="0"/>
                          <w:marTop w:val="0"/>
                          <w:marBottom w:val="0"/>
                          <w:divBdr>
                            <w:top w:val="none" w:sz="0" w:space="0" w:color="auto"/>
                            <w:left w:val="none" w:sz="0" w:space="0" w:color="auto"/>
                            <w:bottom w:val="none" w:sz="0" w:space="0" w:color="auto"/>
                            <w:right w:val="none" w:sz="0" w:space="0" w:color="auto"/>
                          </w:divBdr>
                        </w:div>
                        <w:div w:id="1345398995">
                          <w:marLeft w:val="0"/>
                          <w:marRight w:val="0"/>
                          <w:marTop w:val="0"/>
                          <w:marBottom w:val="0"/>
                          <w:divBdr>
                            <w:top w:val="none" w:sz="0" w:space="0" w:color="auto"/>
                            <w:left w:val="none" w:sz="0" w:space="0" w:color="auto"/>
                            <w:bottom w:val="none" w:sz="0" w:space="0" w:color="auto"/>
                            <w:right w:val="none" w:sz="0" w:space="0" w:color="auto"/>
                          </w:divBdr>
                        </w:div>
                        <w:div w:id="1137993394">
                          <w:marLeft w:val="0"/>
                          <w:marRight w:val="0"/>
                          <w:marTop w:val="0"/>
                          <w:marBottom w:val="0"/>
                          <w:divBdr>
                            <w:top w:val="none" w:sz="0" w:space="0" w:color="auto"/>
                            <w:left w:val="none" w:sz="0" w:space="0" w:color="auto"/>
                            <w:bottom w:val="none" w:sz="0" w:space="0" w:color="auto"/>
                            <w:right w:val="none" w:sz="0" w:space="0" w:color="auto"/>
                          </w:divBdr>
                        </w:div>
                        <w:div w:id="1939018501">
                          <w:marLeft w:val="0"/>
                          <w:marRight w:val="0"/>
                          <w:marTop w:val="0"/>
                          <w:marBottom w:val="0"/>
                          <w:divBdr>
                            <w:top w:val="none" w:sz="0" w:space="0" w:color="auto"/>
                            <w:left w:val="none" w:sz="0" w:space="0" w:color="auto"/>
                            <w:bottom w:val="none" w:sz="0" w:space="0" w:color="auto"/>
                            <w:right w:val="none" w:sz="0" w:space="0" w:color="auto"/>
                          </w:divBdr>
                        </w:div>
                        <w:div w:id="612447131">
                          <w:marLeft w:val="0"/>
                          <w:marRight w:val="0"/>
                          <w:marTop w:val="0"/>
                          <w:marBottom w:val="0"/>
                          <w:divBdr>
                            <w:top w:val="none" w:sz="0" w:space="0" w:color="auto"/>
                            <w:left w:val="none" w:sz="0" w:space="0" w:color="auto"/>
                            <w:bottom w:val="none" w:sz="0" w:space="0" w:color="auto"/>
                            <w:right w:val="none" w:sz="0" w:space="0" w:color="auto"/>
                          </w:divBdr>
                        </w:div>
                        <w:div w:id="1725760580">
                          <w:marLeft w:val="0"/>
                          <w:marRight w:val="0"/>
                          <w:marTop w:val="0"/>
                          <w:marBottom w:val="0"/>
                          <w:divBdr>
                            <w:top w:val="none" w:sz="0" w:space="0" w:color="auto"/>
                            <w:left w:val="none" w:sz="0" w:space="0" w:color="auto"/>
                            <w:bottom w:val="none" w:sz="0" w:space="0" w:color="auto"/>
                            <w:right w:val="none" w:sz="0" w:space="0" w:color="auto"/>
                          </w:divBdr>
                        </w:div>
                        <w:div w:id="1018233466">
                          <w:marLeft w:val="0"/>
                          <w:marRight w:val="0"/>
                          <w:marTop w:val="0"/>
                          <w:marBottom w:val="0"/>
                          <w:divBdr>
                            <w:top w:val="none" w:sz="0" w:space="0" w:color="auto"/>
                            <w:left w:val="none" w:sz="0" w:space="0" w:color="auto"/>
                            <w:bottom w:val="none" w:sz="0" w:space="0" w:color="auto"/>
                            <w:right w:val="none" w:sz="0" w:space="0" w:color="auto"/>
                          </w:divBdr>
                        </w:div>
                        <w:div w:id="391580719">
                          <w:marLeft w:val="0"/>
                          <w:marRight w:val="0"/>
                          <w:marTop w:val="0"/>
                          <w:marBottom w:val="0"/>
                          <w:divBdr>
                            <w:top w:val="none" w:sz="0" w:space="0" w:color="auto"/>
                            <w:left w:val="none" w:sz="0" w:space="0" w:color="auto"/>
                            <w:bottom w:val="none" w:sz="0" w:space="0" w:color="auto"/>
                            <w:right w:val="none" w:sz="0" w:space="0" w:color="auto"/>
                          </w:divBdr>
                        </w:div>
                        <w:div w:id="2013216068">
                          <w:marLeft w:val="0"/>
                          <w:marRight w:val="0"/>
                          <w:marTop w:val="0"/>
                          <w:marBottom w:val="0"/>
                          <w:divBdr>
                            <w:top w:val="none" w:sz="0" w:space="0" w:color="auto"/>
                            <w:left w:val="none" w:sz="0" w:space="0" w:color="auto"/>
                            <w:bottom w:val="none" w:sz="0" w:space="0" w:color="auto"/>
                            <w:right w:val="none" w:sz="0" w:space="0" w:color="auto"/>
                          </w:divBdr>
                        </w:div>
                        <w:div w:id="1996179336">
                          <w:marLeft w:val="0"/>
                          <w:marRight w:val="0"/>
                          <w:marTop w:val="0"/>
                          <w:marBottom w:val="0"/>
                          <w:divBdr>
                            <w:top w:val="none" w:sz="0" w:space="0" w:color="auto"/>
                            <w:left w:val="none" w:sz="0" w:space="0" w:color="auto"/>
                            <w:bottom w:val="none" w:sz="0" w:space="0" w:color="auto"/>
                            <w:right w:val="none" w:sz="0" w:space="0" w:color="auto"/>
                          </w:divBdr>
                        </w:div>
                        <w:div w:id="1409618714">
                          <w:marLeft w:val="0"/>
                          <w:marRight w:val="0"/>
                          <w:marTop w:val="0"/>
                          <w:marBottom w:val="0"/>
                          <w:divBdr>
                            <w:top w:val="none" w:sz="0" w:space="0" w:color="auto"/>
                            <w:left w:val="none" w:sz="0" w:space="0" w:color="auto"/>
                            <w:bottom w:val="none" w:sz="0" w:space="0" w:color="auto"/>
                            <w:right w:val="none" w:sz="0" w:space="0" w:color="auto"/>
                          </w:divBdr>
                        </w:div>
                        <w:div w:id="1711766125">
                          <w:marLeft w:val="0"/>
                          <w:marRight w:val="0"/>
                          <w:marTop w:val="0"/>
                          <w:marBottom w:val="0"/>
                          <w:divBdr>
                            <w:top w:val="none" w:sz="0" w:space="0" w:color="auto"/>
                            <w:left w:val="none" w:sz="0" w:space="0" w:color="auto"/>
                            <w:bottom w:val="none" w:sz="0" w:space="0" w:color="auto"/>
                            <w:right w:val="none" w:sz="0" w:space="0" w:color="auto"/>
                          </w:divBdr>
                        </w:div>
                        <w:div w:id="1594512688">
                          <w:marLeft w:val="0"/>
                          <w:marRight w:val="0"/>
                          <w:marTop w:val="0"/>
                          <w:marBottom w:val="0"/>
                          <w:divBdr>
                            <w:top w:val="none" w:sz="0" w:space="0" w:color="auto"/>
                            <w:left w:val="none" w:sz="0" w:space="0" w:color="auto"/>
                            <w:bottom w:val="none" w:sz="0" w:space="0" w:color="auto"/>
                            <w:right w:val="none" w:sz="0" w:space="0" w:color="auto"/>
                          </w:divBdr>
                        </w:div>
                        <w:div w:id="1137651336">
                          <w:marLeft w:val="0"/>
                          <w:marRight w:val="0"/>
                          <w:marTop w:val="0"/>
                          <w:marBottom w:val="0"/>
                          <w:divBdr>
                            <w:top w:val="none" w:sz="0" w:space="0" w:color="auto"/>
                            <w:left w:val="none" w:sz="0" w:space="0" w:color="auto"/>
                            <w:bottom w:val="none" w:sz="0" w:space="0" w:color="auto"/>
                            <w:right w:val="none" w:sz="0" w:space="0" w:color="auto"/>
                          </w:divBdr>
                        </w:div>
                        <w:div w:id="790825123">
                          <w:marLeft w:val="0"/>
                          <w:marRight w:val="0"/>
                          <w:marTop w:val="0"/>
                          <w:marBottom w:val="0"/>
                          <w:divBdr>
                            <w:top w:val="none" w:sz="0" w:space="0" w:color="auto"/>
                            <w:left w:val="none" w:sz="0" w:space="0" w:color="auto"/>
                            <w:bottom w:val="none" w:sz="0" w:space="0" w:color="auto"/>
                            <w:right w:val="none" w:sz="0" w:space="0" w:color="auto"/>
                          </w:divBdr>
                        </w:div>
                        <w:div w:id="1452280773">
                          <w:marLeft w:val="0"/>
                          <w:marRight w:val="0"/>
                          <w:marTop w:val="0"/>
                          <w:marBottom w:val="0"/>
                          <w:divBdr>
                            <w:top w:val="none" w:sz="0" w:space="0" w:color="auto"/>
                            <w:left w:val="none" w:sz="0" w:space="0" w:color="auto"/>
                            <w:bottom w:val="none" w:sz="0" w:space="0" w:color="auto"/>
                            <w:right w:val="none" w:sz="0" w:space="0" w:color="auto"/>
                          </w:divBdr>
                        </w:div>
                        <w:div w:id="478377538">
                          <w:marLeft w:val="0"/>
                          <w:marRight w:val="0"/>
                          <w:marTop w:val="0"/>
                          <w:marBottom w:val="0"/>
                          <w:divBdr>
                            <w:top w:val="none" w:sz="0" w:space="0" w:color="auto"/>
                            <w:left w:val="none" w:sz="0" w:space="0" w:color="auto"/>
                            <w:bottom w:val="none" w:sz="0" w:space="0" w:color="auto"/>
                            <w:right w:val="none" w:sz="0" w:space="0" w:color="auto"/>
                          </w:divBdr>
                        </w:div>
                        <w:div w:id="1909147628">
                          <w:marLeft w:val="0"/>
                          <w:marRight w:val="0"/>
                          <w:marTop w:val="0"/>
                          <w:marBottom w:val="0"/>
                          <w:divBdr>
                            <w:top w:val="none" w:sz="0" w:space="0" w:color="auto"/>
                            <w:left w:val="none" w:sz="0" w:space="0" w:color="auto"/>
                            <w:bottom w:val="none" w:sz="0" w:space="0" w:color="auto"/>
                            <w:right w:val="none" w:sz="0" w:space="0" w:color="auto"/>
                          </w:divBdr>
                        </w:div>
                        <w:div w:id="1138645579">
                          <w:marLeft w:val="0"/>
                          <w:marRight w:val="0"/>
                          <w:marTop w:val="0"/>
                          <w:marBottom w:val="0"/>
                          <w:divBdr>
                            <w:top w:val="none" w:sz="0" w:space="0" w:color="auto"/>
                            <w:left w:val="none" w:sz="0" w:space="0" w:color="auto"/>
                            <w:bottom w:val="none" w:sz="0" w:space="0" w:color="auto"/>
                            <w:right w:val="none" w:sz="0" w:space="0" w:color="auto"/>
                          </w:divBdr>
                        </w:div>
                        <w:div w:id="343635069">
                          <w:marLeft w:val="0"/>
                          <w:marRight w:val="0"/>
                          <w:marTop w:val="0"/>
                          <w:marBottom w:val="0"/>
                          <w:divBdr>
                            <w:top w:val="none" w:sz="0" w:space="0" w:color="auto"/>
                            <w:left w:val="none" w:sz="0" w:space="0" w:color="auto"/>
                            <w:bottom w:val="none" w:sz="0" w:space="0" w:color="auto"/>
                            <w:right w:val="none" w:sz="0" w:space="0" w:color="auto"/>
                          </w:divBdr>
                        </w:div>
                        <w:div w:id="196351939">
                          <w:marLeft w:val="0"/>
                          <w:marRight w:val="0"/>
                          <w:marTop w:val="0"/>
                          <w:marBottom w:val="0"/>
                          <w:divBdr>
                            <w:top w:val="none" w:sz="0" w:space="0" w:color="auto"/>
                            <w:left w:val="none" w:sz="0" w:space="0" w:color="auto"/>
                            <w:bottom w:val="none" w:sz="0" w:space="0" w:color="auto"/>
                            <w:right w:val="none" w:sz="0" w:space="0" w:color="auto"/>
                          </w:divBdr>
                        </w:div>
                        <w:div w:id="706561036">
                          <w:marLeft w:val="0"/>
                          <w:marRight w:val="0"/>
                          <w:marTop w:val="0"/>
                          <w:marBottom w:val="0"/>
                          <w:divBdr>
                            <w:top w:val="none" w:sz="0" w:space="0" w:color="auto"/>
                            <w:left w:val="none" w:sz="0" w:space="0" w:color="auto"/>
                            <w:bottom w:val="none" w:sz="0" w:space="0" w:color="auto"/>
                            <w:right w:val="none" w:sz="0" w:space="0" w:color="auto"/>
                          </w:divBdr>
                        </w:div>
                        <w:div w:id="446697801">
                          <w:marLeft w:val="0"/>
                          <w:marRight w:val="0"/>
                          <w:marTop w:val="0"/>
                          <w:marBottom w:val="0"/>
                          <w:divBdr>
                            <w:top w:val="none" w:sz="0" w:space="0" w:color="auto"/>
                            <w:left w:val="none" w:sz="0" w:space="0" w:color="auto"/>
                            <w:bottom w:val="none" w:sz="0" w:space="0" w:color="auto"/>
                            <w:right w:val="none" w:sz="0" w:space="0" w:color="auto"/>
                          </w:divBdr>
                        </w:div>
                        <w:div w:id="922105207">
                          <w:marLeft w:val="0"/>
                          <w:marRight w:val="0"/>
                          <w:marTop w:val="0"/>
                          <w:marBottom w:val="0"/>
                          <w:divBdr>
                            <w:top w:val="none" w:sz="0" w:space="0" w:color="auto"/>
                            <w:left w:val="none" w:sz="0" w:space="0" w:color="auto"/>
                            <w:bottom w:val="none" w:sz="0" w:space="0" w:color="auto"/>
                            <w:right w:val="none" w:sz="0" w:space="0" w:color="auto"/>
                          </w:divBdr>
                        </w:div>
                        <w:div w:id="795299047">
                          <w:marLeft w:val="0"/>
                          <w:marRight w:val="0"/>
                          <w:marTop w:val="0"/>
                          <w:marBottom w:val="0"/>
                          <w:divBdr>
                            <w:top w:val="none" w:sz="0" w:space="0" w:color="auto"/>
                            <w:left w:val="none" w:sz="0" w:space="0" w:color="auto"/>
                            <w:bottom w:val="none" w:sz="0" w:space="0" w:color="auto"/>
                            <w:right w:val="none" w:sz="0" w:space="0" w:color="auto"/>
                          </w:divBdr>
                        </w:div>
                        <w:div w:id="1462533653">
                          <w:marLeft w:val="0"/>
                          <w:marRight w:val="0"/>
                          <w:marTop w:val="0"/>
                          <w:marBottom w:val="0"/>
                          <w:divBdr>
                            <w:top w:val="none" w:sz="0" w:space="0" w:color="auto"/>
                            <w:left w:val="none" w:sz="0" w:space="0" w:color="auto"/>
                            <w:bottom w:val="none" w:sz="0" w:space="0" w:color="auto"/>
                            <w:right w:val="none" w:sz="0" w:space="0" w:color="auto"/>
                          </w:divBdr>
                        </w:div>
                        <w:div w:id="185950991">
                          <w:marLeft w:val="0"/>
                          <w:marRight w:val="0"/>
                          <w:marTop w:val="0"/>
                          <w:marBottom w:val="0"/>
                          <w:divBdr>
                            <w:top w:val="none" w:sz="0" w:space="0" w:color="auto"/>
                            <w:left w:val="none" w:sz="0" w:space="0" w:color="auto"/>
                            <w:bottom w:val="none" w:sz="0" w:space="0" w:color="auto"/>
                            <w:right w:val="none" w:sz="0" w:space="0" w:color="auto"/>
                          </w:divBdr>
                        </w:div>
                        <w:div w:id="1817407516">
                          <w:marLeft w:val="0"/>
                          <w:marRight w:val="0"/>
                          <w:marTop w:val="0"/>
                          <w:marBottom w:val="0"/>
                          <w:divBdr>
                            <w:top w:val="none" w:sz="0" w:space="0" w:color="auto"/>
                            <w:left w:val="none" w:sz="0" w:space="0" w:color="auto"/>
                            <w:bottom w:val="none" w:sz="0" w:space="0" w:color="auto"/>
                            <w:right w:val="none" w:sz="0" w:space="0" w:color="auto"/>
                          </w:divBdr>
                        </w:div>
                        <w:div w:id="2092852135">
                          <w:marLeft w:val="0"/>
                          <w:marRight w:val="0"/>
                          <w:marTop w:val="0"/>
                          <w:marBottom w:val="0"/>
                          <w:divBdr>
                            <w:top w:val="none" w:sz="0" w:space="0" w:color="auto"/>
                            <w:left w:val="none" w:sz="0" w:space="0" w:color="auto"/>
                            <w:bottom w:val="none" w:sz="0" w:space="0" w:color="auto"/>
                            <w:right w:val="none" w:sz="0" w:space="0" w:color="auto"/>
                          </w:divBdr>
                        </w:div>
                        <w:div w:id="492063570">
                          <w:marLeft w:val="0"/>
                          <w:marRight w:val="0"/>
                          <w:marTop w:val="0"/>
                          <w:marBottom w:val="0"/>
                          <w:divBdr>
                            <w:top w:val="none" w:sz="0" w:space="0" w:color="auto"/>
                            <w:left w:val="none" w:sz="0" w:space="0" w:color="auto"/>
                            <w:bottom w:val="none" w:sz="0" w:space="0" w:color="auto"/>
                            <w:right w:val="none" w:sz="0" w:space="0" w:color="auto"/>
                          </w:divBdr>
                        </w:div>
                        <w:div w:id="880942717">
                          <w:marLeft w:val="0"/>
                          <w:marRight w:val="0"/>
                          <w:marTop w:val="0"/>
                          <w:marBottom w:val="0"/>
                          <w:divBdr>
                            <w:top w:val="none" w:sz="0" w:space="0" w:color="auto"/>
                            <w:left w:val="none" w:sz="0" w:space="0" w:color="auto"/>
                            <w:bottom w:val="none" w:sz="0" w:space="0" w:color="auto"/>
                            <w:right w:val="none" w:sz="0" w:space="0" w:color="auto"/>
                          </w:divBdr>
                        </w:div>
                        <w:div w:id="1118375457">
                          <w:marLeft w:val="0"/>
                          <w:marRight w:val="0"/>
                          <w:marTop w:val="0"/>
                          <w:marBottom w:val="0"/>
                          <w:divBdr>
                            <w:top w:val="none" w:sz="0" w:space="0" w:color="auto"/>
                            <w:left w:val="none" w:sz="0" w:space="0" w:color="auto"/>
                            <w:bottom w:val="none" w:sz="0" w:space="0" w:color="auto"/>
                            <w:right w:val="none" w:sz="0" w:space="0" w:color="auto"/>
                          </w:divBdr>
                        </w:div>
                        <w:div w:id="274404334">
                          <w:marLeft w:val="0"/>
                          <w:marRight w:val="0"/>
                          <w:marTop w:val="0"/>
                          <w:marBottom w:val="0"/>
                          <w:divBdr>
                            <w:top w:val="none" w:sz="0" w:space="0" w:color="auto"/>
                            <w:left w:val="none" w:sz="0" w:space="0" w:color="auto"/>
                            <w:bottom w:val="none" w:sz="0" w:space="0" w:color="auto"/>
                            <w:right w:val="none" w:sz="0" w:space="0" w:color="auto"/>
                          </w:divBdr>
                        </w:div>
                        <w:div w:id="287703785">
                          <w:marLeft w:val="0"/>
                          <w:marRight w:val="0"/>
                          <w:marTop w:val="0"/>
                          <w:marBottom w:val="0"/>
                          <w:divBdr>
                            <w:top w:val="none" w:sz="0" w:space="0" w:color="auto"/>
                            <w:left w:val="none" w:sz="0" w:space="0" w:color="auto"/>
                            <w:bottom w:val="none" w:sz="0" w:space="0" w:color="auto"/>
                            <w:right w:val="none" w:sz="0" w:space="0" w:color="auto"/>
                          </w:divBdr>
                        </w:div>
                        <w:div w:id="459029928">
                          <w:marLeft w:val="0"/>
                          <w:marRight w:val="0"/>
                          <w:marTop w:val="0"/>
                          <w:marBottom w:val="0"/>
                          <w:divBdr>
                            <w:top w:val="none" w:sz="0" w:space="0" w:color="auto"/>
                            <w:left w:val="none" w:sz="0" w:space="0" w:color="auto"/>
                            <w:bottom w:val="none" w:sz="0" w:space="0" w:color="auto"/>
                            <w:right w:val="none" w:sz="0" w:space="0" w:color="auto"/>
                          </w:divBdr>
                        </w:div>
                        <w:div w:id="2130850391">
                          <w:marLeft w:val="0"/>
                          <w:marRight w:val="0"/>
                          <w:marTop w:val="0"/>
                          <w:marBottom w:val="0"/>
                          <w:divBdr>
                            <w:top w:val="none" w:sz="0" w:space="0" w:color="auto"/>
                            <w:left w:val="none" w:sz="0" w:space="0" w:color="auto"/>
                            <w:bottom w:val="none" w:sz="0" w:space="0" w:color="auto"/>
                            <w:right w:val="none" w:sz="0" w:space="0" w:color="auto"/>
                          </w:divBdr>
                        </w:div>
                        <w:div w:id="1341855803">
                          <w:marLeft w:val="0"/>
                          <w:marRight w:val="0"/>
                          <w:marTop w:val="0"/>
                          <w:marBottom w:val="0"/>
                          <w:divBdr>
                            <w:top w:val="none" w:sz="0" w:space="0" w:color="auto"/>
                            <w:left w:val="none" w:sz="0" w:space="0" w:color="auto"/>
                            <w:bottom w:val="none" w:sz="0" w:space="0" w:color="auto"/>
                            <w:right w:val="none" w:sz="0" w:space="0" w:color="auto"/>
                          </w:divBdr>
                        </w:div>
                        <w:div w:id="375619183">
                          <w:marLeft w:val="0"/>
                          <w:marRight w:val="0"/>
                          <w:marTop w:val="0"/>
                          <w:marBottom w:val="0"/>
                          <w:divBdr>
                            <w:top w:val="none" w:sz="0" w:space="0" w:color="auto"/>
                            <w:left w:val="none" w:sz="0" w:space="0" w:color="auto"/>
                            <w:bottom w:val="none" w:sz="0" w:space="0" w:color="auto"/>
                            <w:right w:val="none" w:sz="0" w:space="0" w:color="auto"/>
                          </w:divBdr>
                        </w:div>
                        <w:div w:id="645475772">
                          <w:marLeft w:val="0"/>
                          <w:marRight w:val="0"/>
                          <w:marTop w:val="0"/>
                          <w:marBottom w:val="0"/>
                          <w:divBdr>
                            <w:top w:val="none" w:sz="0" w:space="0" w:color="auto"/>
                            <w:left w:val="none" w:sz="0" w:space="0" w:color="auto"/>
                            <w:bottom w:val="none" w:sz="0" w:space="0" w:color="auto"/>
                            <w:right w:val="none" w:sz="0" w:space="0" w:color="auto"/>
                          </w:divBdr>
                        </w:div>
                        <w:div w:id="209922112">
                          <w:marLeft w:val="0"/>
                          <w:marRight w:val="0"/>
                          <w:marTop w:val="0"/>
                          <w:marBottom w:val="0"/>
                          <w:divBdr>
                            <w:top w:val="none" w:sz="0" w:space="0" w:color="auto"/>
                            <w:left w:val="none" w:sz="0" w:space="0" w:color="auto"/>
                            <w:bottom w:val="none" w:sz="0" w:space="0" w:color="auto"/>
                            <w:right w:val="none" w:sz="0" w:space="0" w:color="auto"/>
                          </w:divBdr>
                        </w:div>
                        <w:div w:id="1068071298">
                          <w:marLeft w:val="0"/>
                          <w:marRight w:val="0"/>
                          <w:marTop w:val="0"/>
                          <w:marBottom w:val="0"/>
                          <w:divBdr>
                            <w:top w:val="none" w:sz="0" w:space="0" w:color="auto"/>
                            <w:left w:val="none" w:sz="0" w:space="0" w:color="auto"/>
                            <w:bottom w:val="none" w:sz="0" w:space="0" w:color="auto"/>
                            <w:right w:val="none" w:sz="0" w:space="0" w:color="auto"/>
                          </w:divBdr>
                        </w:div>
                        <w:div w:id="266281776">
                          <w:marLeft w:val="0"/>
                          <w:marRight w:val="0"/>
                          <w:marTop w:val="0"/>
                          <w:marBottom w:val="0"/>
                          <w:divBdr>
                            <w:top w:val="none" w:sz="0" w:space="0" w:color="auto"/>
                            <w:left w:val="none" w:sz="0" w:space="0" w:color="auto"/>
                            <w:bottom w:val="none" w:sz="0" w:space="0" w:color="auto"/>
                            <w:right w:val="none" w:sz="0" w:space="0" w:color="auto"/>
                          </w:divBdr>
                        </w:div>
                        <w:div w:id="105347691">
                          <w:marLeft w:val="0"/>
                          <w:marRight w:val="0"/>
                          <w:marTop w:val="0"/>
                          <w:marBottom w:val="0"/>
                          <w:divBdr>
                            <w:top w:val="none" w:sz="0" w:space="0" w:color="auto"/>
                            <w:left w:val="none" w:sz="0" w:space="0" w:color="auto"/>
                            <w:bottom w:val="none" w:sz="0" w:space="0" w:color="auto"/>
                            <w:right w:val="none" w:sz="0" w:space="0" w:color="auto"/>
                          </w:divBdr>
                        </w:div>
                        <w:div w:id="2435366">
                          <w:marLeft w:val="0"/>
                          <w:marRight w:val="0"/>
                          <w:marTop w:val="0"/>
                          <w:marBottom w:val="0"/>
                          <w:divBdr>
                            <w:top w:val="none" w:sz="0" w:space="0" w:color="auto"/>
                            <w:left w:val="none" w:sz="0" w:space="0" w:color="auto"/>
                            <w:bottom w:val="none" w:sz="0" w:space="0" w:color="auto"/>
                            <w:right w:val="none" w:sz="0" w:space="0" w:color="auto"/>
                          </w:divBdr>
                        </w:div>
                        <w:div w:id="796946775">
                          <w:marLeft w:val="0"/>
                          <w:marRight w:val="0"/>
                          <w:marTop w:val="0"/>
                          <w:marBottom w:val="0"/>
                          <w:divBdr>
                            <w:top w:val="none" w:sz="0" w:space="0" w:color="auto"/>
                            <w:left w:val="none" w:sz="0" w:space="0" w:color="auto"/>
                            <w:bottom w:val="none" w:sz="0" w:space="0" w:color="auto"/>
                            <w:right w:val="none" w:sz="0" w:space="0" w:color="auto"/>
                          </w:divBdr>
                        </w:div>
                        <w:div w:id="1241018712">
                          <w:marLeft w:val="0"/>
                          <w:marRight w:val="0"/>
                          <w:marTop w:val="0"/>
                          <w:marBottom w:val="0"/>
                          <w:divBdr>
                            <w:top w:val="none" w:sz="0" w:space="0" w:color="auto"/>
                            <w:left w:val="none" w:sz="0" w:space="0" w:color="auto"/>
                            <w:bottom w:val="none" w:sz="0" w:space="0" w:color="auto"/>
                            <w:right w:val="none" w:sz="0" w:space="0" w:color="auto"/>
                          </w:divBdr>
                        </w:div>
                        <w:div w:id="1559972765">
                          <w:marLeft w:val="0"/>
                          <w:marRight w:val="0"/>
                          <w:marTop w:val="0"/>
                          <w:marBottom w:val="0"/>
                          <w:divBdr>
                            <w:top w:val="none" w:sz="0" w:space="0" w:color="auto"/>
                            <w:left w:val="none" w:sz="0" w:space="0" w:color="auto"/>
                            <w:bottom w:val="none" w:sz="0" w:space="0" w:color="auto"/>
                            <w:right w:val="none" w:sz="0" w:space="0" w:color="auto"/>
                          </w:divBdr>
                        </w:div>
                        <w:div w:id="1920095950">
                          <w:marLeft w:val="0"/>
                          <w:marRight w:val="0"/>
                          <w:marTop w:val="0"/>
                          <w:marBottom w:val="0"/>
                          <w:divBdr>
                            <w:top w:val="none" w:sz="0" w:space="0" w:color="auto"/>
                            <w:left w:val="none" w:sz="0" w:space="0" w:color="auto"/>
                            <w:bottom w:val="none" w:sz="0" w:space="0" w:color="auto"/>
                            <w:right w:val="none" w:sz="0" w:space="0" w:color="auto"/>
                          </w:divBdr>
                        </w:div>
                        <w:div w:id="744496552">
                          <w:marLeft w:val="0"/>
                          <w:marRight w:val="0"/>
                          <w:marTop w:val="0"/>
                          <w:marBottom w:val="0"/>
                          <w:divBdr>
                            <w:top w:val="none" w:sz="0" w:space="0" w:color="auto"/>
                            <w:left w:val="none" w:sz="0" w:space="0" w:color="auto"/>
                            <w:bottom w:val="none" w:sz="0" w:space="0" w:color="auto"/>
                            <w:right w:val="none" w:sz="0" w:space="0" w:color="auto"/>
                          </w:divBdr>
                        </w:div>
                        <w:div w:id="8863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9667">
                  <w:marLeft w:val="0"/>
                  <w:marRight w:val="0"/>
                  <w:marTop w:val="15"/>
                  <w:marBottom w:val="0"/>
                  <w:divBdr>
                    <w:top w:val="none" w:sz="0" w:space="0" w:color="auto"/>
                    <w:left w:val="none" w:sz="0" w:space="0" w:color="auto"/>
                    <w:bottom w:val="none" w:sz="0" w:space="0" w:color="auto"/>
                    <w:right w:val="none" w:sz="0" w:space="0" w:color="auto"/>
                  </w:divBdr>
                  <w:divsChild>
                    <w:div w:id="2102408572">
                      <w:marLeft w:val="0"/>
                      <w:marRight w:val="0"/>
                      <w:marTop w:val="0"/>
                      <w:marBottom w:val="0"/>
                      <w:divBdr>
                        <w:top w:val="none" w:sz="0" w:space="0" w:color="auto"/>
                        <w:left w:val="none" w:sz="0" w:space="0" w:color="auto"/>
                        <w:bottom w:val="none" w:sz="0" w:space="0" w:color="auto"/>
                        <w:right w:val="none" w:sz="0" w:space="0" w:color="auto"/>
                      </w:divBdr>
                      <w:divsChild>
                        <w:div w:id="317729565">
                          <w:marLeft w:val="0"/>
                          <w:marRight w:val="0"/>
                          <w:marTop w:val="0"/>
                          <w:marBottom w:val="0"/>
                          <w:divBdr>
                            <w:top w:val="none" w:sz="0" w:space="0" w:color="auto"/>
                            <w:left w:val="none" w:sz="0" w:space="0" w:color="auto"/>
                            <w:bottom w:val="none" w:sz="0" w:space="0" w:color="auto"/>
                            <w:right w:val="none" w:sz="0" w:space="0" w:color="auto"/>
                          </w:divBdr>
                        </w:div>
                        <w:div w:id="2062433386">
                          <w:marLeft w:val="0"/>
                          <w:marRight w:val="0"/>
                          <w:marTop w:val="0"/>
                          <w:marBottom w:val="0"/>
                          <w:divBdr>
                            <w:top w:val="none" w:sz="0" w:space="0" w:color="auto"/>
                            <w:left w:val="none" w:sz="0" w:space="0" w:color="auto"/>
                            <w:bottom w:val="none" w:sz="0" w:space="0" w:color="auto"/>
                            <w:right w:val="none" w:sz="0" w:space="0" w:color="auto"/>
                          </w:divBdr>
                        </w:div>
                        <w:div w:id="963996457">
                          <w:marLeft w:val="0"/>
                          <w:marRight w:val="0"/>
                          <w:marTop w:val="0"/>
                          <w:marBottom w:val="0"/>
                          <w:divBdr>
                            <w:top w:val="none" w:sz="0" w:space="0" w:color="auto"/>
                            <w:left w:val="none" w:sz="0" w:space="0" w:color="auto"/>
                            <w:bottom w:val="none" w:sz="0" w:space="0" w:color="auto"/>
                            <w:right w:val="none" w:sz="0" w:space="0" w:color="auto"/>
                          </w:divBdr>
                        </w:div>
                        <w:div w:id="1052272976">
                          <w:marLeft w:val="0"/>
                          <w:marRight w:val="0"/>
                          <w:marTop w:val="0"/>
                          <w:marBottom w:val="0"/>
                          <w:divBdr>
                            <w:top w:val="none" w:sz="0" w:space="0" w:color="auto"/>
                            <w:left w:val="none" w:sz="0" w:space="0" w:color="auto"/>
                            <w:bottom w:val="none" w:sz="0" w:space="0" w:color="auto"/>
                            <w:right w:val="none" w:sz="0" w:space="0" w:color="auto"/>
                          </w:divBdr>
                        </w:div>
                        <w:div w:id="1162966562">
                          <w:marLeft w:val="0"/>
                          <w:marRight w:val="0"/>
                          <w:marTop w:val="0"/>
                          <w:marBottom w:val="0"/>
                          <w:divBdr>
                            <w:top w:val="none" w:sz="0" w:space="0" w:color="auto"/>
                            <w:left w:val="none" w:sz="0" w:space="0" w:color="auto"/>
                            <w:bottom w:val="none" w:sz="0" w:space="0" w:color="auto"/>
                            <w:right w:val="none" w:sz="0" w:space="0" w:color="auto"/>
                          </w:divBdr>
                        </w:div>
                        <w:div w:id="715736232">
                          <w:marLeft w:val="0"/>
                          <w:marRight w:val="0"/>
                          <w:marTop w:val="0"/>
                          <w:marBottom w:val="0"/>
                          <w:divBdr>
                            <w:top w:val="none" w:sz="0" w:space="0" w:color="auto"/>
                            <w:left w:val="none" w:sz="0" w:space="0" w:color="auto"/>
                            <w:bottom w:val="none" w:sz="0" w:space="0" w:color="auto"/>
                            <w:right w:val="none" w:sz="0" w:space="0" w:color="auto"/>
                          </w:divBdr>
                        </w:div>
                        <w:div w:id="1787888119">
                          <w:marLeft w:val="0"/>
                          <w:marRight w:val="0"/>
                          <w:marTop w:val="0"/>
                          <w:marBottom w:val="0"/>
                          <w:divBdr>
                            <w:top w:val="none" w:sz="0" w:space="0" w:color="auto"/>
                            <w:left w:val="none" w:sz="0" w:space="0" w:color="auto"/>
                            <w:bottom w:val="none" w:sz="0" w:space="0" w:color="auto"/>
                            <w:right w:val="none" w:sz="0" w:space="0" w:color="auto"/>
                          </w:divBdr>
                        </w:div>
                        <w:div w:id="1883906779">
                          <w:marLeft w:val="0"/>
                          <w:marRight w:val="0"/>
                          <w:marTop w:val="0"/>
                          <w:marBottom w:val="0"/>
                          <w:divBdr>
                            <w:top w:val="none" w:sz="0" w:space="0" w:color="auto"/>
                            <w:left w:val="none" w:sz="0" w:space="0" w:color="auto"/>
                            <w:bottom w:val="none" w:sz="0" w:space="0" w:color="auto"/>
                            <w:right w:val="none" w:sz="0" w:space="0" w:color="auto"/>
                          </w:divBdr>
                        </w:div>
                        <w:div w:id="1149326352">
                          <w:marLeft w:val="0"/>
                          <w:marRight w:val="0"/>
                          <w:marTop w:val="0"/>
                          <w:marBottom w:val="0"/>
                          <w:divBdr>
                            <w:top w:val="none" w:sz="0" w:space="0" w:color="auto"/>
                            <w:left w:val="none" w:sz="0" w:space="0" w:color="auto"/>
                            <w:bottom w:val="none" w:sz="0" w:space="0" w:color="auto"/>
                            <w:right w:val="none" w:sz="0" w:space="0" w:color="auto"/>
                          </w:divBdr>
                        </w:div>
                        <w:div w:id="408576678">
                          <w:marLeft w:val="0"/>
                          <w:marRight w:val="0"/>
                          <w:marTop w:val="0"/>
                          <w:marBottom w:val="0"/>
                          <w:divBdr>
                            <w:top w:val="none" w:sz="0" w:space="0" w:color="auto"/>
                            <w:left w:val="none" w:sz="0" w:space="0" w:color="auto"/>
                            <w:bottom w:val="none" w:sz="0" w:space="0" w:color="auto"/>
                            <w:right w:val="none" w:sz="0" w:space="0" w:color="auto"/>
                          </w:divBdr>
                        </w:div>
                        <w:div w:id="533159300">
                          <w:marLeft w:val="0"/>
                          <w:marRight w:val="0"/>
                          <w:marTop w:val="0"/>
                          <w:marBottom w:val="0"/>
                          <w:divBdr>
                            <w:top w:val="none" w:sz="0" w:space="0" w:color="auto"/>
                            <w:left w:val="none" w:sz="0" w:space="0" w:color="auto"/>
                            <w:bottom w:val="none" w:sz="0" w:space="0" w:color="auto"/>
                            <w:right w:val="none" w:sz="0" w:space="0" w:color="auto"/>
                          </w:divBdr>
                        </w:div>
                        <w:div w:id="657811695">
                          <w:marLeft w:val="0"/>
                          <w:marRight w:val="0"/>
                          <w:marTop w:val="0"/>
                          <w:marBottom w:val="0"/>
                          <w:divBdr>
                            <w:top w:val="none" w:sz="0" w:space="0" w:color="auto"/>
                            <w:left w:val="none" w:sz="0" w:space="0" w:color="auto"/>
                            <w:bottom w:val="none" w:sz="0" w:space="0" w:color="auto"/>
                            <w:right w:val="none" w:sz="0" w:space="0" w:color="auto"/>
                          </w:divBdr>
                        </w:div>
                        <w:div w:id="807431955">
                          <w:marLeft w:val="0"/>
                          <w:marRight w:val="0"/>
                          <w:marTop w:val="0"/>
                          <w:marBottom w:val="0"/>
                          <w:divBdr>
                            <w:top w:val="none" w:sz="0" w:space="0" w:color="auto"/>
                            <w:left w:val="none" w:sz="0" w:space="0" w:color="auto"/>
                            <w:bottom w:val="none" w:sz="0" w:space="0" w:color="auto"/>
                            <w:right w:val="none" w:sz="0" w:space="0" w:color="auto"/>
                          </w:divBdr>
                        </w:div>
                        <w:div w:id="1332369528">
                          <w:marLeft w:val="0"/>
                          <w:marRight w:val="0"/>
                          <w:marTop w:val="0"/>
                          <w:marBottom w:val="0"/>
                          <w:divBdr>
                            <w:top w:val="none" w:sz="0" w:space="0" w:color="auto"/>
                            <w:left w:val="none" w:sz="0" w:space="0" w:color="auto"/>
                            <w:bottom w:val="none" w:sz="0" w:space="0" w:color="auto"/>
                            <w:right w:val="none" w:sz="0" w:space="0" w:color="auto"/>
                          </w:divBdr>
                        </w:div>
                        <w:div w:id="124544590">
                          <w:marLeft w:val="0"/>
                          <w:marRight w:val="0"/>
                          <w:marTop w:val="0"/>
                          <w:marBottom w:val="0"/>
                          <w:divBdr>
                            <w:top w:val="none" w:sz="0" w:space="0" w:color="auto"/>
                            <w:left w:val="none" w:sz="0" w:space="0" w:color="auto"/>
                            <w:bottom w:val="none" w:sz="0" w:space="0" w:color="auto"/>
                            <w:right w:val="none" w:sz="0" w:space="0" w:color="auto"/>
                          </w:divBdr>
                        </w:div>
                        <w:div w:id="1395010739">
                          <w:marLeft w:val="0"/>
                          <w:marRight w:val="0"/>
                          <w:marTop w:val="0"/>
                          <w:marBottom w:val="0"/>
                          <w:divBdr>
                            <w:top w:val="none" w:sz="0" w:space="0" w:color="auto"/>
                            <w:left w:val="none" w:sz="0" w:space="0" w:color="auto"/>
                            <w:bottom w:val="none" w:sz="0" w:space="0" w:color="auto"/>
                            <w:right w:val="none" w:sz="0" w:space="0" w:color="auto"/>
                          </w:divBdr>
                        </w:div>
                        <w:div w:id="1679850435">
                          <w:marLeft w:val="0"/>
                          <w:marRight w:val="0"/>
                          <w:marTop w:val="0"/>
                          <w:marBottom w:val="0"/>
                          <w:divBdr>
                            <w:top w:val="none" w:sz="0" w:space="0" w:color="auto"/>
                            <w:left w:val="none" w:sz="0" w:space="0" w:color="auto"/>
                            <w:bottom w:val="none" w:sz="0" w:space="0" w:color="auto"/>
                            <w:right w:val="none" w:sz="0" w:space="0" w:color="auto"/>
                          </w:divBdr>
                        </w:div>
                        <w:div w:id="194200945">
                          <w:marLeft w:val="0"/>
                          <w:marRight w:val="0"/>
                          <w:marTop w:val="0"/>
                          <w:marBottom w:val="0"/>
                          <w:divBdr>
                            <w:top w:val="none" w:sz="0" w:space="0" w:color="auto"/>
                            <w:left w:val="none" w:sz="0" w:space="0" w:color="auto"/>
                            <w:bottom w:val="none" w:sz="0" w:space="0" w:color="auto"/>
                            <w:right w:val="none" w:sz="0" w:space="0" w:color="auto"/>
                          </w:divBdr>
                        </w:div>
                        <w:div w:id="442505275">
                          <w:marLeft w:val="0"/>
                          <w:marRight w:val="0"/>
                          <w:marTop w:val="0"/>
                          <w:marBottom w:val="0"/>
                          <w:divBdr>
                            <w:top w:val="none" w:sz="0" w:space="0" w:color="auto"/>
                            <w:left w:val="none" w:sz="0" w:space="0" w:color="auto"/>
                            <w:bottom w:val="none" w:sz="0" w:space="0" w:color="auto"/>
                            <w:right w:val="none" w:sz="0" w:space="0" w:color="auto"/>
                          </w:divBdr>
                        </w:div>
                        <w:div w:id="365060294">
                          <w:marLeft w:val="0"/>
                          <w:marRight w:val="0"/>
                          <w:marTop w:val="0"/>
                          <w:marBottom w:val="0"/>
                          <w:divBdr>
                            <w:top w:val="none" w:sz="0" w:space="0" w:color="auto"/>
                            <w:left w:val="none" w:sz="0" w:space="0" w:color="auto"/>
                            <w:bottom w:val="none" w:sz="0" w:space="0" w:color="auto"/>
                            <w:right w:val="none" w:sz="0" w:space="0" w:color="auto"/>
                          </w:divBdr>
                        </w:div>
                        <w:div w:id="845822401">
                          <w:marLeft w:val="0"/>
                          <w:marRight w:val="0"/>
                          <w:marTop w:val="0"/>
                          <w:marBottom w:val="0"/>
                          <w:divBdr>
                            <w:top w:val="none" w:sz="0" w:space="0" w:color="auto"/>
                            <w:left w:val="none" w:sz="0" w:space="0" w:color="auto"/>
                            <w:bottom w:val="none" w:sz="0" w:space="0" w:color="auto"/>
                            <w:right w:val="none" w:sz="0" w:space="0" w:color="auto"/>
                          </w:divBdr>
                        </w:div>
                        <w:div w:id="964895578">
                          <w:marLeft w:val="0"/>
                          <w:marRight w:val="0"/>
                          <w:marTop w:val="0"/>
                          <w:marBottom w:val="0"/>
                          <w:divBdr>
                            <w:top w:val="none" w:sz="0" w:space="0" w:color="auto"/>
                            <w:left w:val="none" w:sz="0" w:space="0" w:color="auto"/>
                            <w:bottom w:val="none" w:sz="0" w:space="0" w:color="auto"/>
                            <w:right w:val="none" w:sz="0" w:space="0" w:color="auto"/>
                          </w:divBdr>
                        </w:div>
                        <w:div w:id="1451168013">
                          <w:marLeft w:val="0"/>
                          <w:marRight w:val="0"/>
                          <w:marTop w:val="0"/>
                          <w:marBottom w:val="0"/>
                          <w:divBdr>
                            <w:top w:val="none" w:sz="0" w:space="0" w:color="auto"/>
                            <w:left w:val="none" w:sz="0" w:space="0" w:color="auto"/>
                            <w:bottom w:val="none" w:sz="0" w:space="0" w:color="auto"/>
                            <w:right w:val="none" w:sz="0" w:space="0" w:color="auto"/>
                          </w:divBdr>
                        </w:div>
                        <w:div w:id="799230709">
                          <w:marLeft w:val="0"/>
                          <w:marRight w:val="0"/>
                          <w:marTop w:val="0"/>
                          <w:marBottom w:val="0"/>
                          <w:divBdr>
                            <w:top w:val="none" w:sz="0" w:space="0" w:color="auto"/>
                            <w:left w:val="none" w:sz="0" w:space="0" w:color="auto"/>
                            <w:bottom w:val="none" w:sz="0" w:space="0" w:color="auto"/>
                            <w:right w:val="none" w:sz="0" w:space="0" w:color="auto"/>
                          </w:divBdr>
                        </w:div>
                        <w:div w:id="651181105">
                          <w:marLeft w:val="0"/>
                          <w:marRight w:val="0"/>
                          <w:marTop w:val="0"/>
                          <w:marBottom w:val="0"/>
                          <w:divBdr>
                            <w:top w:val="none" w:sz="0" w:space="0" w:color="auto"/>
                            <w:left w:val="none" w:sz="0" w:space="0" w:color="auto"/>
                            <w:bottom w:val="none" w:sz="0" w:space="0" w:color="auto"/>
                            <w:right w:val="none" w:sz="0" w:space="0" w:color="auto"/>
                          </w:divBdr>
                        </w:div>
                        <w:div w:id="1106773537">
                          <w:marLeft w:val="0"/>
                          <w:marRight w:val="0"/>
                          <w:marTop w:val="0"/>
                          <w:marBottom w:val="0"/>
                          <w:divBdr>
                            <w:top w:val="none" w:sz="0" w:space="0" w:color="auto"/>
                            <w:left w:val="none" w:sz="0" w:space="0" w:color="auto"/>
                            <w:bottom w:val="none" w:sz="0" w:space="0" w:color="auto"/>
                            <w:right w:val="none" w:sz="0" w:space="0" w:color="auto"/>
                          </w:divBdr>
                        </w:div>
                        <w:div w:id="684595082">
                          <w:marLeft w:val="0"/>
                          <w:marRight w:val="0"/>
                          <w:marTop w:val="0"/>
                          <w:marBottom w:val="0"/>
                          <w:divBdr>
                            <w:top w:val="none" w:sz="0" w:space="0" w:color="auto"/>
                            <w:left w:val="none" w:sz="0" w:space="0" w:color="auto"/>
                            <w:bottom w:val="none" w:sz="0" w:space="0" w:color="auto"/>
                            <w:right w:val="none" w:sz="0" w:space="0" w:color="auto"/>
                          </w:divBdr>
                        </w:div>
                        <w:div w:id="98570733">
                          <w:marLeft w:val="0"/>
                          <w:marRight w:val="0"/>
                          <w:marTop w:val="0"/>
                          <w:marBottom w:val="0"/>
                          <w:divBdr>
                            <w:top w:val="none" w:sz="0" w:space="0" w:color="auto"/>
                            <w:left w:val="none" w:sz="0" w:space="0" w:color="auto"/>
                            <w:bottom w:val="none" w:sz="0" w:space="0" w:color="auto"/>
                            <w:right w:val="none" w:sz="0" w:space="0" w:color="auto"/>
                          </w:divBdr>
                        </w:div>
                        <w:div w:id="1318221746">
                          <w:marLeft w:val="0"/>
                          <w:marRight w:val="0"/>
                          <w:marTop w:val="0"/>
                          <w:marBottom w:val="0"/>
                          <w:divBdr>
                            <w:top w:val="none" w:sz="0" w:space="0" w:color="auto"/>
                            <w:left w:val="none" w:sz="0" w:space="0" w:color="auto"/>
                            <w:bottom w:val="none" w:sz="0" w:space="0" w:color="auto"/>
                            <w:right w:val="none" w:sz="0" w:space="0" w:color="auto"/>
                          </w:divBdr>
                        </w:div>
                        <w:div w:id="643243257">
                          <w:marLeft w:val="0"/>
                          <w:marRight w:val="0"/>
                          <w:marTop w:val="0"/>
                          <w:marBottom w:val="0"/>
                          <w:divBdr>
                            <w:top w:val="none" w:sz="0" w:space="0" w:color="auto"/>
                            <w:left w:val="none" w:sz="0" w:space="0" w:color="auto"/>
                            <w:bottom w:val="none" w:sz="0" w:space="0" w:color="auto"/>
                            <w:right w:val="none" w:sz="0" w:space="0" w:color="auto"/>
                          </w:divBdr>
                        </w:div>
                        <w:div w:id="76949140">
                          <w:marLeft w:val="0"/>
                          <w:marRight w:val="0"/>
                          <w:marTop w:val="0"/>
                          <w:marBottom w:val="0"/>
                          <w:divBdr>
                            <w:top w:val="none" w:sz="0" w:space="0" w:color="auto"/>
                            <w:left w:val="none" w:sz="0" w:space="0" w:color="auto"/>
                            <w:bottom w:val="none" w:sz="0" w:space="0" w:color="auto"/>
                            <w:right w:val="none" w:sz="0" w:space="0" w:color="auto"/>
                          </w:divBdr>
                        </w:div>
                        <w:div w:id="159393550">
                          <w:marLeft w:val="0"/>
                          <w:marRight w:val="0"/>
                          <w:marTop w:val="0"/>
                          <w:marBottom w:val="0"/>
                          <w:divBdr>
                            <w:top w:val="none" w:sz="0" w:space="0" w:color="auto"/>
                            <w:left w:val="none" w:sz="0" w:space="0" w:color="auto"/>
                            <w:bottom w:val="none" w:sz="0" w:space="0" w:color="auto"/>
                            <w:right w:val="none" w:sz="0" w:space="0" w:color="auto"/>
                          </w:divBdr>
                        </w:div>
                        <w:div w:id="1469591170">
                          <w:marLeft w:val="0"/>
                          <w:marRight w:val="0"/>
                          <w:marTop w:val="0"/>
                          <w:marBottom w:val="0"/>
                          <w:divBdr>
                            <w:top w:val="none" w:sz="0" w:space="0" w:color="auto"/>
                            <w:left w:val="none" w:sz="0" w:space="0" w:color="auto"/>
                            <w:bottom w:val="none" w:sz="0" w:space="0" w:color="auto"/>
                            <w:right w:val="none" w:sz="0" w:space="0" w:color="auto"/>
                          </w:divBdr>
                        </w:div>
                        <w:div w:id="906184383">
                          <w:marLeft w:val="0"/>
                          <w:marRight w:val="0"/>
                          <w:marTop w:val="0"/>
                          <w:marBottom w:val="0"/>
                          <w:divBdr>
                            <w:top w:val="none" w:sz="0" w:space="0" w:color="auto"/>
                            <w:left w:val="none" w:sz="0" w:space="0" w:color="auto"/>
                            <w:bottom w:val="none" w:sz="0" w:space="0" w:color="auto"/>
                            <w:right w:val="none" w:sz="0" w:space="0" w:color="auto"/>
                          </w:divBdr>
                        </w:div>
                        <w:div w:id="977107402">
                          <w:marLeft w:val="0"/>
                          <w:marRight w:val="0"/>
                          <w:marTop w:val="0"/>
                          <w:marBottom w:val="0"/>
                          <w:divBdr>
                            <w:top w:val="none" w:sz="0" w:space="0" w:color="auto"/>
                            <w:left w:val="none" w:sz="0" w:space="0" w:color="auto"/>
                            <w:bottom w:val="none" w:sz="0" w:space="0" w:color="auto"/>
                            <w:right w:val="none" w:sz="0" w:space="0" w:color="auto"/>
                          </w:divBdr>
                        </w:div>
                        <w:div w:id="1466436234">
                          <w:marLeft w:val="0"/>
                          <w:marRight w:val="0"/>
                          <w:marTop w:val="0"/>
                          <w:marBottom w:val="0"/>
                          <w:divBdr>
                            <w:top w:val="none" w:sz="0" w:space="0" w:color="auto"/>
                            <w:left w:val="none" w:sz="0" w:space="0" w:color="auto"/>
                            <w:bottom w:val="none" w:sz="0" w:space="0" w:color="auto"/>
                            <w:right w:val="none" w:sz="0" w:space="0" w:color="auto"/>
                          </w:divBdr>
                        </w:div>
                        <w:div w:id="1501508083">
                          <w:marLeft w:val="0"/>
                          <w:marRight w:val="0"/>
                          <w:marTop w:val="0"/>
                          <w:marBottom w:val="0"/>
                          <w:divBdr>
                            <w:top w:val="none" w:sz="0" w:space="0" w:color="auto"/>
                            <w:left w:val="none" w:sz="0" w:space="0" w:color="auto"/>
                            <w:bottom w:val="none" w:sz="0" w:space="0" w:color="auto"/>
                            <w:right w:val="none" w:sz="0" w:space="0" w:color="auto"/>
                          </w:divBdr>
                        </w:div>
                        <w:div w:id="1024667941">
                          <w:marLeft w:val="0"/>
                          <w:marRight w:val="0"/>
                          <w:marTop w:val="0"/>
                          <w:marBottom w:val="0"/>
                          <w:divBdr>
                            <w:top w:val="none" w:sz="0" w:space="0" w:color="auto"/>
                            <w:left w:val="none" w:sz="0" w:space="0" w:color="auto"/>
                            <w:bottom w:val="none" w:sz="0" w:space="0" w:color="auto"/>
                            <w:right w:val="none" w:sz="0" w:space="0" w:color="auto"/>
                          </w:divBdr>
                        </w:div>
                        <w:div w:id="1757362472">
                          <w:marLeft w:val="0"/>
                          <w:marRight w:val="0"/>
                          <w:marTop w:val="0"/>
                          <w:marBottom w:val="0"/>
                          <w:divBdr>
                            <w:top w:val="none" w:sz="0" w:space="0" w:color="auto"/>
                            <w:left w:val="none" w:sz="0" w:space="0" w:color="auto"/>
                            <w:bottom w:val="none" w:sz="0" w:space="0" w:color="auto"/>
                            <w:right w:val="none" w:sz="0" w:space="0" w:color="auto"/>
                          </w:divBdr>
                        </w:div>
                        <w:div w:id="1311397076">
                          <w:marLeft w:val="0"/>
                          <w:marRight w:val="0"/>
                          <w:marTop w:val="0"/>
                          <w:marBottom w:val="0"/>
                          <w:divBdr>
                            <w:top w:val="none" w:sz="0" w:space="0" w:color="auto"/>
                            <w:left w:val="none" w:sz="0" w:space="0" w:color="auto"/>
                            <w:bottom w:val="none" w:sz="0" w:space="0" w:color="auto"/>
                            <w:right w:val="none" w:sz="0" w:space="0" w:color="auto"/>
                          </w:divBdr>
                        </w:div>
                        <w:div w:id="2043163006">
                          <w:marLeft w:val="0"/>
                          <w:marRight w:val="0"/>
                          <w:marTop w:val="0"/>
                          <w:marBottom w:val="0"/>
                          <w:divBdr>
                            <w:top w:val="none" w:sz="0" w:space="0" w:color="auto"/>
                            <w:left w:val="none" w:sz="0" w:space="0" w:color="auto"/>
                            <w:bottom w:val="none" w:sz="0" w:space="0" w:color="auto"/>
                            <w:right w:val="none" w:sz="0" w:space="0" w:color="auto"/>
                          </w:divBdr>
                        </w:div>
                        <w:div w:id="1299611549">
                          <w:marLeft w:val="0"/>
                          <w:marRight w:val="0"/>
                          <w:marTop w:val="0"/>
                          <w:marBottom w:val="0"/>
                          <w:divBdr>
                            <w:top w:val="none" w:sz="0" w:space="0" w:color="auto"/>
                            <w:left w:val="none" w:sz="0" w:space="0" w:color="auto"/>
                            <w:bottom w:val="none" w:sz="0" w:space="0" w:color="auto"/>
                            <w:right w:val="none" w:sz="0" w:space="0" w:color="auto"/>
                          </w:divBdr>
                        </w:div>
                        <w:div w:id="1629121534">
                          <w:marLeft w:val="0"/>
                          <w:marRight w:val="0"/>
                          <w:marTop w:val="0"/>
                          <w:marBottom w:val="0"/>
                          <w:divBdr>
                            <w:top w:val="none" w:sz="0" w:space="0" w:color="auto"/>
                            <w:left w:val="none" w:sz="0" w:space="0" w:color="auto"/>
                            <w:bottom w:val="none" w:sz="0" w:space="0" w:color="auto"/>
                            <w:right w:val="none" w:sz="0" w:space="0" w:color="auto"/>
                          </w:divBdr>
                        </w:div>
                        <w:div w:id="290867463">
                          <w:marLeft w:val="0"/>
                          <w:marRight w:val="0"/>
                          <w:marTop w:val="0"/>
                          <w:marBottom w:val="0"/>
                          <w:divBdr>
                            <w:top w:val="none" w:sz="0" w:space="0" w:color="auto"/>
                            <w:left w:val="none" w:sz="0" w:space="0" w:color="auto"/>
                            <w:bottom w:val="none" w:sz="0" w:space="0" w:color="auto"/>
                            <w:right w:val="none" w:sz="0" w:space="0" w:color="auto"/>
                          </w:divBdr>
                        </w:div>
                        <w:div w:id="580287115">
                          <w:marLeft w:val="0"/>
                          <w:marRight w:val="0"/>
                          <w:marTop w:val="0"/>
                          <w:marBottom w:val="0"/>
                          <w:divBdr>
                            <w:top w:val="none" w:sz="0" w:space="0" w:color="auto"/>
                            <w:left w:val="none" w:sz="0" w:space="0" w:color="auto"/>
                            <w:bottom w:val="none" w:sz="0" w:space="0" w:color="auto"/>
                            <w:right w:val="none" w:sz="0" w:space="0" w:color="auto"/>
                          </w:divBdr>
                        </w:div>
                        <w:div w:id="1256014659">
                          <w:marLeft w:val="0"/>
                          <w:marRight w:val="0"/>
                          <w:marTop w:val="0"/>
                          <w:marBottom w:val="0"/>
                          <w:divBdr>
                            <w:top w:val="none" w:sz="0" w:space="0" w:color="auto"/>
                            <w:left w:val="none" w:sz="0" w:space="0" w:color="auto"/>
                            <w:bottom w:val="none" w:sz="0" w:space="0" w:color="auto"/>
                            <w:right w:val="none" w:sz="0" w:space="0" w:color="auto"/>
                          </w:divBdr>
                        </w:div>
                        <w:div w:id="63458444">
                          <w:marLeft w:val="0"/>
                          <w:marRight w:val="0"/>
                          <w:marTop w:val="0"/>
                          <w:marBottom w:val="0"/>
                          <w:divBdr>
                            <w:top w:val="none" w:sz="0" w:space="0" w:color="auto"/>
                            <w:left w:val="none" w:sz="0" w:space="0" w:color="auto"/>
                            <w:bottom w:val="none" w:sz="0" w:space="0" w:color="auto"/>
                            <w:right w:val="none" w:sz="0" w:space="0" w:color="auto"/>
                          </w:divBdr>
                        </w:div>
                        <w:div w:id="922449498">
                          <w:marLeft w:val="0"/>
                          <w:marRight w:val="0"/>
                          <w:marTop w:val="0"/>
                          <w:marBottom w:val="0"/>
                          <w:divBdr>
                            <w:top w:val="none" w:sz="0" w:space="0" w:color="auto"/>
                            <w:left w:val="none" w:sz="0" w:space="0" w:color="auto"/>
                            <w:bottom w:val="none" w:sz="0" w:space="0" w:color="auto"/>
                            <w:right w:val="none" w:sz="0" w:space="0" w:color="auto"/>
                          </w:divBdr>
                        </w:div>
                        <w:div w:id="2104721013">
                          <w:marLeft w:val="0"/>
                          <w:marRight w:val="0"/>
                          <w:marTop w:val="0"/>
                          <w:marBottom w:val="0"/>
                          <w:divBdr>
                            <w:top w:val="none" w:sz="0" w:space="0" w:color="auto"/>
                            <w:left w:val="none" w:sz="0" w:space="0" w:color="auto"/>
                            <w:bottom w:val="none" w:sz="0" w:space="0" w:color="auto"/>
                            <w:right w:val="none" w:sz="0" w:space="0" w:color="auto"/>
                          </w:divBdr>
                        </w:div>
                        <w:div w:id="1936861380">
                          <w:marLeft w:val="0"/>
                          <w:marRight w:val="0"/>
                          <w:marTop w:val="0"/>
                          <w:marBottom w:val="0"/>
                          <w:divBdr>
                            <w:top w:val="none" w:sz="0" w:space="0" w:color="auto"/>
                            <w:left w:val="none" w:sz="0" w:space="0" w:color="auto"/>
                            <w:bottom w:val="none" w:sz="0" w:space="0" w:color="auto"/>
                            <w:right w:val="none" w:sz="0" w:space="0" w:color="auto"/>
                          </w:divBdr>
                        </w:div>
                        <w:div w:id="1976060397">
                          <w:marLeft w:val="0"/>
                          <w:marRight w:val="0"/>
                          <w:marTop w:val="0"/>
                          <w:marBottom w:val="0"/>
                          <w:divBdr>
                            <w:top w:val="none" w:sz="0" w:space="0" w:color="auto"/>
                            <w:left w:val="none" w:sz="0" w:space="0" w:color="auto"/>
                            <w:bottom w:val="none" w:sz="0" w:space="0" w:color="auto"/>
                            <w:right w:val="none" w:sz="0" w:space="0" w:color="auto"/>
                          </w:divBdr>
                        </w:div>
                        <w:div w:id="491607985">
                          <w:marLeft w:val="0"/>
                          <w:marRight w:val="0"/>
                          <w:marTop w:val="0"/>
                          <w:marBottom w:val="0"/>
                          <w:divBdr>
                            <w:top w:val="none" w:sz="0" w:space="0" w:color="auto"/>
                            <w:left w:val="none" w:sz="0" w:space="0" w:color="auto"/>
                            <w:bottom w:val="none" w:sz="0" w:space="0" w:color="auto"/>
                            <w:right w:val="none" w:sz="0" w:space="0" w:color="auto"/>
                          </w:divBdr>
                        </w:div>
                        <w:div w:id="1275020329">
                          <w:marLeft w:val="0"/>
                          <w:marRight w:val="0"/>
                          <w:marTop w:val="0"/>
                          <w:marBottom w:val="0"/>
                          <w:divBdr>
                            <w:top w:val="none" w:sz="0" w:space="0" w:color="auto"/>
                            <w:left w:val="none" w:sz="0" w:space="0" w:color="auto"/>
                            <w:bottom w:val="none" w:sz="0" w:space="0" w:color="auto"/>
                            <w:right w:val="none" w:sz="0" w:space="0" w:color="auto"/>
                          </w:divBdr>
                        </w:div>
                        <w:div w:id="78184695">
                          <w:marLeft w:val="0"/>
                          <w:marRight w:val="0"/>
                          <w:marTop w:val="0"/>
                          <w:marBottom w:val="0"/>
                          <w:divBdr>
                            <w:top w:val="none" w:sz="0" w:space="0" w:color="auto"/>
                            <w:left w:val="none" w:sz="0" w:space="0" w:color="auto"/>
                            <w:bottom w:val="none" w:sz="0" w:space="0" w:color="auto"/>
                            <w:right w:val="none" w:sz="0" w:space="0" w:color="auto"/>
                          </w:divBdr>
                        </w:div>
                        <w:div w:id="5333317">
                          <w:marLeft w:val="0"/>
                          <w:marRight w:val="0"/>
                          <w:marTop w:val="0"/>
                          <w:marBottom w:val="0"/>
                          <w:divBdr>
                            <w:top w:val="none" w:sz="0" w:space="0" w:color="auto"/>
                            <w:left w:val="none" w:sz="0" w:space="0" w:color="auto"/>
                            <w:bottom w:val="none" w:sz="0" w:space="0" w:color="auto"/>
                            <w:right w:val="none" w:sz="0" w:space="0" w:color="auto"/>
                          </w:divBdr>
                        </w:div>
                        <w:div w:id="1006051716">
                          <w:marLeft w:val="0"/>
                          <w:marRight w:val="0"/>
                          <w:marTop w:val="0"/>
                          <w:marBottom w:val="0"/>
                          <w:divBdr>
                            <w:top w:val="none" w:sz="0" w:space="0" w:color="auto"/>
                            <w:left w:val="none" w:sz="0" w:space="0" w:color="auto"/>
                            <w:bottom w:val="none" w:sz="0" w:space="0" w:color="auto"/>
                            <w:right w:val="none" w:sz="0" w:space="0" w:color="auto"/>
                          </w:divBdr>
                        </w:div>
                        <w:div w:id="1713770227">
                          <w:marLeft w:val="0"/>
                          <w:marRight w:val="0"/>
                          <w:marTop w:val="0"/>
                          <w:marBottom w:val="0"/>
                          <w:divBdr>
                            <w:top w:val="none" w:sz="0" w:space="0" w:color="auto"/>
                            <w:left w:val="none" w:sz="0" w:space="0" w:color="auto"/>
                            <w:bottom w:val="none" w:sz="0" w:space="0" w:color="auto"/>
                            <w:right w:val="none" w:sz="0" w:space="0" w:color="auto"/>
                          </w:divBdr>
                        </w:div>
                        <w:div w:id="235481713">
                          <w:marLeft w:val="0"/>
                          <w:marRight w:val="0"/>
                          <w:marTop w:val="0"/>
                          <w:marBottom w:val="0"/>
                          <w:divBdr>
                            <w:top w:val="none" w:sz="0" w:space="0" w:color="auto"/>
                            <w:left w:val="none" w:sz="0" w:space="0" w:color="auto"/>
                            <w:bottom w:val="none" w:sz="0" w:space="0" w:color="auto"/>
                            <w:right w:val="none" w:sz="0" w:space="0" w:color="auto"/>
                          </w:divBdr>
                        </w:div>
                        <w:div w:id="1183282227">
                          <w:marLeft w:val="0"/>
                          <w:marRight w:val="0"/>
                          <w:marTop w:val="0"/>
                          <w:marBottom w:val="0"/>
                          <w:divBdr>
                            <w:top w:val="none" w:sz="0" w:space="0" w:color="auto"/>
                            <w:left w:val="none" w:sz="0" w:space="0" w:color="auto"/>
                            <w:bottom w:val="none" w:sz="0" w:space="0" w:color="auto"/>
                            <w:right w:val="none" w:sz="0" w:space="0" w:color="auto"/>
                          </w:divBdr>
                        </w:div>
                        <w:div w:id="1875772354">
                          <w:marLeft w:val="0"/>
                          <w:marRight w:val="0"/>
                          <w:marTop w:val="0"/>
                          <w:marBottom w:val="0"/>
                          <w:divBdr>
                            <w:top w:val="none" w:sz="0" w:space="0" w:color="auto"/>
                            <w:left w:val="none" w:sz="0" w:space="0" w:color="auto"/>
                            <w:bottom w:val="none" w:sz="0" w:space="0" w:color="auto"/>
                            <w:right w:val="none" w:sz="0" w:space="0" w:color="auto"/>
                          </w:divBdr>
                        </w:div>
                        <w:div w:id="766390496">
                          <w:marLeft w:val="0"/>
                          <w:marRight w:val="0"/>
                          <w:marTop w:val="0"/>
                          <w:marBottom w:val="0"/>
                          <w:divBdr>
                            <w:top w:val="none" w:sz="0" w:space="0" w:color="auto"/>
                            <w:left w:val="none" w:sz="0" w:space="0" w:color="auto"/>
                            <w:bottom w:val="none" w:sz="0" w:space="0" w:color="auto"/>
                            <w:right w:val="none" w:sz="0" w:space="0" w:color="auto"/>
                          </w:divBdr>
                        </w:div>
                        <w:div w:id="533007424">
                          <w:marLeft w:val="0"/>
                          <w:marRight w:val="0"/>
                          <w:marTop w:val="0"/>
                          <w:marBottom w:val="0"/>
                          <w:divBdr>
                            <w:top w:val="none" w:sz="0" w:space="0" w:color="auto"/>
                            <w:left w:val="none" w:sz="0" w:space="0" w:color="auto"/>
                            <w:bottom w:val="none" w:sz="0" w:space="0" w:color="auto"/>
                            <w:right w:val="none" w:sz="0" w:space="0" w:color="auto"/>
                          </w:divBdr>
                        </w:div>
                        <w:div w:id="293147129">
                          <w:marLeft w:val="0"/>
                          <w:marRight w:val="0"/>
                          <w:marTop w:val="0"/>
                          <w:marBottom w:val="0"/>
                          <w:divBdr>
                            <w:top w:val="none" w:sz="0" w:space="0" w:color="auto"/>
                            <w:left w:val="none" w:sz="0" w:space="0" w:color="auto"/>
                            <w:bottom w:val="none" w:sz="0" w:space="0" w:color="auto"/>
                            <w:right w:val="none" w:sz="0" w:space="0" w:color="auto"/>
                          </w:divBdr>
                        </w:div>
                        <w:div w:id="286739013">
                          <w:marLeft w:val="0"/>
                          <w:marRight w:val="0"/>
                          <w:marTop w:val="0"/>
                          <w:marBottom w:val="0"/>
                          <w:divBdr>
                            <w:top w:val="none" w:sz="0" w:space="0" w:color="auto"/>
                            <w:left w:val="none" w:sz="0" w:space="0" w:color="auto"/>
                            <w:bottom w:val="none" w:sz="0" w:space="0" w:color="auto"/>
                            <w:right w:val="none" w:sz="0" w:space="0" w:color="auto"/>
                          </w:divBdr>
                        </w:div>
                        <w:div w:id="1291672600">
                          <w:marLeft w:val="0"/>
                          <w:marRight w:val="0"/>
                          <w:marTop w:val="0"/>
                          <w:marBottom w:val="0"/>
                          <w:divBdr>
                            <w:top w:val="none" w:sz="0" w:space="0" w:color="auto"/>
                            <w:left w:val="none" w:sz="0" w:space="0" w:color="auto"/>
                            <w:bottom w:val="none" w:sz="0" w:space="0" w:color="auto"/>
                            <w:right w:val="none" w:sz="0" w:space="0" w:color="auto"/>
                          </w:divBdr>
                        </w:div>
                        <w:div w:id="464734396">
                          <w:marLeft w:val="0"/>
                          <w:marRight w:val="0"/>
                          <w:marTop w:val="0"/>
                          <w:marBottom w:val="0"/>
                          <w:divBdr>
                            <w:top w:val="none" w:sz="0" w:space="0" w:color="auto"/>
                            <w:left w:val="none" w:sz="0" w:space="0" w:color="auto"/>
                            <w:bottom w:val="none" w:sz="0" w:space="0" w:color="auto"/>
                            <w:right w:val="none" w:sz="0" w:space="0" w:color="auto"/>
                          </w:divBdr>
                        </w:div>
                        <w:div w:id="2077580785">
                          <w:marLeft w:val="0"/>
                          <w:marRight w:val="0"/>
                          <w:marTop w:val="0"/>
                          <w:marBottom w:val="0"/>
                          <w:divBdr>
                            <w:top w:val="none" w:sz="0" w:space="0" w:color="auto"/>
                            <w:left w:val="none" w:sz="0" w:space="0" w:color="auto"/>
                            <w:bottom w:val="none" w:sz="0" w:space="0" w:color="auto"/>
                            <w:right w:val="none" w:sz="0" w:space="0" w:color="auto"/>
                          </w:divBdr>
                        </w:div>
                        <w:div w:id="32774401">
                          <w:marLeft w:val="0"/>
                          <w:marRight w:val="0"/>
                          <w:marTop w:val="0"/>
                          <w:marBottom w:val="0"/>
                          <w:divBdr>
                            <w:top w:val="none" w:sz="0" w:space="0" w:color="auto"/>
                            <w:left w:val="none" w:sz="0" w:space="0" w:color="auto"/>
                            <w:bottom w:val="none" w:sz="0" w:space="0" w:color="auto"/>
                            <w:right w:val="none" w:sz="0" w:space="0" w:color="auto"/>
                          </w:divBdr>
                        </w:div>
                        <w:div w:id="1153333513">
                          <w:marLeft w:val="0"/>
                          <w:marRight w:val="0"/>
                          <w:marTop w:val="0"/>
                          <w:marBottom w:val="0"/>
                          <w:divBdr>
                            <w:top w:val="none" w:sz="0" w:space="0" w:color="auto"/>
                            <w:left w:val="none" w:sz="0" w:space="0" w:color="auto"/>
                            <w:bottom w:val="none" w:sz="0" w:space="0" w:color="auto"/>
                            <w:right w:val="none" w:sz="0" w:space="0" w:color="auto"/>
                          </w:divBdr>
                        </w:div>
                        <w:div w:id="39524645">
                          <w:marLeft w:val="0"/>
                          <w:marRight w:val="0"/>
                          <w:marTop w:val="0"/>
                          <w:marBottom w:val="0"/>
                          <w:divBdr>
                            <w:top w:val="none" w:sz="0" w:space="0" w:color="auto"/>
                            <w:left w:val="none" w:sz="0" w:space="0" w:color="auto"/>
                            <w:bottom w:val="none" w:sz="0" w:space="0" w:color="auto"/>
                            <w:right w:val="none" w:sz="0" w:space="0" w:color="auto"/>
                          </w:divBdr>
                        </w:div>
                        <w:div w:id="900404336">
                          <w:marLeft w:val="0"/>
                          <w:marRight w:val="0"/>
                          <w:marTop w:val="0"/>
                          <w:marBottom w:val="0"/>
                          <w:divBdr>
                            <w:top w:val="none" w:sz="0" w:space="0" w:color="auto"/>
                            <w:left w:val="none" w:sz="0" w:space="0" w:color="auto"/>
                            <w:bottom w:val="none" w:sz="0" w:space="0" w:color="auto"/>
                            <w:right w:val="none" w:sz="0" w:space="0" w:color="auto"/>
                          </w:divBdr>
                        </w:div>
                        <w:div w:id="148644124">
                          <w:marLeft w:val="0"/>
                          <w:marRight w:val="0"/>
                          <w:marTop w:val="0"/>
                          <w:marBottom w:val="0"/>
                          <w:divBdr>
                            <w:top w:val="none" w:sz="0" w:space="0" w:color="auto"/>
                            <w:left w:val="none" w:sz="0" w:space="0" w:color="auto"/>
                            <w:bottom w:val="none" w:sz="0" w:space="0" w:color="auto"/>
                            <w:right w:val="none" w:sz="0" w:space="0" w:color="auto"/>
                          </w:divBdr>
                        </w:div>
                        <w:div w:id="1174422515">
                          <w:marLeft w:val="0"/>
                          <w:marRight w:val="0"/>
                          <w:marTop w:val="0"/>
                          <w:marBottom w:val="0"/>
                          <w:divBdr>
                            <w:top w:val="none" w:sz="0" w:space="0" w:color="auto"/>
                            <w:left w:val="none" w:sz="0" w:space="0" w:color="auto"/>
                            <w:bottom w:val="none" w:sz="0" w:space="0" w:color="auto"/>
                            <w:right w:val="none" w:sz="0" w:space="0" w:color="auto"/>
                          </w:divBdr>
                        </w:div>
                        <w:div w:id="1879662474">
                          <w:marLeft w:val="0"/>
                          <w:marRight w:val="0"/>
                          <w:marTop w:val="0"/>
                          <w:marBottom w:val="0"/>
                          <w:divBdr>
                            <w:top w:val="none" w:sz="0" w:space="0" w:color="auto"/>
                            <w:left w:val="none" w:sz="0" w:space="0" w:color="auto"/>
                            <w:bottom w:val="none" w:sz="0" w:space="0" w:color="auto"/>
                            <w:right w:val="none" w:sz="0" w:space="0" w:color="auto"/>
                          </w:divBdr>
                        </w:div>
                        <w:div w:id="1150827592">
                          <w:marLeft w:val="0"/>
                          <w:marRight w:val="0"/>
                          <w:marTop w:val="0"/>
                          <w:marBottom w:val="0"/>
                          <w:divBdr>
                            <w:top w:val="none" w:sz="0" w:space="0" w:color="auto"/>
                            <w:left w:val="none" w:sz="0" w:space="0" w:color="auto"/>
                            <w:bottom w:val="none" w:sz="0" w:space="0" w:color="auto"/>
                            <w:right w:val="none" w:sz="0" w:space="0" w:color="auto"/>
                          </w:divBdr>
                        </w:div>
                        <w:div w:id="511259426">
                          <w:marLeft w:val="0"/>
                          <w:marRight w:val="0"/>
                          <w:marTop w:val="0"/>
                          <w:marBottom w:val="0"/>
                          <w:divBdr>
                            <w:top w:val="none" w:sz="0" w:space="0" w:color="auto"/>
                            <w:left w:val="none" w:sz="0" w:space="0" w:color="auto"/>
                            <w:bottom w:val="none" w:sz="0" w:space="0" w:color="auto"/>
                            <w:right w:val="none" w:sz="0" w:space="0" w:color="auto"/>
                          </w:divBdr>
                        </w:div>
                        <w:div w:id="665091339">
                          <w:marLeft w:val="0"/>
                          <w:marRight w:val="0"/>
                          <w:marTop w:val="0"/>
                          <w:marBottom w:val="0"/>
                          <w:divBdr>
                            <w:top w:val="none" w:sz="0" w:space="0" w:color="auto"/>
                            <w:left w:val="none" w:sz="0" w:space="0" w:color="auto"/>
                            <w:bottom w:val="none" w:sz="0" w:space="0" w:color="auto"/>
                            <w:right w:val="none" w:sz="0" w:space="0" w:color="auto"/>
                          </w:divBdr>
                        </w:div>
                        <w:div w:id="1011105747">
                          <w:marLeft w:val="0"/>
                          <w:marRight w:val="0"/>
                          <w:marTop w:val="0"/>
                          <w:marBottom w:val="0"/>
                          <w:divBdr>
                            <w:top w:val="none" w:sz="0" w:space="0" w:color="auto"/>
                            <w:left w:val="none" w:sz="0" w:space="0" w:color="auto"/>
                            <w:bottom w:val="none" w:sz="0" w:space="0" w:color="auto"/>
                            <w:right w:val="none" w:sz="0" w:space="0" w:color="auto"/>
                          </w:divBdr>
                        </w:div>
                        <w:div w:id="493229622">
                          <w:marLeft w:val="0"/>
                          <w:marRight w:val="0"/>
                          <w:marTop w:val="0"/>
                          <w:marBottom w:val="0"/>
                          <w:divBdr>
                            <w:top w:val="none" w:sz="0" w:space="0" w:color="auto"/>
                            <w:left w:val="none" w:sz="0" w:space="0" w:color="auto"/>
                            <w:bottom w:val="none" w:sz="0" w:space="0" w:color="auto"/>
                            <w:right w:val="none" w:sz="0" w:space="0" w:color="auto"/>
                          </w:divBdr>
                        </w:div>
                        <w:div w:id="759446638">
                          <w:marLeft w:val="0"/>
                          <w:marRight w:val="0"/>
                          <w:marTop w:val="0"/>
                          <w:marBottom w:val="0"/>
                          <w:divBdr>
                            <w:top w:val="none" w:sz="0" w:space="0" w:color="auto"/>
                            <w:left w:val="none" w:sz="0" w:space="0" w:color="auto"/>
                            <w:bottom w:val="none" w:sz="0" w:space="0" w:color="auto"/>
                            <w:right w:val="none" w:sz="0" w:space="0" w:color="auto"/>
                          </w:divBdr>
                        </w:div>
                        <w:div w:id="1670449496">
                          <w:marLeft w:val="0"/>
                          <w:marRight w:val="0"/>
                          <w:marTop w:val="0"/>
                          <w:marBottom w:val="0"/>
                          <w:divBdr>
                            <w:top w:val="none" w:sz="0" w:space="0" w:color="auto"/>
                            <w:left w:val="none" w:sz="0" w:space="0" w:color="auto"/>
                            <w:bottom w:val="none" w:sz="0" w:space="0" w:color="auto"/>
                            <w:right w:val="none" w:sz="0" w:space="0" w:color="auto"/>
                          </w:divBdr>
                        </w:div>
                        <w:div w:id="55975043">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35421176">
                          <w:marLeft w:val="0"/>
                          <w:marRight w:val="0"/>
                          <w:marTop w:val="0"/>
                          <w:marBottom w:val="0"/>
                          <w:divBdr>
                            <w:top w:val="none" w:sz="0" w:space="0" w:color="auto"/>
                            <w:left w:val="none" w:sz="0" w:space="0" w:color="auto"/>
                            <w:bottom w:val="none" w:sz="0" w:space="0" w:color="auto"/>
                            <w:right w:val="none" w:sz="0" w:space="0" w:color="auto"/>
                          </w:divBdr>
                        </w:div>
                        <w:div w:id="1007098252">
                          <w:marLeft w:val="0"/>
                          <w:marRight w:val="0"/>
                          <w:marTop w:val="0"/>
                          <w:marBottom w:val="0"/>
                          <w:divBdr>
                            <w:top w:val="none" w:sz="0" w:space="0" w:color="auto"/>
                            <w:left w:val="none" w:sz="0" w:space="0" w:color="auto"/>
                            <w:bottom w:val="none" w:sz="0" w:space="0" w:color="auto"/>
                            <w:right w:val="none" w:sz="0" w:space="0" w:color="auto"/>
                          </w:divBdr>
                        </w:div>
                        <w:div w:id="7407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7816">
      <w:bodyDiv w:val="1"/>
      <w:marLeft w:val="0"/>
      <w:marRight w:val="0"/>
      <w:marTop w:val="0"/>
      <w:marBottom w:val="0"/>
      <w:divBdr>
        <w:top w:val="none" w:sz="0" w:space="0" w:color="auto"/>
        <w:left w:val="none" w:sz="0" w:space="0" w:color="auto"/>
        <w:bottom w:val="none" w:sz="0" w:space="0" w:color="auto"/>
        <w:right w:val="none" w:sz="0" w:space="0" w:color="auto"/>
      </w:divBdr>
    </w:div>
    <w:div w:id="346058761">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359940020">
      <w:bodyDiv w:val="1"/>
      <w:marLeft w:val="0"/>
      <w:marRight w:val="0"/>
      <w:marTop w:val="0"/>
      <w:marBottom w:val="0"/>
      <w:divBdr>
        <w:top w:val="none" w:sz="0" w:space="0" w:color="auto"/>
        <w:left w:val="none" w:sz="0" w:space="0" w:color="auto"/>
        <w:bottom w:val="none" w:sz="0" w:space="0" w:color="auto"/>
        <w:right w:val="none" w:sz="0" w:space="0" w:color="auto"/>
      </w:divBdr>
    </w:div>
    <w:div w:id="371613619">
      <w:bodyDiv w:val="1"/>
      <w:marLeft w:val="0"/>
      <w:marRight w:val="0"/>
      <w:marTop w:val="0"/>
      <w:marBottom w:val="0"/>
      <w:divBdr>
        <w:top w:val="none" w:sz="0" w:space="0" w:color="auto"/>
        <w:left w:val="none" w:sz="0" w:space="0" w:color="auto"/>
        <w:bottom w:val="none" w:sz="0" w:space="0" w:color="auto"/>
        <w:right w:val="none" w:sz="0" w:space="0" w:color="auto"/>
      </w:divBdr>
    </w:div>
    <w:div w:id="382339937">
      <w:bodyDiv w:val="1"/>
      <w:marLeft w:val="0"/>
      <w:marRight w:val="0"/>
      <w:marTop w:val="0"/>
      <w:marBottom w:val="0"/>
      <w:divBdr>
        <w:top w:val="none" w:sz="0" w:space="0" w:color="auto"/>
        <w:left w:val="none" w:sz="0" w:space="0" w:color="auto"/>
        <w:bottom w:val="none" w:sz="0" w:space="0" w:color="auto"/>
        <w:right w:val="none" w:sz="0" w:space="0" w:color="auto"/>
      </w:divBdr>
    </w:div>
    <w:div w:id="391388796">
      <w:bodyDiv w:val="1"/>
      <w:marLeft w:val="0"/>
      <w:marRight w:val="0"/>
      <w:marTop w:val="0"/>
      <w:marBottom w:val="0"/>
      <w:divBdr>
        <w:top w:val="none" w:sz="0" w:space="0" w:color="auto"/>
        <w:left w:val="none" w:sz="0" w:space="0" w:color="auto"/>
        <w:bottom w:val="none" w:sz="0" w:space="0" w:color="auto"/>
        <w:right w:val="none" w:sz="0" w:space="0" w:color="auto"/>
      </w:divBdr>
    </w:div>
    <w:div w:id="401566903">
      <w:bodyDiv w:val="1"/>
      <w:marLeft w:val="0"/>
      <w:marRight w:val="0"/>
      <w:marTop w:val="0"/>
      <w:marBottom w:val="0"/>
      <w:divBdr>
        <w:top w:val="none" w:sz="0" w:space="0" w:color="auto"/>
        <w:left w:val="none" w:sz="0" w:space="0" w:color="auto"/>
        <w:bottom w:val="none" w:sz="0" w:space="0" w:color="auto"/>
        <w:right w:val="none" w:sz="0" w:space="0" w:color="auto"/>
      </w:divBdr>
    </w:div>
    <w:div w:id="409546945">
      <w:bodyDiv w:val="1"/>
      <w:marLeft w:val="0"/>
      <w:marRight w:val="0"/>
      <w:marTop w:val="0"/>
      <w:marBottom w:val="0"/>
      <w:divBdr>
        <w:top w:val="none" w:sz="0" w:space="0" w:color="auto"/>
        <w:left w:val="none" w:sz="0" w:space="0" w:color="auto"/>
        <w:bottom w:val="none" w:sz="0" w:space="0" w:color="auto"/>
        <w:right w:val="none" w:sz="0" w:space="0" w:color="auto"/>
      </w:divBdr>
    </w:div>
    <w:div w:id="412122430">
      <w:bodyDiv w:val="1"/>
      <w:marLeft w:val="0"/>
      <w:marRight w:val="0"/>
      <w:marTop w:val="0"/>
      <w:marBottom w:val="0"/>
      <w:divBdr>
        <w:top w:val="none" w:sz="0" w:space="0" w:color="auto"/>
        <w:left w:val="none" w:sz="0" w:space="0" w:color="auto"/>
        <w:bottom w:val="none" w:sz="0" w:space="0" w:color="auto"/>
        <w:right w:val="none" w:sz="0" w:space="0" w:color="auto"/>
      </w:divBdr>
    </w:div>
    <w:div w:id="416441346">
      <w:bodyDiv w:val="1"/>
      <w:marLeft w:val="0"/>
      <w:marRight w:val="0"/>
      <w:marTop w:val="0"/>
      <w:marBottom w:val="0"/>
      <w:divBdr>
        <w:top w:val="none" w:sz="0" w:space="0" w:color="auto"/>
        <w:left w:val="none" w:sz="0" w:space="0" w:color="auto"/>
        <w:bottom w:val="none" w:sz="0" w:space="0" w:color="auto"/>
        <w:right w:val="none" w:sz="0" w:space="0" w:color="auto"/>
      </w:divBdr>
    </w:div>
    <w:div w:id="420764167">
      <w:bodyDiv w:val="1"/>
      <w:marLeft w:val="0"/>
      <w:marRight w:val="0"/>
      <w:marTop w:val="0"/>
      <w:marBottom w:val="0"/>
      <w:divBdr>
        <w:top w:val="none" w:sz="0" w:space="0" w:color="auto"/>
        <w:left w:val="none" w:sz="0" w:space="0" w:color="auto"/>
        <w:bottom w:val="none" w:sz="0" w:space="0" w:color="auto"/>
        <w:right w:val="none" w:sz="0" w:space="0" w:color="auto"/>
      </w:divBdr>
    </w:div>
    <w:div w:id="421146781">
      <w:bodyDiv w:val="1"/>
      <w:marLeft w:val="0"/>
      <w:marRight w:val="0"/>
      <w:marTop w:val="0"/>
      <w:marBottom w:val="0"/>
      <w:divBdr>
        <w:top w:val="none" w:sz="0" w:space="0" w:color="auto"/>
        <w:left w:val="none" w:sz="0" w:space="0" w:color="auto"/>
        <w:bottom w:val="none" w:sz="0" w:space="0" w:color="auto"/>
        <w:right w:val="none" w:sz="0" w:space="0" w:color="auto"/>
      </w:divBdr>
    </w:div>
    <w:div w:id="423919602">
      <w:bodyDiv w:val="1"/>
      <w:marLeft w:val="0"/>
      <w:marRight w:val="0"/>
      <w:marTop w:val="0"/>
      <w:marBottom w:val="0"/>
      <w:divBdr>
        <w:top w:val="none" w:sz="0" w:space="0" w:color="auto"/>
        <w:left w:val="none" w:sz="0" w:space="0" w:color="auto"/>
        <w:bottom w:val="none" w:sz="0" w:space="0" w:color="auto"/>
        <w:right w:val="none" w:sz="0" w:space="0" w:color="auto"/>
      </w:divBdr>
    </w:div>
    <w:div w:id="430200856">
      <w:bodyDiv w:val="1"/>
      <w:marLeft w:val="0"/>
      <w:marRight w:val="0"/>
      <w:marTop w:val="0"/>
      <w:marBottom w:val="0"/>
      <w:divBdr>
        <w:top w:val="none" w:sz="0" w:space="0" w:color="auto"/>
        <w:left w:val="none" w:sz="0" w:space="0" w:color="auto"/>
        <w:bottom w:val="none" w:sz="0" w:space="0" w:color="auto"/>
        <w:right w:val="none" w:sz="0" w:space="0" w:color="auto"/>
      </w:divBdr>
    </w:div>
    <w:div w:id="434635428">
      <w:bodyDiv w:val="1"/>
      <w:marLeft w:val="0"/>
      <w:marRight w:val="0"/>
      <w:marTop w:val="0"/>
      <w:marBottom w:val="0"/>
      <w:divBdr>
        <w:top w:val="none" w:sz="0" w:space="0" w:color="auto"/>
        <w:left w:val="none" w:sz="0" w:space="0" w:color="auto"/>
        <w:bottom w:val="none" w:sz="0" w:space="0" w:color="auto"/>
        <w:right w:val="none" w:sz="0" w:space="0" w:color="auto"/>
      </w:divBdr>
    </w:div>
    <w:div w:id="443115930">
      <w:bodyDiv w:val="1"/>
      <w:marLeft w:val="0"/>
      <w:marRight w:val="0"/>
      <w:marTop w:val="0"/>
      <w:marBottom w:val="0"/>
      <w:divBdr>
        <w:top w:val="none" w:sz="0" w:space="0" w:color="auto"/>
        <w:left w:val="none" w:sz="0" w:space="0" w:color="auto"/>
        <w:bottom w:val="none" w:sz="0" w:space="0" w:color="auto"/>
        <w:right w:val="none" w:sz="0" w:space="0" w:color="auto"/>
      </w:divBdr>
    </w:div>
    <w:div w:id="451706336">
      <w:bodyDiv w:val="1"/>
      <w:marLeft w:val="0"/>
      <w:marRight w:val="0"/>
      <w:marTop w:val="0"/>
      <w:marBottom w:val="0"/>
      <w:divBdr>
        <w:top w:val="none" w:sz="0" w:space="0" w:color="auto"/>
        <w:left w:val="none" w:sz="0" w:space="0" w:color="auto"/>
        <w:bottom w:val="none" w:sz="0" w:space="0" w:color="auto"/>
        <w:right w:val="none" w:sz="0" w:space="0" w:color="auto"/>
      </w:divBdr>
    </w:div>
    <w:div w:id="452864454">
      <w:bodyDiv w:val="1"/>
      <w:marLeft w:val="0"/>
      <w:marRight w:val="0"/>
      <w:marTop w:val="0"/>
      <w:marBottom w:val="0"/>
      <w:divBdr>
        <w:top w:val="none" w:sz="0" w:space="0" w:color="auto"/>
        <w:left w:val="none" w:sz="0" w:space="0" w:color="auto"/>
        <w:bottom w:val="none" w:sz="0" w:space="0" w:color="auto"/>
        <w:right w:val="none" w:sz="0" w:space="0" w:color="auto"/>
      </w:divBdr>
    </w:div>
    <w:div w:id="457377558">
      <w:bodyDiv w:val="1"/>
      <w:marLeft w:val="0"/>
      <w:marRight w:val="0"/>
      <w:marTop w:val="0"/>
      <w:marBottom w:val="0"/>
      <w:divBdr>
        <w:top w:val="none" w:sz="0" w:space="0" w:color="auto"/>
        <w:left w:val="none" w:sz="0" w:space="0" w:color="auto"/>
        <w:bottom w:val="none" w:sz="0" w:space="0" w:color="auto"/>
        <w:right w:val="none" w:sz="0" w:space="0" w:color="auto"/>
      </w:divBdr>
    </w:div>
    <w:div w:id="458378475">
      <w:bodyDiv w:val="1"/>
      <w:marLeft w:val="0"/>
      <w:marRight w:val="0"/>
      <w:marTop w:val="0"/>
      <w:marBottom w:val="0"/>
      <w:divBdr>
        <w:top w:val="none" w:sz="0" w:space="0" w:color="auto"/>
        <w:left w:val="none" w:sz="0" w:space="0" w:color="auto"/>
        <w:bottom w:val="none" w:sz="0" w:space="0" w:color="auto"/>
        <w:right w:val="none" w:sz="0" w:space="0" w:color="auto"/>
      </w:divBdr>
    </w:div>
    <w:div w:id="461582973">
      <w:bodyDiv w:val="1"/>
      <w:marLeft w:val="0"/>
      <w:marRight w:val="0"/>
      <w:marTop w:val="0"/>
      <w:marBottom w:val="0"/>
      <w:divBdr>
        <w:top w:val="none" w:sz="0" w:space="0" w:color="auto"/>
        <w:left w:val="none" w:sz="0" w:space="0" w:color="auto"/>
        <w:bottom w:val="none" w:sz="0" w:space="0" w:color="auto"/>
        <w:right w:val="none" w:sz="0" w:space="0" w:color="auto"/>
      </w:divBdr>
    </w:div>
    <w:div w:id="467625232">
      <w:bodyDiv w:val="1"/>
      <w:marLeft w:val="0"/>
      <w:marRight w:val="0"/>
      <w:marTop w:val="0"/>
      <w:marBottom w:val="0"/>
      <w:divBdr>
        <w:top w:val="none" w:sz="0" w:space="0" w:color="auto"/>
        <w:left w:val="none" w:sz="0" w:space="0" w:color="auto"/>
        <w:bottom w:val="none" w:sz="0" w:space="0" w:color="auto"/>
        <w:right w:val="none" w:sz="0" w:space="0" w:color="auto"/>
      </w:divBdr>
      <w:divsChild>
        <w:div w:id="2114010480">
          <w:marLeft w:val="0"/>
          <w:marRight w:val="0"/>
          <w:marTop w:val="0"/>
          <w:marBottom w:val="0"/>
          <w:divBdr>
            <w:top w:val="none" w:sz="0" w:space="0" w:color="auto"/>
            <w:left w:val="none" w:sz="0" w:space="0" w:color="auto"/>
            <w:bottom w:val="none" w:sz="0" w:space="0" w:color="auto"/>
            <w:right w:val="none" w:sz="0" w:space="0" w:color="auto"/>
          </w:divBdr>
        </w:div>
      </w:divsChild>
    </w:div>
    <w:div w:id="472719549">
      <w:bodyDiv w:val="1"/>
      <w:marLeft w:val="0"/>
      <w:marRight w:val="0"/>
      <w:marTop w:val="0"/>
      <w:marBottom w:val="0"/>
      <w:divBdr>
        <w:top w:val="none" w:sz="0" w:space="0" w:color="auto"/>
        <w:left w:val="none" w:sz="0" w:space="0" w:color="auto"/>
        <w:bottom w:val="none" w:sz="0" w:space="0" w:color="auto"/>
        <w:right w:val="none" w:sz="0" w:space="0" w:color="auto"/>
      </w:divBdr>
    </w:div>
    <w:div w:id="475336921">
      <w:bodyDiv w:val="1"/>
      <w:marLeft w:val="0"/>
      <w:marRight w:val="0"/>
      <w:marTop w:val="0"/>
      <w:marBottom w:val="0"/>
      <w:divBdr>
        <w:top w:val="none" w:sz="0" w:space="0" w:color="auto"/>
        <w:left w:val="none" w:sz="0" w:space="0" w:color="auto"/>
        <w:bottom w:val="none" w:sz="0" w:space="0" w:color="auto"/>
        <w:right w:val="none" w:sz="0" w:space="0" w:color="auto"/>
      </w:divBdr>
    </w:div>
    <w:div w:id="477846913">
      <w:bodyDiv w:val="1"/>
      <w:marLeft w:val="0"/>
      <w:marRight w:val="0"/>
      <w:marTop w:val="0"/>
      <w:marBottom w:val="0"/>
      <w:divBdr>
        <w:top w:val="none" w:sz="0" w:space="0" w:color="auto"/>
        <w:left w:val="none" w:sz="0" w:space="0" w:color="auto"/>
        <w:bottom w:val="none" w:sz="0" w:space="0" w:color="auto"/>
        <w:right w:val="none" w:sz="0" w:space="0" w:color="auto"/>
      </w:divBdr>
    </w:div>
    <w:div w:id="478039842">
      <w:bodyDiv w:val="1"/>
      <w:marLeft w:val="0"/>
      <w:marRight w:val="0"/>
      <w:marTop w:val="0"/>
      <w:marBottom w:val="0"/>
      <w:divBdr>
        <w:top w:val="none" w:sz="0" w:space="0" w:color="auto"/>
        <w:left w:val="none" w:sz="0" w:space="0" w:color="auto"/>
        <w:bottom w:val="none" w:sz="0" w:space="0" w:color="auto"/>
        <w:right w:val="none" w:sz="0" w:space="0" w:color="auto"/>
      </w:divBdr>
    </w:div>
    <w:div w:id="484199877">
      <w:bodyDiv w:val="1"/>
      <w:marLeft w:val="0"/>
      <w:marRight w:val="0"/>
      <w:marTop w:val="0"/>
      <w:marBottom w:val="0"/>
      <w:divBdr>
        <w:top w:val="none" w:sz="0" w:space="0" w:color="auto"/>
        <w:left w:val="none" w:sz="0" w:space="0" w:color="auto"/>
        <w:bottom w:val="none" w:sz="0" w:space="0" w:color="auto"/>
        <w:right w:val="none" w:sz="0" w:space="0" w:color="auto"/>
      </w:divBdr>
    </w:div>
    <w:div w:id="487406415">
      <w:bodyDiv w:val="1"/>
      <w:marLeft w:val="0"/>
      <w:marRight w:val="0"/>
      <w:marTop w:val="0"/>
      <w:marBottom w:val="0"/>
      <w:divBdr>
        <w:top w:val="none" w:sz="0" w:space="0" w:color="auto"/>
        <w:left w:val="none" w:sz="0" w:space="0" w:color="auto"/>
        <w:bottom w:val="none" w:sz="0" w:space="0" w:color="auto"/>
        <w:right w:val="none" w:sz="0" w:space="0" w:color="auto"/>
      </w:divBdr>
    </w:div>
    <w:div w:id="491877150">
      <w:bodyDiv w:val="1"/>
      <w:marLeft w:val="0"/>
      <w:marRight w:val="0"/>
      <w:marTop w:val="0"/>
      <w:marBottom w:val="0"/>
      <w:divBdr>
        <w:top w:val="none" w:sz="0" w:space="0" w:color="auto"/>
        <w:left w:val="none" w:sz="0" w:space="0" w:color="auto"/>
        <w:bottom w:val="none" w:sz="0" w:space="0" w:color="auto"/>
        <w:right w:val="none" w:sz="0" w:space="0" w:color="auto"/>
      </w:divBdr>
    </w:div>
    <w:div w:id="492724474">
      <w:bodyDiv w:val="1"/>
      <w:marLeft w:val="0"/>
      <w:marRight w:val="0"/>
      <w:marTop w:val="0"/>
      <w:marBottom w:val="0"/>
      <w:divBdr>
        <w:top w:val="none" w:sz="0" w:space="0" w:color="auto"/>
        <w:left w:val="none" w:sz="0" w:space="0" w:color="auto"/>
        <w:bottom w:val="none" w:sz="0" w:space="0" w:color="auto"/>
        <w:right w:val="none" w:sz="0" w:space="0" w:color="auto"/>
      </w:divBdr>
    </w:div>
    <w:div w:id="493762798">
      <w:bodyDiv w:val="1"/>
      <w:marLeft w:val="0"/>
      <w:marRight w:val="0"/>
      <w:marTop w:val="0"/>
      <w:marBottom w:val="0"/>
      <w:divBdr>
        <w:top w:val="none" w:sz="0" w:space="0" w:color="auto"/>
        <w:left w:val="none" w:sz="0" w:space="0" w:color="auto"/>
        <w:bottom w:val="none" w:sz="0" w:space="0" w:color="auto"/>
        <w:right w:val="none" w:sz="0" w:space="0" w:color="auto"/>
      </w:divBdr>
      <w:divsChild>
        <w:div w:id="449399322">
          <w:marLeft w:val="0"/>
          <w:marRight w:val="0"/>
          <w:marTop w:val="0"/>
          <w:marBottom w:val="0"/>
          <w:divBdr>
            <w:top w:val="none" w:sz="0" w:space="0" w:color="auto"/>
            <w:left w:val="none" w:sz="0" w:space="0" w:color="auto"/>
            <w:bottom w:val="none" w:sz="0" w:space="0" w:color="auto"/>
            <w:right w:val="none" w:sz="0" w:space="0" w:color="auto"/>
          </w:divBdr>
        </w:div>
        <w:div w:id="1406099961">
          <w:marLeft w:val="0"/>
          <w:marRight w:val="0"/>
          <w:marTop w:val="0"/>
          <w:marBottom w:val="0"/>
          <w:divBdr>
            <w:top w:val="none" w:sz="0" w:space="0" w:color="auto"/>
            <w:left w:val="none" w:sz="0" w:space="0" w:color="auto"/>
            <w:bottom w:val="none" w:sz="0" w:space="0" w:color="auto"/>
            <w:right w:val="none" w:sz="0" w:space="0" w:color="auto"/>
          </w:divBdr>
        </w:div>
        <w:div w:id="778061005">
          <w:marLeft w:val="0"/>
          <w:marRight w:val="0"/>
          <w:marTop w:val="0"/>
          <w:marBottom w:val="0"/>
          <w:divBdr>
            <w:top w:val="none" w:sz="0" w:space="0" w:color="auto"/>
            <w:left w:val="none" w:sz="0" w:space="0" w:color="auto"/>
            <w:bottom w:val="none" w:sz="0" w:space="0" w:color="auto"/>
            <w:right w:val="none" w:sz="0" w:space="0" w:color="auto"/>
          </w:divBdr>
        </w:div>
        <w:div w:id="228344989">
          <w:marLeft w:val="0"/>
          <w:marRight w:val="0"/>
          <w:marTop w:val="0"/>
          <w:marBottom w:val="0"/>
          <w:divBdr>
            <w:top w:val="none" w:sz="0" w:space="0" w:color="auto"/>
            <w:left w:val="none" w:sz="0" w:space="0" w:color="auto"/>
            <w:bottom w:val="none" w:sz="0" w:space="0" w:color="auto"/>
            <w:right w:val="none" w:sz="0" w:space="0" w:color="auto"/>
          </w:divBdr>
        </w:div>
        <w:div w:id="1635520180">
          <w:marLeft w:val="0"/>
          <w:marRight w:val="0"/>
          <w:marTop w:val="0"/>
          <w:marBottom w:val="0"/>
          <w:divBdr>
            <w:top w:val="none" w:sz="0" w:space="0" w:color="auto"/>
            <w:left w:val="none" w:sz="0" w:space="0" w:color="auto"/>
            <w:bottom w:val="none" w:sz="0" w:space="0" w:color="auto"/>
            <w:right w:val="none" w:sz="0" w:space="0" w:color="auto"/>
          </w:divBdr>
        </w:div>
        <w:div w:id="645476002">
          <w:marLeft w:val="0"/>
          <w:marRight w:val="0"/>
          <w:marTop w:val="0"/>
          <w:marBottom w:val="0"/>
          <w:divBdr>
            <w:top w:val="none" w:sz="0" w:space="0" w:color="auto"/>
            <w:left w:val="none" w:sz="0" w:space="0" w:color="auto"/>
            <w:bottom w:val="none" w:sz="0" w:space="0" w:color="auto"/>
            <w:right w:val="none" w:sz="0" w:space="0" w:color="auto"/>
          </w:divBdr>
        </w:div>
        <w:div w:id="157311528">
          <w:marLeft w:val="0"/>
          <w:marRight w:val="0"/>
          <w:marTop w:val="0"/>
          <w:marBottom w:val="0"/>
          <w:divBdr>
            <w:top w:val="none" w:sz="0" w:space="0" w:color="auto"/>
            <w:left w:val="none" w:sz="0" w:space="0" w:color="auto"/>
            <w:bottom w:val="none" w:sz="0" w:space="0" w:color="auto"/>
            <w:right w:val="none" w:sz="0" w:space="0" w:color="auto"/>
          </w:divBdr>
        </w:div>
        <w:div w:id="823159641">
          <w:marLeft w:val="0"/>
          <w:marRight w:val="0"/>
          <w:marTop w:val="0"/>
          <w:marBottom w:val="0"/>
          <w:divBdr>
            <w:top w:val="none" w:sz="0" w:space="0" w:color="auto"/>
            <w:left w:val="none" w:sz="0" w:space="0" w:color="auto"/>
            <w:bottom w:val="none" w:sz="0" w:space="0" w:color="auto"/>
            <w:right w:val="none" w:sz="0" w:space="0" w:color="auto"/>
          </w:divBdr>
        </w:div>
        <w:div w:id="1382898333">
          <w:marLeft w:val="0"/>
          <w:marRight w:val="0"/>
          <w:marTop w:val="0"/>
          <w:marBottom w:val="0"/>
          <w:divBdr>
            <w:top w:val="none" w:sz="0" w:space="0" w:color="auto"/>
            <w:left w:val="none" w:sz="0" w:space="0" w:color="auto"/>
            <w:bottom w:val="none" w:sz="0" w:space="0" w:color="auto"/>
            <w:right w:val="none" w:sz="0" w:space="0" w:color="auto"/>
          </w:divBdr>
        </w:div>
        <w:div w:id="1236625037">
          <w:marLeft w:val="0"/>
          <w:marRight w:val="0"/>
          <w:marTop w:val="0"/>
          <w:marBottom w:val="0"/>
          <w:divBdr>
            <w:top w:val="none" w:sz="0" w:space="0" w:color="auto"/>
            <w:left w:val="none" w:sz="0" w:space="0" w:color="auto"/>
            <w:bottom w:val="none" w:sz="0" w:space="0" w:color="auto"/>
            <w:right w:val="none" w:sz="0" w:space="0" w:color="auto"/>
          </w:divBdr>
        </w:div>
        <w:div w:id="1383872336">
          <w:marLeft w:val="0"/>
          <w:marRight w:val="0"/>
          <w:marTop w:val="0"/>
          <w:marBottom w:val="0"/>
          <w:divBdr>
            <w:top w:val="none" w:sz="0" w:space="0" w:color="auto"/>
            <w:left w:val="none" w:sz="0" w:space="0" w:color="auto"/>
            <w:bottom w:val="none" w:sz="0" w:space="0" w:color="auto"/>
            <w:right w:val="none" w:sz="0" w:space="0" w:color="auto"/>
          </w:divBdr>
        </w:div>
        <w:div w:id="283080766">
          <w:marLeft w:val="0"/>
          <w:marRight w:val="0"/>
          <w:marTop w:val="0"/>
          <w:marBottom w:val="0"/>
          <w:divBdr>
            <w:top w:val="none" w:sz="0" w:space="0" w:color="auto"/>
            <w:left w:val="none" w:sz="0" w:space="0" w:color="auto"/>
            <w:bottom w:val="none" w:sz="0" w:space="0" w:color="auto"/>
            <w:right w:val="none" w:sz="0" w:space="0" w:color="auto"/>
          </w:divBdr>
        </w:div>
        <w:div w:id="391318626">
          <w:marLeft w:val="0"/>
          <w:marRight w:val="0"/>
          <w:marTop w:val="0"/>
          <w:marBottom w:val="0"/>
          <w:divBdr>
            <w:top w:val="none" w:sz="0" w:space="0" w:color="auto"/>
            <w:left w:val="none" w:sz="0" w:space="0" w:color="auto"/>
            <w:bottom w:val="none" w:sz="0" w:space="0" w:color="auto"/>
            <w:right w:val="none" w:sz="0" w:space="0" w:color="auto"/>
          </w:divBdr>
        </w:div>
      </w:divsChild>
    </w:div>
    <w:div w:id="495465533">
      <w:bodyDiv w:val="1"/>
      <w:marLeft w:val="0"/>
      <w:marRight w:val="0"/>
      <w:marTop w:val="0"/>
      <w:marBottom w:val="0"/>
      <w:divBdr>
        <w:top w:val="none" w:sz="0" w:space="0" w:color="auto"/>
        <w:left w:val="none" w:sz="0" w:space="0" w:color="auto"/>
        <w:bottom w:val="none" w:sz="0" w:space="0" w:color="auto"/>
        <w:right w:val="none" w:sz="0" w:space="0" w:color="auto"/>
      </w:divBdr>
    </w:div>
    <w:div w:id="498618934">
      <w:bodyDiv w:val="1"/>
      <w:marLeft w:val="0"/>
      <w:marRight w:val="0"/>
      <w:marTop w:val="0"/>
      <w:marBottom w:val="0"/>
      <w:divBdr>
        <w:top w:val="none" w:sz="0" w:space="0" w:color="auto"/>
        <w:left w:val="none" w:sz="0" w:space="0" w:color="auto"/>
        <w:bottom w:val="none" w:sz="0" w:space="0" w:color="auto"/>
        <w:right w:val="none" w:sz="0" w:space="0" w:color="auto"/>
      </w:divBdr>
    </w:div>
    <w:div w:id="503738575">
      <w:bodyDiv w:val="1"/>
      <w:marLeft w:val="0"/>
      <w:marRight w:val="0"/>
      <w:marTop w:val="0"/>
      <w:marBottom w:val="0"/>
      <w:divBdr>
        <w:top w:val="none" w:sz="0" w:space="0" w:color="auto"/>
        <w:left w:val="none" w:sz="0" w:space="0" w:color="auto"/>
        <w:bottom w:val="none" w:sz="0" w:space="0" w:color="auto"/>
        <w:right w:val="none" w:sz="0" w:space="0" w:color="auto"/>
      </w:divBdr>
    </w:div>
    <w:div w:id="504059359">
      <w:bodyDiv w:val="1"/>
      <w:marLeft w:val="0"/>
      <w:marRight w:val="0"/>
      <w:marTop w:val="0"/>
      <w:marBottom w:val="0"/>
      <w:divBdr>
        <w:top w:val="none" w:sz="0" w:space="0" w:color="auto"/>
        <w:left w:val="none" w:sz="0" w:space="0" w:color="auto"/>
        <w:bottom w:val="none" w:sz="0" w:space="0" w:color="auto"/>
        <w:right w:val="none" w:sz="0" w:space="0" w:color="auto"/>
      </w:divBdr>
    </w:div>
    <w:div w:id="504367444">
      <w:bodyDiv w:val="1"/>
      <w:marLeft w:val="0"/>
      <w:marRight w:val="0"/>
      <w:marTop w:val="0"/>
      <w:marBottom w:val="0"/>
      <w:divBdr>
        <w:top w:val="none" w:sz="0" w:space="0" w:color="auto"/>
        <w:left w:val="none" w:sz="0" w:space="0" w:color="auto"/>
        <w:bottom w:val="none" w:sz="0" w:space="0" w:color="auto"/>
        <w:right w:val="none" w:sz="0" w:space="0" w:color="auto"/>
      </w:divBdr>
    </w:div>
    <w:div w:id="509488653">
      <w:bodyDiv w:val="1"/>
      <w:marLeft w:val="0"/>
      <w:marRight w:val="0"/>
      <w:marTop w:val="0"/>
      <w:marBottom w:val="0"/>
      <w:divBdr>
        <w:top w:val="none" w:sz="0" w:space="0" w:color="auto"/>
        <w:left w:val="none" w:sz="0" w:space="0" w:color="auto"/>
        <w:bottom w:val="none" w:sz="0" w:space="0" w:color="auto"/>
        <w:right w:val="none" w:sz="0" w:space="0" w:color="auto"/>
      </w:divBdr>
    </w:div>
    <w:div w:id="514809623">
      <w:bodyDiv w:val="1"/>
      <w:marLeft w:val="0"/>
      <w:marRight w:val="0"/>
      <w:marTop w:val="0"/>
      <w:marBottom w:val="0"/>
      <w:divBdr>
        <w:top w:val="none" w:sz="0" w:space="0" w:color="auto"/>
        <w:left w:val="none" w:sz="0" w:space="0" w:color="auto"/>
        <w:bottom w:val="none" w:sz="0" w:space="0" w:color="auto"/>
        <w:right w:val="none" w:sz="0" w:space="0" w:color="auto"/>
      </w:divBdr>
    </w:div>
    <w:div w:id="516044650">
      <w:bodyDiv w:val="1"/>
      <w:marLeft w:val="0"/>
      <w:marRight w:val="0"/>
      <w:marTop w:val="0"/>
      <w:marBottom w:val="0"/>
      <w:divBdr>
        <w:top w:val="none" w:sz="0" w:space="0" w:color="auto"/>
        <w:left w:val="none" w:sz="0" w:space="0" w:color="auto"/>
        <w:bottom w:val="none" w:sz="0" w:space="0" w:color="auto"/>
        <w:right w:val="none" w:sz="0" w:space="0" w:color="auto"/>
      </w:divBdr>
    </w:div>
    <w:div w:id="516887666">
      <w:bodyDiv w:val="1"/>
      <w:marLeft w:val="0"/>
      <w:marRight w:val="0"/>
      <w:marTop w:val="0"/>
      <w:marBottom w:val="0"/>
      <w:divBdr>
        <w:top w:val="none" w:sz="0" w:space="0" w:color="auto"/>
        <w:left w:val="none" w:sz="0" w:space="0" w:color="auto"/>
        <w:bottom w:val="none" w:sz="0" w:space="0" w:color="auto"/>
        <w:right w:val="none" w:sz="0" w:space="0" w:color="auto"/>
      </w:divBdr>
    </w:div>
    <w:div w:id="521936552">
      <w:bodyDiv w:val="1"/>
      <w:marLeft w:val="0"/>
      <w:marRight w:val="0"/>
      <w:marTop w:val="0"/>
      <w:marBottom w:val="0"/>
      <w:divBdr>
        <w:top w:val="none" w:sz="0" w:space="0" w:color="auto"/>
        <w:left w:val="none" w:sz="0" w:space="0" w:color="auto"/>
        <w:bottom w:val="none" w:sz="0" w:space="0" w:color="auto"/>
        <w:right w:val="none" w:sz="0" w:space="0" w:color="auto"/>
      </w:divBdr>
    </w:div>
    <w:div w:id="524442856">
      <w:bodyDiv w:val="1"/>
      <w:marLeft w:val="0"/>
      <w:marRight w:val="0"/>
      <w:marTop w:val="0"/>
      <w:marBottom w:val="0"/>
      <w:divBdr>
        <w:top w:val="none" w:sz="0" w:space="0" w:color="auto"/>
        <w:left w:val="none" w:sz="0" w:space="0" w:color="auto"/>
        <w:bottom w:val="none" w:sz="0" w:space="0" w:color="auto"/>
        <w:right w:val="none" w:sz="0" w:space="0" w:color="auto"/>
      </w:divBdr>
    </w:div>
    <w:div w:id="524902899">
      <w:bodyDiv w:val="1"/>
      <w:marLeft w:val="0"/>
      <w:marRight w:val="0"/>
      <w:marTop w:val="0"/>
      <w:marBottom w:val="0"/>
      <w:divBdr>
        <w:top w:val="none" w:sz="0" w:space="0" w:color="auto"/>
        <w:left w:val="none" w:sz="0" w:space="0" w:color="auto"/>
        <w:bottom w:val="none" w:sz="0" w:space="0" w:color="auto"/>
        <w:right w:val="none" w:sz="0" w:space="0" w:color="auto"/>
      </w:divBdr>
    </w:div>
    <w:div w:id="527958898">
      <w:bodyDiv w:val="1"/>
      <w:marLeft w:val="0"/>
      <w:marRight w:val="0"/>
      <w:marTop w:val="0"/>
      <w:marBottom w:val="0"/>
      <w:divBdr>
        <w:top w:val="none" w:sz="0" w:space="0" w:color="auto"/>
        <w:left w:val="none" w:sz="0" w:space="0" w:color="auto"/>
        <w:bottom w:val="none" w:sz="0" w:space="0" w:color="auto"/>
        <w:right w:val="none" w:sz="0" w:space="0" w:color="auto"/>
      </w:divBdr>
    </w:div>
    <w:div w:id="529143298">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685918">
      <w:bodyDiv w:val="1"/>
      <w:marLeft w:val="0"/>
      <w:marRight w:val="0"/>
      <w:marTop w:val="0"/>
      <w:marBottom w:val="0"/>
      <w:divBdr>
        <w:top w:val="none" w:sz="0" w:space="0" w:color="auto"/>
        <w:left w:val="none" w:sz="0" w:space="0" w:color="auto"/>
        <w:bottom w:val="none" w:sz="0" w:space="0" w:color="auto"/>
        <w:right w:val="none" w:sz="0" w:space="0" w:color="auto"/>
      </w:divBdr>
    </w:div>
    <w:div w:id="546842089">
      <w:bodyDiv w:val="1"/>
      <w:marLeft w:val="0"/>
      <w:marRight w:val="0"/>
      <w:marTop w:val="0"/>
      <w:marBottom w:val="0"/>
      <w:divBdr>
        <w:top w:val="none" w:sz="0" w:space="0" w:color="auto"/>
        <w:left w:val="none" w:sz="0" w:space="0" w:color="auto"/>
        <w:bottom w:val="none" w:sz="0" w:space="0" w:color="auto"/>
        <w:right w:val="none" w:sz="0" w:space="0" w:color="auto"/>
      </w:divBdr>
      <w:divsChild>
        <w:div w:id="964963553">
          <w:marLeft w:val="0"/>
          <w:marRight w:val="83"/>
          <w:marTop w:val="0"/>
          <w:marBottom w:val="0"/>
          <w:divBdr>
            <w:top w:val="none" w:sz="0" w:space="0" w:color="auto"/>
            <w:left w:val="none" w:sz="0" w:space="0" w:color="auto"/>
            <w:bottom w:val="none" w:sz="0" w:space="0" w:color="auto"/>
            <w:right w:val="none" w:sz="0" w:space="0" w:color="auto"/>
          </w:divBdr>
        </w:div>
        <w:div w:id="385182808">
          <w:marLeft w:val="0"/>
          <w:marRight w:val="0"/>
          <w:marTop w:val="0"/>
          <w:marBottom w:val="0"/>
          <w:divBdr>
            <w:top w:val="none" w:sz="0" w:space="0" w:color="auto"/>
            <w:left w:val="none" w:sz="0" w:space="0" w:color="auto"/>
            <w:bottom w:val="none" w:sz="0" w:space="0" w:color="auto"/>
            <w:right w:val="none" w:sz="0" w:space="0" w:color="auto"/>
          </w:divBdr>
          <w:divsChild>
            <w:div w:id="440808192">
              <w:marLeft w:val="0"/>
              <w:marRight w:val="0"/>
              <w:marTop w:val="0"/>
              <w:marBottom w:val="0"/>
              <w:divBdr>
                <w:top w:val="none" w:sz="0" w:space="0" w:color="auto"/>
                <w:left w:val="none" w:sz="0" w:space="0" w:color="auto"/>
                <w:bottom w:val="none" w:sz="0" w:space="0" w:color="auto"/>
                <w:right w:val="none" w:sz="0" w:space="0" w:color="auto"/>
              </w:divBdr>
              <w:divsChild>
                <w:div w:id="270548660">
                  <w:marLeft w:val="0"/>
                  <w:marRight w:val="0"/>
                  <w:marTop w:val="0"/>
                  <w:marBottom w:val="0"/>
                  <w:divBdr>
                    <w:top w:val="none" w:sz="0" w:space="0" w:color="auto"/>
                    <w:left w:val="none" w:sz="0" w:space="0" w:color="auto"/>
                    <w:bottom w:val="none" w:sz="0" w:space="0" w:color="auto"/>
                    <w:right w:val="none" w:sz="0" w:space="0" w:color="auto"/>
                  </w:divBdr>
                  <w:divsChild>
                    <w:div w:id="1028918427">
                      <w:marLeft w:val="0"/>
                      <w:marRight w:val="0"/>
                      <w:marTop w:val="0"/>
                      <w:marBottom w:val="0"/>
                      <w:divBdr>
                        <w:top w:val="none" w:sz="0" w:space="0" w:color="auto"/>
                        <w:left w:val="none" w:sz="0" w:space="0" w:color="auto"/>
                        <w:bottom w:val="none" w:sz="0" w:space="0" w:color="auto"/>
                        <w:right w:val="none" w:sz="0" w:space="0" w:color="auto"/>
                      </w:divBdr>
                    </w:div>
                    <w:div w:id="384456507">
                      <w:marLeft w:val="0"/>
                      <w:marRight w:val="0"/>
                      <w:marTop w:val="0"/>
                      <w:marBottom w:val="0"/>
                      <w:divBdr>
                        <w:top w:val="none" w:sz="0" w:space="0" w:color="auto"/>
                        <w:left w:val="none" w:sz="0" w:space="0" w:color="auto"/>
                        <w:bottom w:val="none" w:sz="0" w:space="0" w:color="auto"/>
                        <w:right w:val="none" w:sz="0" w:space="0" w:color="auto"/>
                      </w:divBdr>
                    </w:div>
                  </w:divsChild>
                </w:div>
                <w:div w:id="2690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34638">
      <w:bodyDiv w:val="1"/>
      <w:marLeft w:val="0"/>
      <w:marRight w:val="0"/>
      <w:marTop w:val="0"/>
      <w:marBottom w:val="0"/>
      <w:divBdr>
        <w:top w:val="none" w:sz="0" w:space="0" w:color="auto"/>
        <w:left w:val="none" w:sz="0" w:space="0" w:color="auto"/>
        <w:bottom w:val="none" w:sz="0" w:space="0" w:color="auto"/>
        <w:right w:val="none" w:sz="0" w:space="0" w:color="auto"/>
      </w:divBdr>
    </w:div>
    <w:div w:id="553933637">
      <w:bodyDiv w:val="1"/>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sChild>
    </w:div>
    <w:div w:id="554586611">
      <w:bodyDiv w:val="1"/>
      <w:marLeft w:val="0"/>
      <w:marRight w:val="0"/>
      <w:marTop w:val="0"/>
      <w:marBottom w:val="0"/>
      <w:divBdr>
        <w:top w:val="none" w:sz="0" w:space="0" w:color="auto"/>
        <w:left w:val="none" w:sz="0" w:space="0" w:color="auto"/>
        <w:bottom w:val="none" w:sz="0" w:space="0" w:color="auto"/>
        <w:right w:val="none" w:sz="0" w:space="0" w:color="auto"/>
      </w:divBdr>
    </w:div>
    <w:div w:id="555899269">
      <w:bodyDiv w:val="1"/>
      <w:marLeft w:val="0"/>
      <w:marRight w:val="0"/>
      <w:marTop w:val="0"/>
      <w:marBottom w:val="0"/>
      <w:divBdr>
        <w:top w:val="none" w:sz="0" w:space="0" w:color="auto"/>
        <w:left w:val="none" w:sz="0" w:space="0" w:color="auto"/>
        <w:bottom w:val="none" w:sz="0" w:space="0" w:color="auto"/>
        <w:right w:val="none" w:sz="0" w:space="0" w:color="auto"/>
      </w:divBdr>
    </w:div>
    <w:div w:id="556354752">
      <w:bodyDiv w:val="1"/>
      <w:marLeft w:val="0"/>
      <w:marRight w:val="0"/>
      <w:marTop w:val="0"/>
      <w:marBottom w:val="0"/>
      <w:divBdr>
        <w:top w:val="none" w:sz="0" w:space="0" w:color="auto"/>
        <w:left w:val="none" w:sz="0" w:space="0" w:color="auto"/>
        <w:bottom w:val="none" w:sz="0" w:space="0" w:color="auto"/>
        <w:right w:val="none" w:sz="0" w:space="0" w:color="auto"/>
      </w:divBdr>
    </w:div>
    <w:div w:id="558172836">
      <w:bodyDiv w:val="1"/>
      <w:marLeft w:val="0"/>
      <w:marRight w:val="0"/>
      <w:marTop w:val="0"/>
      <w:marBottom w:val="0"/>
      <w:divBdr>
        <w:top w:val="none" w:sz="0" w:space="0" w:color="auto"/>
        <w:left w:val="none" w:sz="0" w:space="0" w:color="auto"/>
        <w:bottom w:val="none" w:sz="0" w:space="0" w:color="auto"/>
        <w:right w:val="none" w:sz="0" w:space="0" w:color="auto"/>
      </w:divBdr>
    </w:div>
    <w:div w:id="560098143">
      <w:bodyDiv w:val="1"/>
      <w:marLeft w:val="0"/>
      <w:marRight w:val="0"/>
      <w:marTop w:val="0"/>
      <w:marBottom w:val="0"/>
      <w:divBdr>
        <w:top w:val="none" w:sz="0" w:space="0" w:color="auto"/>
        <w:left w:val="none" w:sz="0" w:space="0" w:color="auto"/>
        <w:bottom w:val="none" w:sz="0" w:space="0" w:color="auto"/>
        <w:right w:val="none" w:sz="0" w:space="0" w:color="auto"/>
      </w:divBdr>
    </w:div>
    <w:div w:id="564293561">
      <w:bodyDiv w:val="1"/>
      <w:marLeft w:val="0"/>
      <w:marRight w:val="0"/>
      <w:marTop w:val="0"/>
      <w:marBottom w:val="0"/>
      <w:divBdr>
        <w:top w:val="none" w:sz="0" w:space="0" w:color="auto"/>
        <w:left w:val="none" w:sz="0" w:space="0" w:color="auto"/>
        <w:bottom w:val="none" w:sz="0" w:space="0" w:color="auto"/>
        <w:right w:val="none" w:sz="0" w:space="0" w:color="auto"/>
      </w:divBdr>
    </w:div>
    <w:div w:id="565334885">
      <w:bodyDiv w:val="1"/>
      <w:marLeft w:val="0"/>
      <w:marRight w:val="0"/>
      <w:marTop w:val="0"/>
      <w:marBottom w:val="0"/>
      <w:divBdr>
        <w:top w:val="none" w:sz="0" w:space="0" w:color="auto"/>
        <w:left w:val="none" w:sz="0" w:space="0" w:color="auto"/>
        <w:bottom w:val="none" w:sz="0" w:space="0" w:color="auto"/>
        <w:right w:val="none" w:sz="0" w:space="0" w:color="auto"/>
      </w:divBdr>
    </w:div>
    <w:div w:id="565452585">
      <w:bodyDiv w:val="1"/>
      <w:marLeft w:val="0"/>
      <w:marRight w:val="0"/>
      <w:marTop w:val="0"/>
      <w:marBottom w:val="0"/>
      <w:divBdr>
        <w:top w:val="none" w:sz="0" w:space="0" w:color="auto"/>
        <w:left w:val="none" w:sz="0" w:space="0" w:color="auto"/>
        <w:bottom w:val="none" w:sz="0" w:space="0" w:color="auto"/>
        <w:right w:val="none" w:sz="0" w:space="0" w:color="auto"/>
      </w:divBdr>
    </w:div>
    <w:div w:id="566260426">
      <w:bodyDiv w:val="1"/>
      <w:marLeft w:val="0"/>
      <w:marRight w:val="0"/>
      <w:marTop w:val="0"/>
      <w:marBottom w:val="0"/>
      <w:divBdr>
        <w:top w:val="none" w:sz="0" w:space="0" w:color="auto"/>
        <w:left w:val="none" w:sz="0" w:space="0" w:color="auto"/>
        <w:bottom w:val="none" w:sz="0" w:space="0" w:color="auto"/>
        <w:right w:val="none" w:sz="0" w:space="0" w:color="auto"/>
      </w:divBdr>
    </w:div>
    <w:div w:id="568662156">
      <w:bodyDiv w:val="1"/>
      <w:marLeft w:val="0"/>
      <w:marRight w:val="0"/>
      <w:marTop w:val="0"/>
      <w:marBottom w:val="0"/>
      <w:divBdr>
        <w:top w:val="none" w:sz="0" w:space="0" w:color="auto"/>
        <w:left w:val="none" w:sz="0" w:space="0" w:color="auto"/>
        <w:bottom w:val="none" w:sz="0" w:space="0" w:color="auto"/>
        <w:right w:val="none" w:sz="0" w:space="0" w:color="auto"/>
      </w:divBdr>
      <w:divsChild>
        <w:div w:id="2100329158">
          <w:marLeft w:val="0"/>
          <w:marRight w:val="0"/>
          <w:marTop w:val="0"/>
          <w:marBottom w:val="0"/>
          <w:divBdr>
            <w:top w:val="none" w:sz="0" w:space="0" w:color="auto"/>
            <w:left w:val="none" w:sz="0" w:space="0" w:color="auto"/>
            <w:bottom w:val="none" w:sz="0" w:space="0" w:color="auto"/>
            <w:right w:val="none" w:sz="0" w:space="0" w:color="auto"/>
          </w:divBdr>
        </w:div>
      </w:divsChild>
    </w:div>
    <w:div w:id="569537223">
      <w:bodyDiv w:val="1"/>
      <w:marLeft w:val="0"/>
      <w:marRight w:val="0"/>
      <w:marTop w:val="0"/>
      <w:marBottom w:val="0"/>
      <w:divBdr>
        <w:top w:val="none" w:sz="0" w:space="0" w:color="auto"/>
        <w:left w:val="none" w:sz="0" w:space="0" w:color="auto"/>
        <w:bottom w:val="none" w:sz="0" w:space="0" w:color="auto"/>
        <w:right w:val="none" w:sz="0" w:space="0" w:color="auto"/>
      </w:divBdr>
    </w:div>
    <w:div w:id="570702625">
      <w:bodyDiv w:val="1"/>
      <w:marLeft w:val="0"/>
      <w:marRight w:val="0"/>
      <w:marTop w:val="0"/>
      <w:marBottom w:val="0"/>
      <w:divBdr>
        <w:top w:val="none" w:sz="0" w:space="0" w:color="auto"/>
        <w:left w:val="none" w:sz="0" w:space="0" w:color="auto"/>
        <w:bottom w:val="none" w:sz="0" w:space="0" w:color="auto"/>
        <w:right w:val="none" w:sz="0" w:space="0" w:color="auto"/>
      </w:divBdr>
    </w:div>
    <w:div w:id="573008402">
      <w:bodyDiv w:val="1"/>
      <w:marLeft w:val="0"/>
      <w:marRight w:val="0"/>
      <w:marTop w:val="0"/>
      <w:marBottom w:val="0"/>
      <w:divBdr>
        <w:top w:val="none" w:sz="0" w:space="0" w:color="auto"/>
        <w:left w:val="none" w:sz="0" w:space="0" w:color="auto"/>
        <w:bottom w:val="none" w:sz="0" w:space="0" w:color="auto"/>
        <w:right w:val="none" w:sz="0" w:space="0" w:color="auto"/>
      </w:divBdr>
    </w:div>
    <w:div w:id="573011536">
      <w:bodyDiv w:val="1"/>
      <w:marLeft w:val="0"/>
      <w:marRight w:val="0"/>
      <w:marTop w:val="0"/>
      <w:marBottom w:val="0"/>
      <w:divBdr>
        <w:top w:val="none" w:sz="0" w:space="0" w:color="auto"/>
        <w:left w:val="none" w:sz="0" w:space="0" w:color="auto"/>
        <w:bottom w:val="none" w:sz="0" w:space="0" w:color="auto"/>
        <w:right w:val="none" w:sz="0" w:space="0" w:color="auto"/>
      </w:divBdr>
    </w:div>
    <w:div w:id="576475356">
      <w:bodyDiv w:val="1"/>
      <w:marLeft w:val="0"/>
      <w:marRight w:val="0"/>
      <w:marTop w:val="0"/>
      <w:marBottom w:val="0"/>
      <w:divBdr>
        <w:top w:val="none" w:sz="0" w:space="0" w:color="auto"/>
        <w:left w:val="none" w:sz="0" w:space="0" w:color="auto"/>
        <w:bottom w:val="none" w:sz="0" w:space="0" w:color="auto"/>
        <w:right w:val="none" w:sz="0" w:space="0" w:color="auto"/>
      </w:divBdr>
    </w:div>
    <w:div w:id="583606427">
      <w:bodyDiv w:val="1"/>
      <w:marLeft w:val="0"/>
      <w:marRight w:val="0"/>
      <w:marTop w:val="0"/>
      <w:marBottom w:val="0"/>
      <w:divBdr>
        <w:top w:val="none" w:sz="0" w:space="0" w:color="auto"/>
        <w:left w:val="none" w:sz="0" w:space="0" w:color="auto"/>
        <w:bottom w:val="none" w:sz="0" w:space="0" w:color="auto"/>
        <w:right w:val="none" w:sz="0" w:space="0" w:color="auto"/>
      </w:divBdr>
    </w:div>
    <w:div w:id="583687153">
      <w:bodyDiv w:val="1"/>
      <w:marLeft w:val="0"/>
      <w:marRight w:val="0"/>
      <w:marTop w:val="0"/>
      <w:marBottom w:val="0"/>
      <w:divBdr>
        <w:top w:val="none" w:sz="0" w:space="0" w:color="auto"/>
        <w:left w:val="none" w:sz="0" w:space="0" w:color="auto"/>
        <w:bottom w:val="none" w:sz="0" w:space="0" w:color="auto"/>
        <w:right w:val="none" w:sz="0" w:space="0" w:color="auto"/>
      </w:divBdr>
    </w:div>
    <w:div w:id="584194809">
      <w:bodyDiv w:val="1"/>
      <w:marLeft w:val="0"/>
      <w:marRight w:val="0"/>
      <w:marTop w:val="0"/>
      <w:marBottom w:val="0"/>
      <w:divBdr>
        <w:top w:val="none" w:sz="0" w:space="0" w:color="auto"/>
        <w:left w:val="none" w:sz="0" w:space="0" w:color="auto"/>
        <w:bottom w:val="none" w:sz="0" w:space="0" w:color="auto"/>
        <w:right w:val="none" w:sz="0" w:space="0" w:color="auto"/>
      </w:divBdr>
    </w:div>
    <w:div w:id="584263006">
      <w:bodyDiv w:val="1"/>
      <w:marLeft w:val="0"/>
      <w:marRight w:val="0"/>
      <w:marTop w:val="0"/>
      <w:marBottom w:val="0"/>
      <w:divBdr>
        <w:top w:val="none" w:sz="0" w:space="0" w:color="auto"/>
        <w:left w:val="none" w:sz="0" w:space="0" w:color="auto"/>
        <w:bottom w:val="none" w:sz="0" w:space="0" w:color="auto"/>
        <w:right w:val="none" w:sz="0" w:space="0" w:color="auto"/>
      </w:divBdr>
    </w:div>
    <w:div w:id="586572523">
      <w:bodyDiv w:val="1"/>
      <w:marLeft w:val="0"/>
      <w:marRight w:val="0"/>
      <w:marTop w:val="0"/>
      <w:marBottom w:val="0"/>
      <w:divBdr>
        <w:top w:val="none" w:sz="0" w:space="0" w:color="auto"/>
        <w:left w:val="none" w:sz="0" w:space="0" w:color="auto"/>
        <w:bottom w:val="none" w:sz="0" w:space="0" w:color="auto"/>
        <w:right w:val="none" w:sz="0" w:space="0" w:color="auto"/>
      </w:divBdr>
    </w:div>
    <w:div w:id="592052598">
      <w:bodyDiv w:val="1"/>
      <w:marLeft w:val="0"/>
      <w:marRight w:val="0"/>
      <w:marTop w:val="0"/>
      <w:marBottom w:val="0"/>
      <w:divBdr>
        <w:top w:val="none" w:sz="0" w:space="0" w:color="auto"/>
        <w:left w:val="none" w:sz="0" w:space="0" w:color="auto"/>
        <w:bottom w:val="none" w:sz="0" w:space="0" w:color="auto"/>
        <w:right w:val="none" w:sz="0" w:space="0" w:color="auto"/>
      </w:divBdr>
    </w:div>
    <w:div w:id="606885625">
      <w:bodyDiv w:val="1"/>
      <w:marLeft w:val="0"/>
      <w:marRight w:val="0"/>
      <w:marTop w:val="0"/>
      <w:marBottom w:val="0"/>
      <w:divBdr>
        <w:top w:val="none" w:sz="0" w:space="0" w:color="auto"/>
        <w:left w:val="none" w:sz="0" w:space="0" w:color="auto"/>
        <w:bottom w:val="none" w:sz="0" w:space="0" w:color="auto"/>
        <w:right w:val="none" w:sz="0" w:space="0" w:color="auto"/>
      </w:divBdr>
    </w:div>
    <w:div w:id="622229582">
      <w:bodyDiv w:val="1"/>
      <w:marLeft w:val="0"/>
      <w:marRight w:val="0"/>
      <w:marTop w:val="0"/>
      <w:marBottom w:val="0"/>
      <w:divBdr>
        <w:top w:val="none" w:sz="0" w:space="0" w:color="auto"/>
        <w:left w:val="none" w:sz="0" w:space="0" w:color="auto"/>
        <w:bottom w:val="none" w:sz="0" w:space="0" w:color="auto"/>
        <w:right w:val="none" w:sz="0" w:space="0" w:color="auto"/>
      </w:divBdr>
    </w:div>
    <w:div w:id="624232632">
      <w:bodyDiv w:val="1"/>
      <w:marLeft w:val="0"/>
      <w:marRight w:val="0"/>
      <w:marTop w:val="0"/>
      <w:marBottom w:val="0"/>
      <w:divBdr>
        <w:top w:val="none" w:sz="0" w:space="0" w:color="auto"/>
        <w:left w:val="none" w:sz="0" w:space="0" w:color="auto"/>
        <w:bottom w:val="none" w:sz="0" w:space="0" w:color="auto"/>
        <w:right w:val="none" w:sz="0" w:space="0" w:color="auto"/>
      </w:divBdr>
      <w:divsChild>
        <w:div w:id="880245609">
          <w:marLeft w:val="0"/>
          <w:marRight w:val="0"/>
          <w:marTop w:val="0"/>
          <w:marBottom w:val="0"/>
          <w:divBdr>
            <w:top w:val="none" w:sz="0" w:space="0" w:color="auto"/>
            <w:left w:val="none" w:sz="0" w:space="0" w:color="auto"/>
            <w:bottom w:val="none" w:sz="0" w:space="0" w:color="auto"/>
            <w:right w:val="none" w:sz="0" w:space="0" w:color="auto"/>
          </w:divBdr>
        </w:div>
      </w:divsChild>
    </w:div>
    <w:div w:id="636691276">
      <w:bodyDiv w:val="1"/>
      <w:marLeft w:val="0"/>
      <w:marRight w:val="0"/>
      <w:marTop w:val="0"/>
      <w:marBottom w:val="0"/>
      <w:divBdr>
        <w:top w:val="none" w:sz="0" w:space="0" w:color="auto"/>
        <w:left w:val="none" w:sz="0" w:space="0" w:color="auto"/>
        <w:bottom w:val="none" w:sz="0" w:space="0" w:color="auto"/>
        <w:right w:val="none" w:sz="0" w:space="0" w:color="auto"/>
      </w:divBdr>
    </w:div>
    <w:div w:id="6367667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342647">
      <w:bodyDiv w:val="1"/>
      <w:marLeft w:val="0"/>
      <w:marRight w:val="0"/>
      <w:marTop w:val="0"/>
      <w:marBottom w:val="0"/>
      <w:divBdr>
        <w:top w:val="none" w:sz="0" w:space="0" w:color="auto"/>
        <w:left w:val="none" w:sz="0" w:space="0" w:color="auto"/>
        <w:bottom w:val="none" w:sz="0" w:space="0" w:color="auto"/>
        <w:right w:val="none" w:sz="0" w:space="0" w:color="auto"/>
      </w:divBdr>
    </w:div>
    <w:div w:id="638344506">
      <w:bodyDiv w:val="1"/>
      <w:marLeft w:val="0"/>
      <w:marRight w:val="0"/>
      <w:marTop w:val="0"/>
      <w:marBottom w:val="0"/>
      <w:divBdr>
        <w:top w:val="none" w:sz="0" w:space="0" w:color="auto"/>
        <w:left w:val="none" w:sz="0" w:space="0" w:color="auto"/>
        <w:bottom w:val="none" w:sz="0" w:space="0" w:color="auto"/>
        <w:right w:val="none" w:sz="0" w:space="0" w:color="auto"/>
      </w:divBdr>
    </w:div>
    <w:div w:id="639186996">
      <w:bodyDiv w:val="1"/>
      <w:marLeft w:val="0"/>
      <w:marRight w:val="0"/>
      <w:marTop w:val="0"/>
      <w:marBottom w:val="0"/>
      <w:divBdr>
        <w:top w:val="none" w:sz="0" w:space="0" w:color="auto"/>
        <w:left w:val="none" w:sz="0" w:space="0" w:color="auto"/>
        <w:bottom w:val="none" w:sz="0" w:space="0" w:color="auto"/>
        <w:right w:val="none" w:sz="0" w:space="0" w:color="auto"/>
      </w:divBdr>
    </w:div>
    <w:div w:id="639846648">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7924783">
      <w:bodyDiv w:val="1"/>
      <w:marLeft w:val="0"/>
      <w:marRight w:val="0"/>
      <w:marTop w:val="0"/>
      <w:marBottom w:val="0"/>
      <w:divBdr>
        <w:top w:val="none" w:sz="0" w:space="0" w:color="auto"/>
        <w:left w:val="none" w:sz="0" w:space="0" w:color="auto"/>
        <w:bottom w:val="none" w:sz="0" w:space="0" w:color="auto"/>
        <w:right w:val="none" w:sz="0" w:space="0" w:color="auto"/>
      </w:divBdr>
    </w:div>
    <w:div w:id="670378811">
      <w:bodyDiv w:val="1"/>
      <w:marLeft w:val="0"/>
      <w:marRight w:val="0"/>
      <w:marTop w:val="0"/>
      <w:marBottom w:val="0"/>
      <w:divBdr>
        <w:top w:val="none" w:sz="0" w:space="0" w:color="auto"/>
        <w:left w:val="none" w:sz="0" w:space="0" w:color="auto"/>
        <w:bottom w:val="none" w:sz="0" w:space="0" w:color="auto"/>
        <w:right w:val="none" w:sz="0" w:space="0" w:color="auto"/>
      </w:divBdr>
    </w:div>
    <w:div w:id="672076785">
      <w:bodyDiv w:val="1"/>
      <w:marLeft w:val="0"/>
      <w:marRight w:val="0"/>
      <w:marTop w:val="0"/>
      <w:marBottom w:val="0"/>
      <w:divBdr>
        <w:top w:val="none" w:sz="0" w:space="0" w:color="auto"/>
        <w:left w:val="none" w:sz="0" w:space="0" w:color="auto"/>
        <w:bottom w:val="none" w:sz="0" w:space="0" w:color="auto"/>
        <w:right w:val="none" w:sz="0" w:space="0" w:color="auto"/>
      </w:divBdr>
      <w:divsChild>
        <w:div w:id="594099959">
          <w:marLeft w:val="0"/>
          <w:marRight w:val="0"/>
          <w:marTop w:val="0"/>
          <w:marBottom w:val="0"/>
          <w:divBdr>
            <w:top w:val="none" w:sz="0" w:space="0" w:color="auto"/>
            <w:left w:val="none" w:sz="0" w:space="0" w:color="auto"/>
            <w:bottom w:val="none" w:sz="0" w:space="0" w:color="auto"/>
            <w:right w:val="none" w:sz="0" w:space="0" w:color="auto"/>
          </w:divBdr>
        </w:div>
      </w:divsChild>
    </w:div>
    <w:div w:id="672991953">
      <w:bodyDiv w:val="1"/>
      <w:marLeft w:val="0"/>
      <w:marRight w:val="0"/>
      <w:marTop w:val="0"/>
      <w:marBottom w:val="0"/>
      <w:divBdr>
        <w:top w:val="none" w:sz="0" w:space="0" w:color="auto"/>
        <w:left w:val="none" w:sz="0" w:space="0" w:color="auto"/>
        <w:bottom w:val="none" w:sz="0" w:space="0" w:color="auto"/>
        <w:right w:val="none" w:sz="0" w:space="0" w:color="auto"/>
      </w:divBdr>
    </w:div>
    <w:div w:id="675885658">
      <w:bodyDiv w:val="1"/>
      <w:marLeft w:val="0"/>
      <w:marRight w:val="0"/>
      <w:marTop w:val="0"/>
      <w:marBottom w:val="0"/>
      <w:divBdr>
        <w:top w:val="none" w:sz="0" w:space="0" w:color="auto"/>
        <w:left w:val="none" w:sz="0" w:space="0" w:color="auto"/>
        <w:bottom w:val="none" w:sz="0" w:space="0" w:color="auto"/>
        <w:right w:val="none" w:sz="0" w:space="0" w:color="auto"/>
      </w:divBdr>
    </w:div>
    <w:div w:id="693309164">
      <w:bodyDiv w:val="1"/>
      <w:marLeft w:val="0"/>
      <w:marRight w:val="0"/>
      <w:marTop w:val="0"/>
      <w:marBottom w:val="0"/>
      <w:divBdr>
        <w:top w:val="none" w:sz="0" w:space="0" w:color="auto"/>
        <w:left w:val="none" w:sz="0" w:space="0" w:color="auto"/>
        <w:bottom w:val="none" w:sz="0" w:space="0" w:color="auto"/>
        <w:right w:val="none" w:sz="0" w:space="0" w:color="auto"/>
      </w:divBdr>
    </w:div>
    <w:div w:id="698703507">
      <w:bodyDiv w:val="1"/>
      <w:marLeft w:val="0"/>
      <w:marRight w:val="0"/>
      <w:marTop w:val="0"/>
      <w:marBottom w:val="0"/>
      <w:divBdr>
        <w:top w:val="none" w:sz="0" w:space="0" w:color="auto"/>
        <w:left w:val="none" w:sz="0" w:space="0" w:color="auto"/>
        <w:bottom w:val="none" w:sz="0" w:space="0" w:color="auto"/>
        <w:right w:val="none" w:sz="0" w:space="0" w:color="auto"/>
      </w:divBdr>
    </w:div>
    <w:div w:id="705715440">
      <w:bodyDiv w:val="1"/>
      <w:marLeft w:val="0"/>
      <w:marRight w:val="0"/>
      <w:marTop w:val="0"/>
      <w:marBottom w:val="0"/>
      <w:divBdr>
        <w:top w:val="none" w:sz="0" w:space="0" w:color="auto"/>
        <w:left w:val="none" w:sz="0" w:space="0" w:color="auto"/>
        <w:bottom w:val="none" w:sz="0" w:space="0" w:color="auto"/>
        <w:right w:val="none" w:sz="0" w:space="0" w:color="auto"/>
      </w:divBdr>
    </w:div>
    <w:div w:id="706030905">
      <w:bodyDiv w:val="1"/>
      <w:marLeft w:val="0"/>
      <w:marRight w:val="0"/>
      <w:marTop w:val="0"/>
      <w:marBottom w:val="0"/>
      <w:divBdr>
        <w:top w:val="none" w:sz="0" w:space="0" w:color="auto"/>
        <w:left w:val="none" w:sz="0" w:space="0" w:color="auto"/>
        <w:bottom w:val="none" w:sz="0" w:space="0" w:color="auto"/>
        <w:right w:val="none" w:sz="0" w:space="0" w:color="auto"/>
      </w:divBdr>
    </w:div>
    <w:div w:id="707218121">
      <w:bodyDiv w:val="1"/>
      <w:marLeft w:val="0"/>
      <w:marRight w:val="0"/>
      <w:marTop w:val="0"/>
      <w:marBottom w:val="0"/>
      <w:divBdr>
        <w:top w:val="none" w:sz="0" w:space="0" w:color="auto"/>
        <w:left w:val="none" w:sz="0" w:space="0" w:color="auto"/>
        <w:bottom w:val="none" w:sz="0" w:space="0" w:color="auto"/>
        <w:right w:val="none" w:sz="0" w:space="0" w:color="auto"/>
      </w:divBdr>
    </w:div>
    <w:div w:id="707488756">
      <w:bodyDiv w:val="1"/>
      <w:marLeft w:val="0"/>
      <w:marRight w:val="0"/>
      <w:marTop w:val="0"/>
      <w:marBottom w:val="0"/>
      <w:divBdr>
        <w:top w:val="none" w:sz="0" w:space="0" w:color="auto"/>
        <w:left w:val="none" w:sz="0" w:space="0" w:color="auto"/>
        <w:bottom w:val="none" w:sz="0" w:space="0" w:color="auto"/>
        <w:right w:val="none" w:sz="0" w:space="0" w:color="auto"/>
      </w:divBdr>
    </w:div>
    <w:div w:id="711727717">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19522346">
      <w:bodyDiv w:val="1"/>
      <w:marLeft w:val="0"/>
      <w:marRight w:val="0"/>
      <w:marTop w:val="0"/>
      <w:marBottom w:val="0"/>
      <w:divBdr>
        <w:top w:val="none" w:sz="0" w:space="0" w:color="auto"/>
        <w:left w:val="none" w:sz="0" w:space="0" w:color="auto"/>
        <w:bottom w:val="none" w:sz="0" w:space="0" w:color="auto"/>
        <w:right w:val="none" w:sz="0" w:space="0" w:color="auto"/>
      </w:divBdr>
    </w:div>
    <w:div w:id="729424043">
      <w:bodyDiv w:val="1"/>
      <w:marLeft w:val="0"/>
      <w:marRight w:val="0"/>
      <w:marTop w:val="0"/>
      <w:marBottom w:val="0"/>
      <w:divBdr>
        <w:top w:val="none" w:sz="0" w:space="0" w:color="auto"/>
        <w:left w:val="none" w:sz="0" w:space="0" w:color="auto"/>
        <w:bottom w:val="none" w:sz="0" w:space="0" w:color="auto"/>
        <w:right w:val="none" w:sz="0" w:space="0" w:color="auto"/>
      </w:divBdr>
      <w:divsChild>
        <w:div w:id="1996638096">
          <w:marLeft w:val="0"/>
          <w:marRight w:val="0"/>
          <w:marTop w:val="0"/>
          <w:marBottom w:val="0"/>
          <w:divBdr>
            <w:top w:val="none" w:sz="0" w:space="0" w:color="auto"/>
            <w:left w:val="none" w:sz="0" w:space="0" w:color="auto"/>
            <w:bottom w:val="none" w:sz="0" w:space="0" w:color="auto"/>
            <w:right w:val="none" w:sz="0" w:space="0" w:color="auto"/>
          </w:divBdr>
        </w:div>
        <w:div w:id="2066637731">
          <w:marLeft w:val="0"/>
          <w:marRight w:val="0"/>
          <w:marTop w:val="0"/>
          <w:marBottom w:val="0"/>
          <w:divBdr>
            <w:top w:val="none" w:sz="0" w:space="0" w:color="auto"/>
            <w:left w:val="none" w:sz="0" w:space="0" w:color="auto"/>
            <w:bottom w:val="none" w:sz="0" w:space="0" w:color="auto"/>
            <w:right w:val="none" w:sz="0" w:space="0" w:color="auto"/>
          </w:divBdr>
        </w:div>
        <w:div w:id="310058828">
          <w:marLeft w:val="0"/>
          <w:marRight w:val="0"/>
          <w:marTop w:val="0"/>
          <w:marBottom w:val="0"/>
          <w:divBdr>
            <w:top w:val="none" w:sz="0" w:space="0" w:color="auto"/>
            <w:left w:val="none" w:sz="0" w:space="0" w:color="auto"/>
            <w:bottom w:val="none" w:sz="0" w:space="0" w:color="auto"/>
            <w:right w:val="none" w:sz="0" w:space="0" w:color="auto"/>
          </w:divBdr>
        </w:div>
      </w:divsChild>
    </w:div>
    <w:div w:id="729688684">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2658129">
      <w:bodyDiv w:val="1"/>
      <w:marLeft w:val="0"/>
      <w:marRight w:val="0"/>
      <w:marTop w:val="0"/>
      <w:marBottom w:val="0"/>
      <w:divBdr>
        <w:top w:val="none" w:sz="0" w:space="0" w:color="auto"/>
        <w:left w:val="none" w:sz="0" w:space="0" w:color="auto"/>
        <w:bottom w:val="none" w:sz="0" w:space="0" w:color="auto"/>
        <w:right w:val="none" w:sz="0" w:space="0" w:color="auto"/>
      </w:divBdr>
    </w:div>
    <w:div w:id="733162527">
      <w:bodyDiv w:val="1"/>
      <w:marLeft w:val="0"/>
      <w:marRight w:val="0"/>
      <w:marTop w:val="0"/>
      <w:marBottom w:val="0"/>
      <w:divBdr>
        <w:top w:val="none" w:sz="0" w:space="0" w:color="auto"/>
        <w:left w:val="none" w:sz="0" w:space="0" w:color="auto"/>
        <w:bottom w:val="none" w:sz="0" w:space="0" w:color="auto"/>
        <w:right w:val="none" w:sz="0" w:space="0" w:color="auto"/>
      </w:divBdr>
    </w:div>
    <w:div w:id="733239911">
      <w:bodyDiv w:val="1"/>
      <w:marLeft w:val="0"/>
      <w:marRight w:val="0"/>
      <w:marTop w:val="0"/>
      <w:marBottom w:val="0"/>
      <w:divBdr>
        <w:top w:val="none" w:sz="0" w:space="0" w:color="auto"/>
        <w:left w:val="none" w:sz="0" w:space="0" w:color="auto"/>
        <w:bottom w:val="none" w:sz="0" w:space="0" w:color="auto"/>
        <w:right w:val="none" w:sz="0" w:space="0" w:color="auto"/>
      </w:divBdr>
    </w:div>
    <w:div w:id="736365381">
      <w:bodyDiv w:val="1"/>
      <w:marLeft w:val="0"/>
      <w:marRight w:val="0"/>
      <w:marTop w:val="0"/>
      <w:marBottom w:val="0"/>
      <w:divBdr>
        <w:top w:val="none" w:sz="0" w:space="0" w:color="auto"/>
        <w:left w:val="none" w:sz="0" w:space="0" w:color="auto"/>
        <w:bottom w:val="none" w:sz="0" w:space="0" w:color="auto"/>
        <w:right w:val="none" w:sz="0" w:space="0" w:color="auto"/>
      </w:divBdr>
    </w:div>
    <w:div w:id="737441343">
      <w:bodyDiv w:val="1"/>
      <w:marLeft w:val="0"/>
      <w:marRight w:val="0"/>
      <w:marTop w:val="0"/>
      <w:marBottom w:val="0"/>
      <w:divBdr>
        <w:top w:val="none" w:sz="0" w:space="0" w:color="auto"/>
        <w:left w:val="none" w:sz="0" w:space="0" w:color="auto"/>
        <w:bottom w:val="none" w:sz="0" w:space="0" w:color="auto"/>
        <w:right w:val="none" w:sz="0" w:space="0" w:color="auto"/>
      </w:divBdr>
    </w:div>
    <w:div w:id="737554764">
      <w:bodyDiv w:val="1"/>
      <w:marLeft w:val="0"/>
      <w:marRight w:val="0"/>
      <w:marTop w:val="0"/>
      <w:marBottom w:val="0"/>
      <w:divBdr>
        <w:top w:val="none" w:sz="0" w:space="0" w:color="auto"/>
        <w:left w:val="none" w:sz="0" w:space="0" w:color="auto"/>
        <w:bottom w:val="none" w:sz="0" w:space="0" w:color="auto"/>
        <w:right w:val="none" w:sz="0" w:space="0" w:color="auto"/>
      </w:divBdr>
    </w:div>
    <w:div w:id="738556995">
      <w:bodyDiv w:val="1"/>
      <w:marLeft w:val="0"/>
      <w:marRight w:val="0"/>
      <w:marTop w:val="0"/>
      <w:marBottom w:val="0"/>
      <w:divBdr>
        <w:top w:val="none" w:sz="0" w:space="0" w:color="auto"/>
        <w:left w:val="none" w:sz="0" w:space="0" w:color="auto"/>
        <w:bottom w:val="none" w:sz="0" w:space="0" w:color="auto"/>
        <w:right w:val="none" w:sz="0" w:space="0" w:color="auto"/>
      </w:divBdr>
    </w:div>
    <w:div w:id="746265062">
      <w:bodyDiv w:val="1"/>
      <w:marLeft w:val="0"/>
      <w:marRight w:val="0"/>
      <w:marTop w:val="0"/>
      <w:marBottom w:val="0"/>
      <w:divBdr>
        <w:top w:val="none" w:sz="0" w:space="0" w:color="auto"/>
        <w:left w:val="none" w:sz="0" w:space="0" w:color="auto"/>
        <w:bottom w:val="none" w:sz="0" w:space="0" w:color="auto"/>
        <w:right w:val="none" w:sz="0" w:space="0" w:color="auto"/>
      </w:divBdr>
    </w:div>
    <w:div w:id="747504907">
      <w:bodyDiv w:val="1"/>
      <w:marLeft w:val="0"/>
      <w:marRight w:val="0"/>
      <w:marTop w:val="0"/>
      <w:marBottom w:val="0"/>
      <w:divBdr>
        <w:top w:val="none" w:sz="0" w:space="0" w:color="auto"/>
        <w:left w:val="none" w:sz="0" w:space="0" w:color="auto"/>
        <w:bottom w:val="none" w:sz="0" w:space="0" w:color="auto"/>
        <w:right w:val="none" w:sz="0" w:space="0" w:color="auto"/>
      </w:divBdr>
    </w:div>
    <w:div w:id="752358844">
      <w:bodyDiv w:val="1"/>
      <w:marLeft w:val="0"/>
      <w:marRight w:val="0"/>
      <w:marTop w:val="0"/>
      <w:marBottom w:val="0"/>
      <w:divBdr>
        <w:top w:val="none" w:sz="0" w:space="0" w:color="auto"/>
        <w:left w:val="none" w:sz="0" w:space="0" w:color="auto"/>
        <w:bottom w:val="none" w:sz="0" w:space="0" w:color="auto"/>
        <w:right w:val="none" w:sz="0" w:space="0" w:color="auto"/>
      </w:divBdr>
    </w:div>
    <w:div w:id="755201700">
      <w:bodyDiv w:val="1"/>
      <w:marLeft w:val="0"/>
      <w:marRight w:val="0"/>
      <w:marTop w:val="0"/>
      <w:marBottom w:val="0"/>
      <w:divBdr>
        <w:top w:val="none" w:sz="0" w:space="0" w:color="auto"/>
        <w:left w:val="none" w:sz="0" w:space="0" w:color="auto"/>
        <w:bottom w:val="none" w:sz="0" w:space="0" w:color="auto"/>
        <w:right w:val="none" w:sz="0" w:space="0" w:color="auto"/>
      </w:divBdr>
      <w:divsChild>
        <w:div w:id="73279242">
          <w:marLeft w:val="0"/>
          <w:marRight w:val="0"/>
          <w:marTop w:val="0"/>
          <w:marBottom w:val="0"/>
          <w:divBdr>
            <w:top w:val="none" w:sz="0" w:space="0" w:color="auto"/>
            <w:left w:val="none" w:sz="0" w:space="0" w:color="auto"/>
            <w:bottom w:val="none" w:sz="0" w:space="0" w:color="auto"/>
            <w:right w:val="none" w:sz="0" w:space="0" w:color="auto"/>
          </w:divBdr>
        </w:div>
      </w:divsChild>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59911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
    <w:div w:id="763455518">
      <w:bodyDiv w:val="1"/>
      <w:marLeft w:val="0"/>
      <w:marRight w:val="0"/>
      <w:marTop w:val="0"/>
      <w:marBottom w:val="0"/>
      <w:divBdr>
        <w:top w:val="none" w:sz="0" w:space="0" w:color="auto"/>
        <w:left w:val="none" w:sz="0" w:space="0" w:color="auto"/>
        <w:bottom w:val="none" w:sz="0" w:space="0" w:color="auto"/>
        <w:right w:val="none" w:sz="0" w:space="0" w:color="auto"/>
      </w:divBdr>
    </w:div>
    <w:div w:id="764111307">
      <w:bodyDiv w:val="1"/>
      <w:marLeft w:val="0"/>
      <w:marRight w:val="0"/>
      <w:marTop w:val="0"/>
      <w:marBottom w:val="0"/>
      <w:divBdr>
        <w:top w:val="none" w:sz="0" w:space="0" w:color="auto"/>
        <w:left w:val="none" w:sz="0" w:space="0" w:color="auto"/>
        <w:bottom w:val="none" w:sz="0" w:space="0" w:color="auto"/>
        <w:right w:val="none" w:sz="0" w:space="0" w:color="auto"/>
      </w:divBdr>
    </w:div>
    <w:div w:id="766848185">
      <w:bodyDiv w:val="1"/>
      <w:marLeft w:val="0"/>
      <w:marRight w:val="0"/>
      <w:marTop w:val="0"/>
      <w:marBottom w:val="0"/>
      <w:divBdr>
        <w:top w:val="none" w:sz="0" w:space="0" w:color="auto"/>
        <w:left w:val="none" w:sz="0" w:space="0" w:color="auto"/>
        <w:bottom w:val="none" w:sz="0" w:space="0" w:color="auto"/>
        <w:right w:val="none" w:sz="0" w:space="0" w:color="auto"/>
      </w:divBdr>
    </w:div>
    <w:div w:id="768501537">
      <w:bodyDiv w:val="1"/>
      <w:marLeft w:val="0"/>
      <w:marRight w:val="0"/>
      <w:marTop w:val="0"/>
      <w:marBottom w:val="0"/>
      <w:divBdr>
        <w:top w:val="none" w:sz="0" w:space="0" w:color="auto"/>
        <w:left w:val="none" w:sz="0" w:space="0" w:color="auto"/>
        <w:bottom w:val="none" w:sz="0" w:space="0" w:color="auto"/>
        <w:right w:val="none" w:sz="0" w:space="0" w:color="auto"/>
      </w:divBdr>
    </w:div>
    <w:div w:id="780996693">
      <w:bodyDiv w:val="1"/>
      <w:marLeft w:val="0"/>
      <w:marRight w:val="0"/>
      <w:marTop w:val="0"/>
      <w:marBottom w:val="0"/>
      <w:divBdr>
        <w:top w:val="none" w:sz="0" w:space="0" w:color="auto"/>
        <w:left w:val="none" w:sz="0" w:space="0" w:color="auto"/>
        <w:bottom w:val="none" w:sz="0" w:space="0" w:color="auto"/>
        <w:right w:val="none" w:sz="0" w:space="0" w:color="auto"/>
      </w:divBdr>
    </w:div>
    <w:div w:id="782191530">
      <w:bodyDiv w:val="1"/>
      <w:marLeft w:val="0"/>
      <w:marRight w:val="0"/>
      <w:marTop w:val="0"/>
      <w:marBottom w:val="0"/>
      <w:divBdr>
        <w:top w:val="none" w:sz="0" w:space="0" w:color="auto"/>
        <w:left w:val="none" w:sz="0" w:space="0" w:color="auto"/>
        <w:bottom w:val="none" w:sz="0" w:space="0" w:color="auto"/>
        <w:right w:val="none" w:sz="0" w:space="0" w:color="auto"/>
      </w:divBdr>
    </w:div>
    <w:div w:id="789010899">
      <w:bodyDiv w:val="1"/>
      <w:marLeft w:val="0"/>
      <w:marRight w:val="0"/>
      <w:marTop w:val="0"/>
      <w:marBottom w:val="0"/>
      <w:divBdr>
        <w:top w:val="none" w:sz="0" w:space="0" w:color="auto"/>
        <w:left w:val="none" w:sz="0" w:space="0" w:color="auto"/>
        <w:bottom w:val="none" w:sz="0" w:space="0" w:color="auto"/>
        <w:right w:val="none" w:sz="0" w:space="0" w:color="auto"/>
      </w:divBdr>
    </w:div>
    <w:div w:id="790591915">
      <w:bodyDiv w:val="1"/>
      <w:marLeft w:val="0"/>
      <w:marRight w:val="0"/>
      <w:marTop w:val="0"/>
      <w:marBottom w:val="0"/>
      <w:divBdr>
        <w:top w:val="none" w:sz="0" w:space="0" w:color="auto"/>
        <w:left w:val="none" w:sz="0" w:space="0" w:color="auto"/>
        <w:bottom w:val="none" w:sz="0" w:space="0" w:color="auto"/>
        <w:right w:val="none" w:sz="0" w:space="0" w:color="auto"/>
      </w:divBdr>
    </w:div>
    <w:div w:id="790780375">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791435976">
      <w:bodyDiv w:val="1"/>
      <w:marLeft w:val="0"/>
      <w:marRight w:val="0"/>
      <w:marTop w:val="0"/>
      <w:marBottom w:val="0"/>
      <w:divBdr>
        <w:top w:val="none" w:sz="0" w:space="0" w:color="auto"/>
        <w:left w:val="none" w:sz="0" w:space="0" w:color="auto"/>
        <w:bottom w:val="none" w:sz="0" w:space="0" w:color="auto"/>
        <w:right w:val="none" w:sz="0" w:space="0" w:color="auto"/>
      </w:divBdr>
    </w:div>
    <w:div w:id="792988688">
      <w:bodyDiv w:val="1"/>
      <w:marLeft w:val="0"/>
      <w:marRight w:val="0"/>
      <w:marTop w:val="0"/>
      <w:marBottom w:val="0"/>
      <w:divBdr>
        <w:top w:val="none" w:sz="0" w:space="0" w:color="auto"/>
        <w:left w:val="none" w:sz="0" w:space="0" w:color="auto"/>
        <w:bottom w:val="none" w:sz="0" w:space="0" w:color="auto"/>
        <w:right w:val="none" w:sz="0" w:space="0" w:color="auto"/>
      </w:divBdr>
    </w:div>
    <w:div w:id="795413011">
      <w:bodyDiv w:val="1"/>
      <w:marLeft w:val="0"/>
      <w:marRight w:val="0"/>
      <w:marTop w:val="0"/>
      <w:marBottom w:val="0"/>
      <w:divBdr>
        <w:top w:val="none" w:sz="0" w:space="0" w:color="auto"/>
        <w:left w:val="none" w:sz="0" w:space="0" w:color="auto"/>
        <w:bottom w:val="none" w:sz="0" w:space="0" w:color="auto"/>
        <w:right w:val="none" w:sz="0" w:space="0" w:color="auto"/>
      </w:divBdr>
    </w:div>
    <w:div w:id="801002958">
      <w:bodyDiv w:val="1"/>
      <w:marLeft w:val="0"/>
      <w:marRight w:val="0"/>
      <w:marTop w:val="0"/>
      <w:marBottom w:val="0"/>
      <w:divBdr>
        <w:top w:val="none" w:sz="0" w:space="0" w:color="auto"/>
        <w:left w:val="none" w:sz="0" w:space="0" w:color="auto"/>
        <w:bottom w:val="none" w:sz="0" w:space="0" w:color="auto"/>
        <w:right w:val="none" w:sz="0" w:space="0" w:color="auto"/>
      </w:divBdr>
    </w:div>
    <w:div w:id="801114603">
      <w:bodyDiv w:val="1"/>
      <w:marLeft w:val="0"/>
      <w:marRight w:val="0"/>
      <w:marTop w:val="0"/>
      <w:marBottom w:val="0"/>
      <w:divBdr>
        <w:top w:val="none" w:sz="0" w:space="0" w:color="auto"/>
        <w:left w:val="none" w:sz="0" w:space="0" w:color="auto"/>
        <w:bottom w:val="none" w:sz="0" w:space="0" w:color="auto"/>
        <w:right w:val="none" w:sz="0" w:space="0" w:color="auto"/>
      </w:divBdr>
    </w:div>
    <w:div w:id="801456987">
      <w:bodyDiv w:val="1"/>
      <w:marLeft w:val="0"/>
      <w:marRight w:val="0"/>
      <w:marTop w:val="0"/>
      <w:marBottom w:val="0"/>
      <w:divBdr>
        <w:top w:val="none" w:sz="0" w:space="0" w:color="auto"/>
        <w:left w:val="none" w:sz="0" w:space="0" w:color="auto"/>
        <w:bottom w:val="none" w:sz="0" w:space="0" w:color="auto"/>
        <w:right w:val="none" w:sz="0" w:space="0" w:color="auto"/>
      </w:divBdr>
    </w:div>
    <w:div w:id="803086136">
      <w:bodyDiv w:val="1"/>
      <w:marLeft w:val="0"/>
      <w:marRight w:val="0"/>
      <w:marTop w:val="0"/>
      <w:marBottom w:val="0"/>
      <w:divBdr>
        <w:top w:val="none" w:sz="0" w:space="0" w:color="auto"/>
        <w:left w:val="none" w:sz="0" w:space="0" w:color="auto"/>
        <w:bottom w:val="none" w:sz="0" w:space="0" w:color="auto"/>
        <w:right w:val="none" w:sz="0" w:space="0" w:color="auto"/>
      </w:divBdr>
    </w:div>
    <w:div w:id="803543195">
      <w:bodyDiv w:val="1"/>
      <w:marLeft w:val="0"/>
      <w:marRight w:val="0"/>
      <w:marTop w:val="0"/>
      <w:marBottom w:val="0"/>
      <w:divBdr>
        <w:top w:val="none" w:sz="0" w:space="0" w:color="auto"/>
        <w:left w:val="none" w:sz="0" w:space="0" w:color="auto"/>
        <w:bottom w:val="none" w:sz="0" w:space="0" w:color="auto"/>
        <w:right w:val="none" w:sz="0" w:space="0" w:color="auto"/>
      </w:divBdr>
    </w:div>
    <w:div w:id="809638191">
      <w:bodyDiv w:val="1"/>
      <w:marLeft w:val="0"/>
      <w:marRight w:val="0"/>
      <w:marTop w:val="0"/>
      <w:marBottom w:val="0"/>
      <w:divBdr>
        <w:top w:val="none" w:sz="0" w:space="0" w:color="auto"/>
        <w:left w:val="none" w:sz="0" w:space="0" w:color="auto"/>
        <w:bottom w:val="none" w:sz="0" w:space="0" w:color="auto"/>
        <w:right w:val="none" w:sz="0" w:space="0" w:color="auto"/>
      </w:divBdr>
    </w:div>
    <w:div w:id="813722350">
      <w:bodyDiv w:val="1"/>
      <w:marLeft w:val="0"/>
      <w:marRight w:val="0"/>
      <w:marTop w:val="0"/>
      <w:marBottom w:val="0"/>
      <w:divBdr>
        <w:top w:val="none" w:sz="0" w:space="0" w:color="auto"/>
        <w:left w:val="none" w:sz="0" w:space="0" w:color="auto"/>
        <w:bottom w:val="none" w:sz="0" w:space="0" w:color="auto"/>
        <w:right w:val="none" w:sz="0" w:space="0" w:color="auto"/>
      </w:divBdr>
    </w:div>
    <w:div w:id="814370379">
      <w:bodyDiv w:val="1"/>
      <w:marLeft w:val="0"/>
      <w:marRight w:val="0"/>
      <w:marTop w:val="0"/>
      <w:marBottom w:val="0"/>
      <w:divBdr>
        <w:top w:val="none" w:sz="0" w:space="0" w:color="auto"/>
        <w:left w:val="none" w:sz="0" w:space="0" w:color="auto"/>
        <w:bottom w:val="none" w:sz="0" w:space="0" w:color="auto"/>
        <w:right w:val="none" w:sz="0" w:space="0" w:color="auto"/>
      </w:divBdr>
    </w:div>
    <w:div w:id="815806195">
      <w:bodyDiv w:val="1"/>
      <w:marLeft w:val="0"/>
      <w:marRight w:val="0"/>
      <w:marTop w:val="0"/>
      <w:marBottom w:val="0"/>
      <w:divBdr>
        <w:top w:val="none" w:sz="0" w:space="0" w:color="auto"/>
        <w:left w:val="none" w:sz="0" w:space="0" w:color="auto"/>
        <w:bottom w:val="none" w:sz="0" w:space="0" w:color="auto"/>
        <w:right w:val="none" w:sz="0" w:space="0" w:color="auto"/>
      </w:divBdr>
    </w:div>
    <w:div w:id="816848515">
      <w:bodyDiv w:val="1"/>
      <w:marLeft w:val="0"/>
      <w:marRight w:val="0"/>
      <w:marTop w:val="0"/>
      <w:marBottom w:val="0"/>
      <w:divBdr>
        <w:top w:val="none" w:sz="0" w:space="0" w:color="auto"/>
        <w:left w:val="none" w:sz="0" w:space="0" w:color="auto"/>
        <w:bottom w:val="none" w:sz="0" w:space="0" w:color="auto"/>
        <w:right w:val="none" w:sz="0" w:space="0" w:color="auto"/>
      </w:divBdr>
    </w:div>
    <w:div w:id="827670792">
      <w:bodyDiv w:val="1"/>
      <w:marLeft w:val="0"/>
      <w:marRight w:val="0"/>
      <w:marTop w:val="0"/>
      <w:marBottom w:val="0"/>
      <w:divBdr>
        <w:top w:val="none" w:sz="0" w:space="0" w:color="auto"/>
        <w:left w:val="none" w:sz="0" w:space="0" w:color="auto"/>
        <w:bottom w:val="none" w:sz="0" w:space="0" w:color="auto"/>
        <w:right w:val="none" w:sz="0" w:space="0" w:color="auto"/>
      </w:divBdr>
    </w:div>
    <w:div w:id="837233438">
      <w:bodyDiv w:val="1"/>
      <w:marLeft w:val="0"/>
      <w:marRight w:val="0"/>
      <w:marTop w:val="0"/>
      <w:marBottom w:val="0"/>
      <w:divBdr>
        <w:top w:val="none" w:sz="0" w:space="0" w:color="auto"/>
        <w:left w:val="none" w:sz="0" w:space="0" w:color="auto"/>
        <w:bottom w:val="none" w:sz="0" w:space="0" w:color="auto"/>
        <w:right w:val="none" w:sz="0" w:space="0" w:color="auto"/>
      </w:divBdr>
    </w:div>
    <w:div w:id="843132209">
      <w:bodyDiv w:val="1"/>
      <w:marLeft w:val="0"/>
      <w:marRight w:val="0"/>
      <w:marTop w:val="0"/>
      <w:marBottom w:val="0"/>
      <w:divBdr>
        <w:top w:val="none" w:sz="0" w:space="0" w:color="auto"/>
        <w:left w:val="none" w:sz="0" w:space="0" w:color="auto"/>
        <w:bottom w:val="none" w:sz="0" w:space="0" w:color="auto"/>
        <w:right w:val="none" w:sz="0" w:space="0" w:color="auto"/>
      </w:divBdr>
    </w:div>
    <w:div w:id="843742371">
      <w:bodyDiv w:val="1"/>
      <w:marLeft w:val="0"/>
      <w:marRight w:val="0"/>
      <w:marTop w:val="0"/>
      <w:marBottom w:val="0"/>
      <w:divBdr>
        <w:top w:val="none" w:sz="0" w:space="0" w:color="auto"/>
        <w:left w:val="none" w:sz="0" w:space="0" w:color="auto"/>
        <w:bottom w:val="none" w:sz="0" w:space="0" w:color="auto"/>
        <w:right w:val="none" w:sz="0" w:space="0" w:color="auto"/>
      </w:divBdr>
    </w:div>
    <w:div w:id="851455864">
      <w:bodyDiv w:val="1"/>
      <w:marLeft w:val="0"/>
      <w:marRight w:val="0"/>
      <w:marTop w:val="0"/>
      <w:marBottom w:val="0"/>
      <w:divBdr>
        <w:top w:val="none" w:sz="0" w:space="0" w:color="auto"/>
        <w:left w:val="none" w:sz="0" w:space="0" w:color="auto"/>
        <w:bottom w:val="none" w:sz="0" w:space="0" w:color="auto"/>
        <w:right w:val="none" w:sz="0" w:space="0" w:color="auto"/>
      </w:divBdr>
    </w:div>
    <w:div w:id="851797191">
      <w:bodyDiv w:val="1"/>
      <w:marLeft w:val="0"/>
      <w:marRight w:val="0"/>
      <w:marTop w:val="0"/>
      <w:marBottom w:val="0"/>
      <w:divBdr>
        <w:top w:val="none" w:sz="0" w:space="0" w:color="auto"/>
        <w:left w:val="none" w:sz="0" w:space="0" w:color="auto"/>
        <w:bottom w:val="none" w:sz="0" w:space="0" w:color="auto"/>
        <w:right w:val="none" w:sz="0" w:space="0" w:color="auto"/>
      </w:divBdr>
    </w:div>
    <w:div w:id="860169670">
      <w:bodyDiv w:val="1"/>
      <w:marLeft w:val="0"/>
      <w:marRight w:val="0"/>
      <w:marTop w:val="0"/>
      <w:marBottom w:val="0"/>
      <w:divBdr>
        <w:top w:val="none" w:sz="0" w:space="0" w:color="auto"/>
        <w:left w:val="none" w:sz="0" w:space="0" w:color="auto"/>
        <w:bottom w:val="none" w:sz="0" w:space="0" w:color="auto"/>
        <w:right w:val="none" w:sz="0" w:space="0" w:color="auto"/>
      </w:divBdr>
      <w:divsChild>
        <w:div w:id="956763086">
          <w:marLeft w:val="0"/>
          <w:marRight w:val="0"/>
          <w:marTop w:val="0"/>
          <w:marBottom w:val="0"/>
          <w:divBdr>
            <w:top w:val="none" w:sz="0" w:space="0" w:color="auto"/>
            <w:left w:val="none" w:sz="0" w:space="0" w:color="auto"/>
            <w:bottom w:val="none" w:sz="0" w:space="0" w:color="auto"/>
            <w:right w:val="none" w:sz="0" w:space="0" w:color="auto"/>
          </w:divBdr>
        </w:div>
        <w:div w:id="1614970702">
          <w:marLeft w:val="0"/>
          <w:marRight w:val="0"/>
          <w:marTop w:val="0"/>
          <w:marBottom w:val="0"/>
          <w:divBdr>
            <w:top w:val="none" w:sz="0" w:space="0" w:color="auto"/>
            <w:left w:val="none" w:sz="0" w:space="0" w:color="auto"/>
            <w:bottom w:val="none" w:sz="0" w:space="0" w:color="auto"/>
            <w:right w:val="none" w:sz="0" w:space="0" w:color="auto"/>
          </w:divBdr>
        </w:div>
        <w:div w:id="146020952">
          <w:marLeft w:val="0"/>
          <w:marRight w:val="0"/>
          <w:marTop w:val="0"/>
          <w:marBottom w:val="0"/>
          <w:divBdr>
            <w:top w:val="none" w:sz="0" w:space="0" w:color="auto"/>
            <w:left w:val="none" w:sz="0" w:space="0" w:color="auto"/>
            <w:bottom w:val="none" w:sz="0" w:space="0" w:color="auto"/>
            <w:right w:val="none" w:sz="0" w:space="0" w:color="auto"/>
          </w:divBdr>
        </w:div>
        <w:div w:id="1095859961">
          <w:marLeft w:val="0"/>
          <w:marRight w:val="0"/>
          <w:marTop w:val="0"/>
          <w:marBottom w:val="0"/>
          <w:divBdr>
            <w:top w:val="none" w:sz="0" w:space="0" w:color="auto"/>
            <w:left w:val="none" w:sz="0" w:space="0" w:color="auto"/>
            <w:bottom w:val="none" w:sz="0" w:space="0" w:color="auto"/>
            <w:right w:val="none" w:sz="0" w:space="0" w:color="auto"/>
          </w:divBdr>
        </w:div>
      </w:divsChild>
    </w:div>
    <w:div w:id="860170075">
      <w:bodyDiv w:val="1"/>
      <w:marLeft w:val="0"/>
      <w:marRight w:val="0"/>
      <w:marTop w:val="0"/>
      <w:marBottom w:val="0"/>
      <w:divBdr>
        <w:top w:val="none" w:sz="0" w:space="0" w:color="auto"/>
        <w:left w:val="none" w:sz="0" w:space="0" w:color="auto"/>
        <w:bottom w:val="none" w:sz="0" w:space="0" w:color="auto"/>
        <w:right w:val="none" w:sz="0" w:space="0" w:color="auto"/>
      </w:divBdr>
    </w:div>
    <w:div w:id="865102079">
      <w:bodyDiv w:val="1"/>
      <w:marLeft w:val="0"/>
      <w:marRight w:val="0"/>
      <w:marTop w:val="0"/>
      <w:marBottom w:val="0"/>
      <w:divBdr>
        <w:top w:val="none" w:sz="0" w:space="0" w:color="auto"/>
        <w:left w:val="none" w:sz="0" w:space="0" w:color="auto"/>
        <w:bottom w:val="none" w:sz="0" w:space="0" w:color="auto"/>
        <w:right w:val="none" w:sz="0" w:space="0" w:color="auto"/>
      </w:divBdr>
    </w:div>
    <w:div w:id="866017960">
      <w:bodyDiv w:val="1"/>
      <w:marLeft w:val="0"/>
      <w:marRight w:val="0"/>
      <w:marTop w:val="0"/>
      <w:marBottom w:val="0"/>
      <w:divBdr>
        <w:top w:val="none" w:sz="0" w:space="0" w:color="auto"/>
        <w:left w:val="none" w:sz="0" w:space="0" w:color="auto"/>
        <w:bottom w:val="none" w:sz="0" w:space="0" w:color="auto"/>
        <w:right w:val="none" w:sz="0" w:space="0" w:color="auto"/>
      </w:divBdr>
    </w:div>
    <w:div w:id="871571049">
      <w:bodyDiv w:val="1"/>
      <w:marLeft w:val="0"/>
      <w:marRight w:val="0"/>
      <w:marTop w:val="0"/>
      <w:marBottom w:val="0"/>
      <w:divBdr>
        <w:top w:val="none" w:sz="0" w:space="0" w:color="auto"/>
        <w:left w:val="none" w:sz="0" w:space="0" w:color="auto"/>
        <w:bottom w:val="none" w:sz="0" w:space="0" w:color="auto"/>
        <w:right w:val="none" w:sz="0" w:space="0" w:color="auto"/>
      </w:divBdr>
    </w:div>
    <w:div w:id="872423449">
      <w:bodyDiv w:val="1"/>
      <w:marLeft w:val="0"/>
      <w:marRight w:val="0"/>
      <w:marTop w:val="0"/>
      <w:marBottom w:val="0"/>
      <w:divBdr>
        <w:top w:val="none" w:sz="0" w:space="0" w:color="auto"/>
        <w:left w:val="none" w:sz="0" w:space="0" w:color="auto"/>
        <w:bottom w:val="none" w:sz="0" w:space="0" w:color="auto"/>
        <w:right w:val="none" w:sz="0" w:space="0" w:color="auto"/>
      </w:divBdr>
    </w:div>
    <w:div w:id="876626606">
      <w:bodyDiv w:val="1"/>
      <w:marLeft w:val="0"/>
      <w:marRight w:val="0"/>
      <w:marTop w:val="0"/>
      <w:marBottom w:val="0"/>
      <w:divBdr>
        <w:top w:val="none" w:sz="0" w:space="0" w:color="auto"/>
        <w:left w:val="none" w:sz="0" w:space="0" w:color="auto"/>
        <w:bottom w:val="none" w:sz="0" w:space="0" w:color="auto"/>
        <w:right w:val="none" w:sz="0" w:space="0" w:color="auto"/>
      </w:divBdr>
    </w:div>
    <w:div w:id="878932605">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880168414">
      <w:bodyDiv w:val="1"/>
      <w:marLeft w:val="0"/>
      <w:marRight w:val="0"/>
      <w:marTop w:val="0"/>
      <w:marBottom w:val="0"/>
      <w:divBdr>
        <w:top w:val="none" w:sz="0" w:space="0" w:color="auto"/>
        <w:left w:val="none" w:sz="0" w:space="0" w:color="auto"/>
        <w:bottom w:val="none" w:sz="0" w:space="0" w:color="auto"/>
        <w:right w:val="none" w:sz="0" w:space="0" w:color="auto"/>
      </w:divBdr>
    </w:div>
    <w:div w:id="881792505">
      <w:bodyDiv w:val="1"/>
      <w:marLeft w:val="0"/>
      <w:marRight w:val="0"/>
      <w:marTop w:val="0"/>
      <w:marBottom w:val="0"/>
      <w:divBdr>
        <w:top w:val="none" w:sz="0" w:space="0" w:color="auto"/>
        <w:left w:val="none" w:sz="0" w:space="0" w:color="auto"/>
        <w:bottom w:val="none" w:sz="0" w:space="0" w:color="auto"/>
        <w:right w:val="none" w:sz="0" w:space="0" w:color="auto"/>
      </w:divBdr>
    </w:div>
    <w:div w:id="889607173">
      <w:bodyDiv w:val="1"/>
      <w:marLeft w:val="0"/>
      <w:marRight w:val="0"/>
      <w:marTop w:val="0"/>
      <w:marBottom w:val="0"/>
      <w:divBdr>
        <w:top w:val="none" w:sz="0" w:space="0" w:color="auto"/>
        <w:left w:val="none" w:sz="0" w:space="0" w:color="auto"/>
        <w:bottom w:val="none" w:sz="0" w:space="0" w:color="auto"/>
        <w:right w:val="none" w:sz="0" w:space="0" w:color="auto"/>
      </w:divBdr>
    </w:div>
    <w:div w:id="891815958">
      <w:bodyDiv w:val="1"/>
      <w:marLeft w:val="0"/>
      <w:marRight w:val="0"/>
      <w:marTop w:val="0"/>
      <w:marBottom w:val="0"/>
      <w:divBdr>
        <w:top w:val="none" w:sz="0" w:space="0" w:color="auto"/>
        <w:left w:val="none" w:sz="0" w:space="0" w:color="auto"/>
        <w:bottom w:val="none" w:sz="0" w:space="0" w:color="auto"/>
        <w:right w:val="none" w:sz="0" w:space="0" w:color="auto"/>
      </w:divBdr>
    </w:div>
    <w:div w:id="896819195">
      <w:bodyDiv w:val="1"/>
      <w:marLeft w:val="0"/>
      <w:marRight w:val="0"/>
      <w:marTop w:val="0"/>
      <w:marBottom w:val="0"/>
      <w:divBdr>
        <w:top w:val="none" w:sz="0" w:space="0" w:color="auto"/>
        <w:left w:val="none" w:sz="0" w:space="0" w:color="auto"/>
        <w:bottom w:val="none" w:sz="0" w:space="0" w:color="auto"/>
        <w:right w:val="none" w:sz="0" w:space="0" w:color="auto"/>
      </w:divBdr>
    </w:div>
    <w:div w:id="898325921">
      <w:bodyDiv w:val="1"/>
      <w:marLeft w:val="0"/>
      <w:marRight w:val="0"/>
      <w:marTop w:val="0"/>
      <w:marBottom w:val="0"/>
      <w:divBdr>
        <w:top w:val="none" w:sz="0" w:space="0" w:color="auto"/>
        <w:left w:val="none" w:sz="0" w:space="0" w:color="auto"/>
        <w:bottom w:val="none" w:sz="0" w:space="0" w:color="auto"/>
        <w:right w:val="none" w:sz="0" w:space="0" w:color="auto"/>
      </w:divBdr>
    </w:div>
    <w:div w:id="900675231">
      <w:bodyDiv w:val="1"/>
      <w:marLeft w:val="0"/>
      <w:marRight w:val="0"/>
      <w:marTop w:val="0"/>
      <w:marBottom w:val="0"/>
      <w:divBdr>
        <w:top w:val="none" w:sz="0" w:space="0" w:color="auto"/>
        <w:left w:val="none" w:sz="0" w:space="0" w:color="auto"/>
        <w:bottom w:val="none" w:sz="0" w:space="0" w:color="auto"/>
        <w:right w:val="none" w:sz="0" w:space="0" w:color="auto"/>
      </w:divBdr>
    </w:div>
    <w:div w:id="901403216">
      <w:bodyDiv w:val="1"/>
      <w:marLeft w:val="0"/>
      <w:marRight w:val="0"/>
      <w:marTop w:val="0"/>
      <w:marBottom w:val="0"/>
      <w:divBdr>
        <w:top w:val="none" w:sz="0" w:space="0" w:color="auto"/>
        <w:left w:val="none" w:sz="0" w:space="0" w:color="auto"/>
        <w:bottom w:val="none" w:sz="0" w:space="0" w:color="auto"/>
        <w:right w:val="none" w:sz="0" w:space="0" w:color="auto"/>
      </w:divBdr>
    </w:div>
    <w:div w:id="904073403">
      <w:bodyDiv w:val="1"/>
      <w:marLeft w:val="0"/>
      <w:marRight w:val="0"/>
      <w:marTop w:val="0"/>
      <w:marBottom w:val="0"/>
      <w:divBdr>
        <w:top w:val="none" w:sz="0" w:space="0" w:color="auto"/>
        <w:left w:val="none" w:sz="0" w:space="0" w:color="auto"/>
        <w:bottom w:val="none" w:sz="0" w:space="0" w:color="auto"/>
        <w:right w:val="none" w:sz="0" w:space="0" w:color="auto"/>
      </w:divBdr>
    </w:div>
    <w:div w:id="906577420">
      <w:bodyDiv w:val="1"/>
      <w:marLeft w:val="0"/>
      <w:marRight w:val="0"/>
      <w:marTop w:val="0"/>
      <w:marBottom w:val="0"/>
      <w:divBdr>
        <w:top w:val="none" w:sz="0" w:space="0" w:color="auto"/>
        <w:left w:val="none" w:sz="0" w:space="0" w:color="auto"/>
        <w:bottom w:val="none" w:sz="0" w:space="0" w:color="auto"/>
        <w:right w:val="none" w:sz="0" w:space="0" w:color="auto"/>
      </w:divBdr>
    </w:div>
    <w:div w:id="909199116">
      <w:bodyDiv w:val="1"/>
      <w:marLeft w:val="0"/>
      <w:marRight w:val="0"/>
      <w:marTop w:val="0"/>
      <w:marBottom w:val="0"/>
      <w:divBdr>
        <w:top w:val="none" w:sz="0" w:space="0" w:color="auto"/>
        <w:left w:val="none" w:sz="0" w:space="0" w:color="auto"/>
        <w:bottom w:val="none" w:sz="0" w:space="0" w:color="auto"/>
        <w:right w:val="none" w:sz="0" w:space="0" w:color="auto"/>
      </w:divBdr>
    </w:div>
    <w:div w:id="911351908">
      <w:bodyDiv w:val="1"/>
      <w:marLeft w:val="0"/>
      <w:marRight w:val="0"/>
      <w:marTop w:val="0"/>
      <w:marBottom w:val="0"/>
      <w:divBdr>
        <w:top w:val="none" w:sz="0" w:space="0" w:color="auto"/>
        <w:left w:val="none" w:sz="0" w:space="0" w:color="auto"/>
        <w:bottom w:val="none" w:sz="0" w:space="0" w:color="auto"/>
        <w:right w:val="none" w:sz="0" w:space="0" w:color="auto"/>
      </w:divBdr>
    </w:div>
    <w:div w:id="914126805">
      <w:bodyDiv w:val="1"/>
      <w:marLeft w:val="0"/>
      <w:marRight w:val="0"/>
      <w:marTop w:val="0"/>
      <w:marBottom w:val="0"/>
      <w:divBdr>
        <w:top w:val="none" w:sz="0" w:space="0" w:color="auto"/>
        <w:left w:val="none" w:sz="0" w:space="0" w:color="auto"/>
        <w:bottom w:val="none" w:sz="0" w:space="0" w:color="auto"/>
        <w:right w:val="none" w:sz="0" w:space="0" w:color="auto"/>
      </w:divBdr>
    </w:div>
    <w:div w:id="917010576">
      <w:bodyDiv w:val="1"/>
      <w:marLeft w:val="0"/>
      <w:marRight w:val="0"/>
      <w:marTop w:val="0"/>
      <w:marBottom w:val="0"/>
      <w:divBdr>
        <w:top w:val="none" w:sz="0" w:space="0" w:color="auto"/>
        <w:left w:val="none" w:sz="0" w:space="0" w:color="auto"/>
        <w:bottom w:val="none" w:sz="0" w:space="0" w:color="auto"/>
        <w:right w:val="none" w:sz="0" w:space="0" w:color="auto"/>
      </w:divBdr>
    </w:div>
    <w:div w:id="917640790">
      <w:bodyDiv w:val="1"/>
      <w:marLeft w:val="0"/>
      <w:marRight w:val="0"/>
      <w:marTop w:val="0"/>
      <w:marBottom w:val="0"/>
      <w:divBdr>
        <w:top w:val="none" w:sz="0" w:space="0" w:color="auto"/>
        <w:left w:val="none" w:sz="0" w:space="0" w:color="auto"/>
        <w:bottom w:val="none" w:sz="0" w:space="0" w:color="auto"/>
        <w:right w:val="none" w:sz="0" w:space="0" w:color="auto"/>
      </w:divBdr>
    </w:div>
    <w:div w:id="920799480">
      <w:bodyDiv w:val="1"/>
      <w:marLeft w:val="0"/>
      <w:marRight w:val="0"/>
      <w:marTop w:val="0"/>
      <w:marBottom w:val="0"/>
      <w:divBdr>
        <w:top w:val="none" w:sz="0" w:space="0" w:color="auto"/>
        <w:left w:val="none" w:sz="0" w:space="0" w:color="auto"/>
        <w:bottom w:val="none" w:sz="0" w:space="0" w:color="auto"/>
        <w:right w:val="none" w:sz="0" w:space="0" w:color="auto"/>
      </w:divBdr>
    </w:div>
    <w:div w:id="922295423">
      <w:bodyDiv w:val="1"/>
      <w:marLeft w:val="0"/>
      <w:marRight w:val="0"/>
      <w:marTop w:val="0"/>
      <w:marBottom w:val="0"/>
      <w:divBdr>
        <w:top w:val="none" w:sz="0" w:space="0" w:color="auto"/>
        <w:left w:val="none" w:sz="0" w:space="0" w:color="auto"/>
        <w:bottom w:val="none" w:sz="0" w:space="0" w:color="auto"/>
        <w:right w:val="none" w:sz="0" w:space="0" w:color="auto"/>
      </w:divBdr>
      <w:divsChild>
        <w:div w:id="1362973084">
          <w:marLeft w:val="0"/>
          <w:marRight w:val="0"/>
          <w:marTop w:val="15"/>
          <w:marBottom w:val="0"/>
          <w:divBdr>
            <w:top w:val="none" w:sz="0" w:space="0" w:color="auto"/>
            <w:left w:val="none" w:sz="0" w:space="0" w:color="auto"/>
            <w:bottom w:val="none" w:sz="0" w:space="0" w:color="auto"/>
            <w:right w:val="none" w:sz="0" w:space="0" w:color="auto"/>
          </w:divBdr>
          <w:divsChild>
            <w:div w:id="550580776">
              <w:marLeft w:val="0"/>
              <w:marRight w:val="0"/>
              <w:marTop w:val="0"/>
              <w:marBottom w:val="0"/>
              <w:divBdr>
                <w:top w:val="none" w:sz="0" w:space="0" w:color="auto"/>
                <w:left w:val="none" w:sz="0" w:space="0" w:color="auto"/>
                <w:bottom w:val="none" w:sz="0" w:space="0" w:color="auto"/>
                <w:right w:val="none" w:sz="0" w:space="0" w:color="auto"/>
              </w:divBdr>
              <w:divsChild>
                <w:div w:id="949119219">
                  <w:marLeft w:val="0"/>
                  <w:marRight w:val="0"/>
                  <w:marTop w:val="0"/>
                  <w:marBottom w:val="0"/>
                  <w:divBdr>
                    <w:top w:val="none" w:sz="0" w:space="0" w:color="auto"/>
                    <w:left w:val="none" w:sz="0" w:space="0" w:color="auto"/>
                    <w:bottom w:val="none" w:sz="0" w:space="0" w:color="auto"/>
                    <w:right w:val="none" w:sz="0" w:space="0" w:color="auto"/>
                  </w:divBdr>
                </w:div>
                <w:div w:id="1483737276">
                  <w:marLeft w:val="0"/>
                  <w:marRight w:val="0"/>
                  <w:marTop w:val="0"/>
                  <w:marBottom w:val="0"/>
                  <w:divBdr>
                    <w:top w:val="none" w:sz="0" w:space="0" w:color="auto"/>
                    <w:left w:val="none" w:sz="0" w:space="0" w:color="auto"/>
                    <w:bottom w:val="none" w:sz="0" w:space="0" w:color="auto"/>
                    <w:right w:val="none" w:sz="0" w:space="0" w:color="auto"/>
                  </w:divBdr>
                </w:div>
                <w:div w:id="702826340">
                  <w:marLeft w:val="0"/>
                  <w:marRight w:val="0"/>
                  <w:marTop w:val="0"/>
                  <w:marBottom w:val="0"/>
                  <w:divBdr>
                    <w:top w:val="none" w:sz="0" w:space="0" w:color="auto"/>
                    <w:left w:val="none" w:sz="0" w:space="0" w:color="auto"/>
                    <w:bottom w:val="none" w:sz="0" w:space="0" w:color="auto"/>
                    <w:right w:val="none" w:sz="0" w:space="0" w:color="auto"/>
                  </w:divBdr>
                </w:div>
                <w:div w:id="1840656726">
                  <w:marLeft w:val="0"/>
                  <w:marRight w:val="0"/>
                  <w:marTop w:val="0"/>
                  <w:marBottom w:val="0"/>
                  <w:divBdr>
                    <w:top w:val="none" w:sz="0" w:space="0" w:color="auto"/>
                    <w:left w:val="none" w:sz="0" w:space="0" w:color="auto"/>
                    <w:bottom w:val="none" w:sz="0" w:space="0" w:color="auto"/>
                    <w:right w:val="none" w:sz="0" w:space="0" w:color="auto"/>
                  </w:divBdr>
                </w:div>
                <w:div w:id="953251915">
                  <w:marLeft w:val="0"/>
                  <w:marRight w:val="0"/>
                  <w:marTop w:val="0"/>
                  <w:marBottom w:val="0"/>
                  <w:divBdr>
                    <w:top w:val="none" w:sz="0" w:space="0" w:color="auto"/>
                    <w:left w:val="none" w:sz="0" w:space="0" w:color="auto"/>
                    <w:bottom w:val="none" w:sz="0" w:space="0" w:color="auto"/>
                    <w:right w:val="none" w:sz="0" w:space="0" w:color="auto"/>
                  </w:divBdr>
                </w:div>
                <w:div w:id="2052533198">
                  <w:marLeft w:val="0"/>
                  <w:marRight w:val="0"/>
                  <w:marTop w:val="0"/>
                  <w:marBottom w:val="0"/>
                  <w:divBdr>
                    <w:top w:val="none" w:sz="0" w:space="0" w:color="auto"/>
                    <w:left w:val="none" w:sz="0" w:space="0" w:color="auto"/>
                    <w:bottom w:val="none" w:sz="0" w:space="0" w:color="auto"/>
                    <w:right w:val="none" w:sz="0" w:space="0" w:color="auto"/>
                  </w:divBdr>
                </w:div>
                <w:div w:id="55864487">
                  <w:marLeft w:val="0"/>
                  <w:marRight w:val="0"/>
                  <w:marTop w:val="0"/>
                  <w:marBottom w:val="0"/>
                  <w:divBdr>
                    <w:top w:val="none" w:sz="0" w:space="0" w:color="auto"/>
                    <w:left w:val="none" w:sz="0" w:space="0" w:color="auto"/>
                    <w:bottom w:val="none" w:sz="0" w:space="0" w:color="auto"/>
                    <w:right w:val="none" w:sz="0" w:space="0" w:color="auto"/>
                  </w:divBdr>
                </w:div>
                <w:div w:id="1898856760">
                  <w:marLeft w:val="0"/>
                  <w:marRight w:val="0"/>
                  <w:marTop w:val="0"/>
                  <w:marBottom w:val="0"/>
                  <w:divBdr>
                    <w:top w:val="none" w:sz="0" w:space="0" w:color="auto"/>
                    <w:left w:val="none" w:sz="0" w:space="0" w:color="auto"/>
                    <w:bottom w:val="none" w:sz="0" w:space="0" w:color="auto"/>
                    <w:right w:val="none" w:sz="0" w:space="0" w:color="auto"/>
                  </w:divBdr>
                </w:div>
                <w:div w:id="433869218">
                  <w:marLeft w:val="0"/>
                  <w:marRight w:val="0"/>
                  <w:marTop w:val="0"/>
                  <w:marBottom w:val="0"/>
                  <w:divBdr>
                    <w:top w:val="none" w:sz="0" w:space="0" w:color="auto"/>
                    <w:left w:val="none" w:sz="0" w:space="0" w:color="auto"/>
                    <w:bottom w:val="none" w:sz="0" w:space="0" w:color="auto"/>
                    <w:right w:val="none" w:sz="0" w:space="0" w:color="auto"/>
                  </w:divBdr>
                </w:div>
                <w:div w:id="1426345471">
                  <w:marLeft w:val="0"/>
                  <w:marRight w:val="0"/>
                  <w:marTop w:val="0"/>
                  <w:marBottom w:val="0"/>
                  <w:divBdr>
                    <w:top w:val="none" w:sz="0" w:space="0" w:color="auto"/>
                    <w:left w:val="none" w:sz="0" w:space="0" w:color="auto"/>
                    <w:bottom w:val="none" w:sz="0" w:space="0" w:color="auto"/>
                    <w:right w:val="none" w:sz="0" w:space="0" w:color="auto"/>
                  </w:divBdr>
                </w:div>
                <w:div w:id="1181314778">
                  <w:marLeft w:val="0"/>
                  <w:marRight w:val="0"/>
                  <w:marTop w:val="0"/>
                  <w:marBottom w:val="0"/>
                  <w:divBdr>
                    <w:top w:val="none" w:sz="0" w:space="0" w:color="auto"/>
                    <w:left w:val="none" w:sz="0" w:space="0" w:color="auto"/>
                    <w:bottom w:val="none" w:sz="0" w:space="0" w:color="auto"/>
                    <w:right w:val="none" w:sz="0" w:space="0" w:color="auto"/>
                  </w:divBdr>
                </w:div>
                <w:div w:id="1302615378">
                  <w:marLeft w:val="0"/>
                  <w:marRight w:val="0"/>
                  <w:marTop w:val="0"/>
                  <w:marBottom w:val="0"/>
                  <w:divBdr>
                    <w:top w:val="none" w:sz="0" w:space="0" w:color="auto"/>
                    <w:left w:val="none" w:sz="0" w:space="0" w:color="auto"/>
                    <w:bottom w:val="none" w:sz="0" w:space="0" w:color="auto"/>
                    <w:right w:val="none" w:sz="0" w:space="0" w:color="auto"/>
                  </w:divBdr>
                </w:div>
                <w:div w:id="1300575293">
                  <w:marLeft w:val="0"/>
                  <w:marRight w:val="0"/>
                  <w:marTop w:val="0"/>
                  <w:marBottom w:val="0"/>
                  <w:divBdr>
                    <w:top w:val="none" w:sz="0" w:space="0" w:color="auto"/>
                    <w:left w:val="none" w:sz="0" w:space="0" w:color="auto"/>
                    <w:bottom w:val="none" w:sz="0" w:space="0" w:color="auto"/>
                    <w:right w:val="none" w:sz="0" w:space="0" w:color="auto"/>
                  </w:divBdr>
                </w:div>
                <w:div w:id="389504769">
                  <w:marLeft w:val="0"/>
                  <w:marRight w:val="0"/>
                  <w:marTop w:val="0"/>
                  <w:marBottom w:val="0"/>
                  <w:divBdr>
                    <w:top w:val="none" w:sz="0" w:space="0" w:color="auto"/>
                    <w:left w:val="none" w:sz="0" w:space="0" w:color="auto"/>
                    <w:bottom w:val="none" w:sz="0" w:space="0" w:color="auto"/>
                    <w:right w:val="none" w:sz="0" w:space="0" w:color="auto"/>
                  </w:divBdr>
                </w:div>
                <w:div w:id="1524903583">
                  <w:marLeft w:val="0"/>
                  <w:marRight w:val="0"/>
                  <w:marTop w:val="0"/>
                  <w:marBottom w:val="0"/>
                  <w:divBdr>
                    <w:top w:val="none" w:sz="0" w:space="0" w:color="auto"/>
                    <w:left w:val="none" w:sz="0" w:space="0" w:color="auto"/>
                    <w:bottom w:val="none" w:sz="0" w:space="0" w:color="auto"/>
                    <w:right w:val="none" w:sz="0" w:space="0" w:color="auto"/>
                  </w:divBdr>
                </w:div>
                <w:div w:id="551891028">
                  <w:marLeft w:val="0"/>
                  <w:marRight w:val="0"/>
                  <w:marTop w:val="0"/>
                  <w:marBottom w:val="0"/>
                  <w:divBdr>
                    <w:top w:val="none" w:sz="0" w:space="0" w:color="auto"/>
                    <w:left w:val="none" w:sz="0" w:space="0" w:color="auto"/>
                    <w:bottom w:val="none" w:sz="0" w:space="0" w:color="auto"/>
                    <w:right w:val="none" w:sz="0" w:space="0" w:color="auto"/>
                  </w:divBdr>
                </w:div>
                <w:div w:id="587349399">
                  <w:marLeft w:val="0"/>
                  <w:marRight w:val="0"/>
                  <w:marTop w:val="0"/>
                  <w:marBottom w:val="0"/>
                  <w:divBdr>
                    <w:top w:val="none" w:sz="0" w:space="0" w:color="auto"/>
                    <w:left w:val="none" w:sz="0" w:space="0" w:color="auto"/>
                    <w:bottom w:val="none" w:sz="0" w:space="0" w:color="auto"/>
                    <w:right w:val="none" w:sz="0" w:space="0" w:color="auto"/>
                  </w:divBdr>
                </w:div>
                <w:div w:id="1666736133">
                  <w:marLeft w:val="0"/>
                  <w:marRight w:val="0"/>
                  <w:marTop w:val="0"/>
                  <w:marBottom w:val="0"/>
                  <w:divBdr>
                    <w:top w:val="none" w:sz="0" w:space="0" w:color="auto"/>
                    <w:left w:val="none" w:sz="0" w:space="0" w:color="auto"/>
                    <w:bottom w:val="none" w:sz="0" w:space="0" w:color="auto"/>
                    <w:right w:val="none" w:sz="0" w:space="0" w:color="auto"/>
                  </w:divBdr>
                </w:div>
                <w:div w:id="1010915996">
                  <w:marLeft w:val="0"/>
                  <w:marRight w:val="0"/>
                  <w:marTop w:val="0"/>
                  <w:marBottom w:val="0"/>
                  <w:divBdr>
                    <w:top w:val="none" w:sz="0" w:space="0" w:color="auto"/>
                    <w:left w:val="none" w:sz="0" w:space="0" w:color="auto"/>
                    <w:bottom w:val="none" w:sz="0" w:space="0" w:color="auto"/>
                    <w:right w:val="none" w:sz="0" w:space="0" w:color="auto"/>
                  </w:divBdr>
                </w:div>
                <w:div w:id="1141921266">
                  <w:marLeft w:val="0"/>
                  <w:marRight w:val="0"/>
                  <w:marTop w:val="0"/>
                  <w:marBottom w:val="0"/>
                  <w:divBdr>
                    <w:top w:val="none" w:sz="0" w:space="0" w:color="auto"/>
                    <w:left w:val="none" w:sz="0" w:space="0" w:color="auto"/>
                    <w:bottom w:val="none" w:sz="0" w:space="0" w:color="auto"/>
                    <w:right w:val="none" w:sz="0" w:space="0" w:color="auto"/>
                  </w:divBdr>
                </w:div>
                <w:div w:id="1093863139">
                  <w:marLeft w:val="0"/>
                  <w:marRight w:val="0"/>
                  <w:marTop w:val="0"/>
                  <w:marBottom w:val="0"/>
                  <w:divBdr>
                    <w:top w:val="none" w:sz="0" w:space="0" w:color="auto"/>
                    <w:left w:val="none" w:sz="0" w:space="0" w:color="auto"/>
                    <w:bottom w:val="none" w:sz="0" w:space="0" w:color="auto"/>
                    <w:right w:val="none" w:sz="0" w:space="0" w:color="auto"/>
                  </w:divBdr>
                </w:div>
                <w:div w:id="12488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994">
          <w:marLeft w:val="0"/>
          <w:marRight w:val="0"/>
          <w:marTop w:val="15"/>
          <w:marBottom w:val="0"/>
          <w:divBdr>
            <w:top w:val="none" w:sz="0" w:space="0" w:color="auto"/>
            <w:left w:val="none" w:sz="0" w:space="0" w:color="auto"/>
            <w:bottom w:val="none" w:sz="0" w:space="0" w:color="auto"/>
            <w:right w:val="none" w:sz="0" w:space="0" w:color="auto"/>
          </w:divBdr>
          <w:divsChild>
            <w:div w:id="223948702">
              <w:marLeft w:val="0"/>
              <w:marRight w:val="0"/>
              <w:marTop w:val="0"/>
              <w:marBottom w:val="0"/>
              <w:divBdr>
                <w:top w:val="none" w:sz="0" w:space="0" w:color="auto"/>
                <w:left w:val="none" w:sz="0" w:space="0" w:color="auto"/>
                <w:bottom w:val="none" w:sz="0" w:space="0" w:color="auto"/>
                <w:right w:val="none" w:sz="0" w:space="0" w:color="auto"/>
              </w:divBdr>
              <w:divsChild>
                <w:div w:id="2062946786">
                  <w:marLeft w:val="0"/>
                  <w:marRight w:val="0"/>
                  <w:marTop w:val="0"/>
                  <w:marBottom w:val="0"/>
                  <w:divBdr>
                    <w:top w:val="none" w:sz="0" w:space="0" w:color="auto"/>
                    <w:left w:val="none" w:sz="0" w:space="0" w:color="auto"/>
                    <w:bottom w:val="none" w:sz="0" w:space="0" w:color="auto"/>
                    <w:right w:val="none" w:sz="0" w:space="0" w:color="auto"/>
                  </w:divBdr>
                </w:div>
                <w:div w:id="704717884">
                  <w:marLeft w:val="0"/>
                  <w:marRight w:val="0"/>
                  <w:marTop w:val="0"/>
                  <w:marBottom w:val="0"/>
                  <w:divBdr>
                    <w:top w:val="none" w:sz="0" w:space="0" w:color="auto"/>
                    <w:left w:val="none" w:sz="0" w:space="0" w:color="auto"/>
                    <w:bottom w:val="none" w:sz="0" w:space="0" w:color="auto"/>
                    <w:right w:val="none" w:sz="0" w:space="0" w:color="auto"/>
                  </w:divBdr>
                </w:div>
                <w:div w:id="305088536">
                  <w:marLeft w:val="0"/>
                  <w:marRight w:val="0"/>
                  <w:marTop w:val="0"/>
                  <w:marBottom w:val="0"/>
                  <w:divBdr>
                    <w:top w:val="none" w:sz="0" w:space="0" w:color="auto"/>
                    <w:left w:val="none" w:sz="0" w:space="0" w:color="auto"/>
                    <w:bottom w:val="none" w:sz="0" w:space="0" w:color="auto"/>
                    <w:right w:val="none" w:sz="0" w:space="0" w:color="auto"/>
                  </w:divBdr>
                </w:div>
                <w:div w:id="1493568535">
                  <w:marLeft w:val="0"/>
                  <w:marRight w:val="0"/>
                  <w:marTop w:val="0"/>
                  <w:marBottom w:val="0"/>
                  <w:divBdr>
                    <w:top w:val="none" w:sz="0" w:space="0" w:color="auto"/>
                    <w:left w:val="none" w:sz="0" w:space="0" w:color="auto"/>
                    <w:bottom w:val="none" w:sz="0" w:space="0" w:color="auto"/>
                    <w:right w:val="none" w:sz="0" w:space="0" w:color="auto"/>
                  </w:divBdr>
                </w:div>
                <w:div w:id="1809785490">
                  <w:marLeft w:val="0"/>
                  <w:marRight w:val="0"/>
                  <w:marTop w:val="0"/>
                  <w:marBottom w:val="0"/>
                  <w:divBdr>
                    <w:top w:val="none" w:sz="0" w:space="0" w:color="auto"/>
                    <w:left w:val="none" w:sz="0" w:space="0" w:color="auto"/>
                    <w:bottom w:val="none" w:sz="0" w:space="0" w:color="auto"/>
                    <w:right w:val="none" w:sz="0" w:space="0" w:color="auto"/>
                  </w:divBdr>
                </w:div>
                <w:div w:id="1439521295">
                  <w:marLeft w:val="0"/>
                  <w:marRight w:val="0"/>
                  <w:marTop w:val="0"/>
                  <w:marBottom w:val="0"/>
                  <w:divBdr>
                    <w:top w:val="none" w:sz="0" w:space="0" w:color="auto"/>
                    <w:left w:val="none" w:sz="0" w:space="0" w:color="auto"/>
                    <w:bottom w:val="none" w:sz="0" w:space="0" w:color="auto"/>
                    <w:right w:val="none" w:sz="0" w:space="0" w:color="auto"/>
                  </w:divBdr>
                </w:div>
                <w:div w:id="626549650">
                  <w:marLeft w:val="0"/>
                  <w:marRight w:val="0"/>
                  <w:marTop w:val="0"/>
                  <w:marBottom w:val="0"/>
                  <w:divBdr>
                    <w:top w:val="none" w:sz="0" w:space="0" w:color="auto"/>
                    <w:left w:val="none" w:sz="0" w:space="0" w:color="auto"/>
                    <w:bottom w:val="none" w:sz="0" w:space="0" w:color="auto"/>
                    <w:right w:val="none" w:sz="0" w:space="0" w:color="auto"/>
                  </w:divBdr>
                </w:div>
                <w:div w:id="2093744145">
                  <w:marLeft w:val="0"/>
                  <w:marRight w:val="0"/>
                  <w:marTop w:val="0"/>
                  <w:marBottom w:val="0"/>
                  <w:divBdr>
                    <w:top w:val="none" w:sz="0" w:space="0" w:color="auto"/>
                    <w:left w:val="none" w:sz="0" w:space="0" w:color="auto"/>
                    <w:bottom w:val="none" w:sz="0" w:space="0" w:color="auto"/>
                    <w:right w:val="none" w:sz="0" w:space="0" w:color="auto"/>
                  </w:divBdr>
                </w:div>
                <w:div w:id="545068077">
                  <w:marLeft w:val="0"/>
                  <w:marRight w:val="0"/>
                  <w:marTop w:val="0"/>
                  <w:marBottom w:val="0"/>
                  <w:divBdr>
                    <w:top w:val="none" w:sz="0" w:space="0" w:color="auto"/>
                    <w:left w:val="none" w:sz="0" w:space="0" w:color="auto"/>
                    <w:bottom w:val="none" w:sz="0" w:space="0" w:color="auto"/>
                    <w:right w:val="none" w:sz="0" w:space="0" w:color="auto"/>
                  </w:divBdr>
                </w:div>
                <w:div w:id="247346622">
                  <w:marLeft w:val="0"/>
                  <w:marRight w:val="0"/>
                  <w:marTop w:val="0"/>
                  <w:marBottom w:val="0"/>
                  <w:divBdr>
                    <w:top w:val="none" w:sz="0" w:space="0" w:color="auto"/>
                    <w:left w:val="none" w:sz="0" w:space="0" w:color="auto"/>
                    <w:bottom w:val="none" w:sz="0" w:space="0" w:color="auto"/>
                    <w:right w:val="none" w:sz="0" w:space="0" w:color="auto"/>
                  </w:divBdr>
                </w:div>
                <w:div w:id="1441611647">
                  <w:marLeft w:val="0"/>
                  <w:marRight w:val="0"/>
                  <w:marTop w:val="0"/>
                  <w:marBottom w:val="0"/>
                  <w:divBdr>
                    <w:top w:val="none" w:sz="0" w:space="0" w:color="auto"/>
                    <w:left w:val="none" w:sz="0" w:space="0" w:color="auto"/>
                    <w:bottom w:val="none" w:sz="0" w:space="0" w:color="auto"/>
                    <w:right w:val="none" w:sz="0" w:space="0" w:color="auto"/>
                  </w:divBdr>
                </w:div>
                <w:div w:id="261963569">
                  <w:marLeft w:val="0"/>
                  <w:marRight w:val="0"/>
                  <w:marTop w:val="0"/>
                  <w:marBottom w:val="0"/>
                  <w:divBdr>
                    <w:top w:val="none" w:sz="0" w:space="0" w:color="auto"/>
                    <w:left w:val="none" w:sz="0" w:space="0" w:color="auto"/>
                    <w:bottom w:val="none" w:sz="0" w:space="0" w:color="auto"/>
                    <w:right w:val="none" w:sz="0" w:space="0" w:color="auto"/>
                  </w:divBdr>
                </w:div>
                <w:div w:id="1692417076">
                  <w:marLeft w:val="0"/>
                  <w:marRight w:val="0"/>
                  <w:marTop w:val="0"/>
                  <w:marBottom w:val="0"/>
                  <w:divBdr>
                    <w:top w:val="none" w:sz="0" w:space="0" w:color="auto"/>
                    <w:left w:val="none" w:sz="0" w:space="0" w:color="auto"/>
                    <w:bottom w:val="none" w:sz="0" w:space="0" w:color="auto"/>
                    <w:right w:val="none" w:sz="0" w:space="0" w:color="auto"/>
                  </w:divBdr>
                </w:div>
                <w:div w:id="834952669">
                  <w:marLeft w:val="0"/>
                  <w:marRight w:val="0"/>
                  <w:marTop w:val="0"/>
                  <w:marBottom w:val="0"/>
                  <w:divBdr>
                    <w:top w:val="none" w:sz="0" w:space="0" w:color="auto"/>
                    <w:left w:val="none" w:sz="0" w:space="0" w:color="auto"/>
                    <w:bottom w:val="none" w:sz="0" w:space="0" w:color="auto"/>
                    <w:right w:val="none" w:sz="0" w:space="0" w:color="auto"/>
                  </w:divBdr>
                </w:div>
                <w:div w:id="210000533">
                  <w:marLeft w:val="0"/>
                  <w:marRight w:val="0"/>
                  <w:marTop w:val="0"/>
                  <w:marBottom w:val="0"/>
                  <w:divBdr>
                    <w:top w:val="none" w:sz="0" w:space="0" w:color="auto"/>
                    <w:left w:val="none" w:sz="0" w:space="0" w:color="auto"/>
                    <w:bottom w:val="none" w:sz="0" w:space="0" w:color="auto"/>
                    <w:right w:val="none" w:sz="0" w:space="0" w:color="auto"/>
                  </w:divBdr>
                </w:div>
                <w:div w:id="671377598">
                  <w:marLeft w:val="0"/>
                  <w:marRight w:val="0"/>
                  <w:marTop w:val="0"/>
                  <w:marBottom w:val="0"/>
                  <w:divBdr>
                    <w:top w:val="none" w:sz="0" w:space="0" w:color="auto"/>
                    <w:left w:val="none" w:sz="0" w:space="0" w:color="auto"/>
                    <w:bottom w:val="none" w:sz="0" w:space="0" w:color="auto"/>
                    <w:right w:val="none" w:sz="0" w:space="0" w:color="auto"/>
                  </w:divBdr>
                </w:div>
                <w:div w:id="1950551199">
                  <w:marLeft w:val="0"/>
                  <w:marRight w:val="0"/>
                  <w:marTop w:val="0"/>
                  <w:marBottom w:val="0"/>
                  <w:divBdr>
                    <w:top w:val="none" w:sz="0" w:space="0" w:color="auto"/>
                    <w:left w:val="none" w:sz="0" w:space="0" w:color="auto"/>
                    <w:bottom w:val="none" w:sz="0" w:space="0" w:color="auto"/>
                    <w:right w:val="none" w:sz="0" w:space="0" w:color="auto"/>
                  </w:divBdr>
                </w:div>
                <w:div w:id="917329746">
                  <w:marLeft w:val="0"/>
                  <w:marRight w:val="0"/>
                  <w:marTop w:val="0"/>
                  <w:marBottom w:val="0"/>
                  <w:divBdr>
                    <w:top w:val="none" w:sz="0" w:space="0" w:color="auto"/>
                    <w:left w:val="none" w:sz="0" w:space="0" w:color="auto"/>
                    <w:bottom w:val="none" w:sz="0" w:space="0" w:color="auto"/>
                    <w:right w:val="none" w:sz="0" w:space="0" w:color="auto"/>
                  </w:divBdr>
                </w:div>
                <w:div w:id="2077312812">
                  <w:marLeft w:val="0"/>
                  <w:marRight w:val="0"/>
                  <w:marTop w:val="0"/>
                  <w:marBottom w:val="0"/>
                  <w:divBdr>
                    <w:top w:val="none" w:sz="0" w:space="0" w:color="auto"/>
                    <w:left w:val="none" w:sz="0" w:space="0" w:color="auto"/>
                    <w:bottom w:val="none" w:sz="0" w:space="0" w:color="auto"/>
                    <w:right w:val="none" w:sz="0" w:space="0" w:color="auto"/>
                  </w:divBdr>
                </w:div>
                <w:div w:id="92287336">
                  <w:marLeft w:val="0"/>
                  <w:marRight w:val="0"/>
                  <w:marTop w:val="0"/>
                  <w:marBottom w:val="0"/>
                  <w:divBdr>
                    <w:top w:val="none" w:sz="0" w:space="0" w:color="auto"/>
                    <w:left w:val="none" w:sz="0" w:space="0" w:color="auto"/>
                    <w:bottom w:val="none" w:sz="0" w:space="0" w:color="auto"/>
                    <w:right w:val="none" w:sz="0" w:space="0" w:color="auto"/>
                  </w:divBdr>
                </w:div>
                <w:div w:id="1922833694">
                  <w:marLeft w:val="0"/>
                  <w:marRight w:val="0"/>
                  <w:marTop w:val="0"/>
                  <w:marBottom w:val="0"/>
                  <w:divBdr>
                    <w:top w:val="none" w:sz="0" w:space="0" w:color="auto"/>
                    <w:left w:val="none" w:sz="0" w:space="0" w:color="auto"/>
                    <w:bottom w:val="none" w:sz="0" w:space="0" w:color="auto"/>
                    <w:right w:val="none" w:sz="0" w:space="0" w:color="auto"/>
                  </w:divBdr>
                </w:div>
                <w:div w:id="686177378">
                  <w:marLeft w:val="0"/>
                  <w:marRight w:val="0"/>
                  <w:marTop w:val="0"/>
                  <w:marBottom w:val="0"/>
                  <w:divBdr>
                    <w:top w:val="none" w:sz="0" w:space="0" w:color="auto"/>
                    <w:left w:val="none" w:sz="0" w:space="0" w:color="auto"/>
                    <w:bottom w:val="none" w:sz="0" w:space="0" w:color="auto"/>
                    <w:right w:val="none" w:sz="0" w:space="0" w:color="auto"/>
                  </w:divBdr>
                </w:div>
                <w:div w:id="638922688">
                  <w:marLeft w:val="0"/>
                  <w:marRight w:val="0"/>
                  <w:marTop w:val="0"/>
                  <w:marBottom w:val="0"/>
                  <w:divBdr>
                    <w:top w:val="none" w:sz="0" w:space="0" w:color="auto"/>
                    <w:left w:val="none" w:sz="0" w:space="0" w:color="auto"/>
                    <w:bottom w:val="none" w:sz="0" w:space="0" w:color="auto"/>
                    <w:right w:val="none" w:sz="0" w:space="0" w:color="auto"/>
                  </w:divBdr>
                </w:div>
                <w:div w:id="2067292990">
                  <w:marLeft w:val="0"/>
                  <w:marRight w:val="0"/>
                  <w:marTop w:val="0"/>
                  <w:marBottom w:val="0"/>
                  <w:divBdr>
                    <w:top w:val="none" w:sz="0" w:space="0" w:color="auto"/>
                    <w:left w:val="none" w:sz="0" w:space="0" w:color="auto"/>
                    <w:bottom w:val="none" w:sz="0" w:space="0" w:color="auto"/>
                    <w:right w:val="none" w:sz="0" w:space="0" w:color="auto"/>
                  </w:divBdr>
                </w:div>
                <w:div w:id="1598177392">
                  <w:marLeft w:val="0"/>
                  <w:marRight w:val="0"/>
                  <w:marTop w:val="0"/>
                  <w:marBottom w:val="0"/>
                  <w:divBdr>
                    <w:top w:val="none" w:sz="0" w:space="0" w:color="auto"/>
                    <w:left w:val="none" w:sz="0" w:space="0" w:color="auto"/>
                    <w:bottom w:val="none" w:sz="0" w:space="0" w:color="auto"/>
                    <w:right w:val="none" w:sz="0" w:space="0" w:color="auto"/>
                  </w:divBdr>
                </w:div>
                <w:div w:id="629287678">
                  <w:marLeft w:val="0"/>
                  <w:marRight w:val="0"/>
                  <w:marTop w:val="0"/>
                  <w:marBottom w:val="0"/>
                  <w:divBdr>
                    <w:top w:val="none" w:sz="0" w:space="0" w:color="auto"/>
                    <w:left w:val="none" w:sz="0" w:space="0" w:color="auto"/>
                    <w:bottom w:val="none" w:sz="0" w:space="0" w:color="auto"/>
                    <w:right w:val="none" w:sz="0" w:space="0" w:color="auto"/>
                  </w:divBdr>
                </w:div>
                <w:div w:id="1756975799">
                  <w:marLeft w:val="0"/>
                  <w:marRight w:val="0"/>
                  <w:marTop w:val="0"/>
                  <w:marBottom w:val="0"/>
                  <w:divBdr>
                    <w:top w:val="none" w:sz="0" w:space="0" w:color="auto"/>
                    <w:left w:val="none" w:sz="0" w:space="0" w:color="auto"/>
                    <w:bottom w:val="none" w:sz="0" w:space="0" w:color="auto"/>
                    <w:right w:val="none" w:sz="0" w:space="0" w:color="auto"/>
                  </w:divBdr>
                </w:div>
                <w:div w:id="1294018068">
                  <w:marLeft w:val="0"/>
                  <w:marRight w:val="0"/>
                  <w:marTop w:val="0"/>
                  <w:marBottom w:val="0"/>
                  <w:divBdr>
                    <w:top w:val="none" w:sz="0" w:space="0" w:color="auto"/>
                    <w:left w:val="none" w:sz="0" w:space="0" w:color="auto"/>
                    <w:bottom w:val="none" w:sz="0" w:space="0" w:color="auto"/>
                    <w:right w:val="none" w:sz="0" w:space="0" w:color="auto"/>
                  </w:divBdr>
                </w:div>
                <w:div w:id="1504322721">
                  <w:marLeft w:val="0"/>
                  <w:marRight w:val="0"/>
                  <w:marTop w:val="0"/>
                  <w:marBottom w:val="0"/>
                  <w:divBdr>
                    <w:top w:val="none" w:sz="0" w:space="0" w:color="auto"/>
                    <w:left w:val="none" w:sz="0" w:space="0" w:color="auto"/>
                    <w:bottom w:val="none" w:sz="0" w:space="0" w:color="auto"/>
                    <w:right w:val="none" w:sz="0" w:space="0" w:color="auto"/>
                  </w:divBdr>
                </w:div>
                <w:div w:id="1446997096">
                  <w:marLeft w:val="0"/>
                  <w:marRight w:val="0"/>
                  <w:marTop w:val="0"/>
                  <w:marBottom w:val="0"/>
                  <w:divBdr>
                    <w:top w:val="none" w:sz="0" w:space="0" w:color="auto"/>
                    <w:left w:val="none" w:sz="0" w:space="0" w:color="auto"/>
                    <w:bottom w:val="none" w:sz="0" w:space="0" w:color="auto"/>
                    <w:right w:val="none" w:sz="0" w:space="0" w:color="auto"/>
                  </w:divBdr>
                </w:div>
                <w:div w:id="2004816135">
                  <w:marLeft w:val="0"/>
                  <w:marRight w:val="0"/>
                  <w:marTop w:val="0"/>
                  <w:marBottom w:val="0"/>
                  <w:divBdr>
                    <w:top w:val="none" w:sz="0" w:space="0" w:color="auto"/>
                    <w:left w:val="none" w:sz="0" w:space="0" w:color="auto"/>
                    <w:bottom w:val="none" w:sz="0" w:space="0" w:color="auto"/>
                    <w:right w:val="none" w:sz="0" w:space="0" w:color="auto"/>
                  </w:divBdr>
                </w:div>
                <w:div w:id="1328244508">
                  <w:marLeft w:val="0"/>
                  <w:marRight w:val="0"/>
                  <w:marTop w:val="0"/>
                  <w:marBottom w:val="0"/>
                  <w:divBdr>
                    <w:top w:val="none" w:sz="0" w:space="0" w:color="auto"/>
                    <w:left w:val="none" w:sz="0" w:space="0" w:color="auto"/>
                    <w:bottom w:val="none" w:sz="0" w:space="0" w:color="auto"/>
                    <w:right w:val="none" w:sz="0" w:space="0" w:color="auto"/>
                  </w:divBdr>
                </w:div>
                <w:div w:id="1423331212">
                  <w:marLeft w:val="0"/>
                  <w:marRight w:val="0"/>
                  <w:marTop w:val="0"/>
                  <w:marBottom w:val="0"/>
                  <w:divBdr>
                    <w:top w:val="none" w:sz="0" w:space="0" w:color="auto"/>
                    <w:left w:val="none" w:sz="0" w:space="0" w:color="auto"/>
                    <w:bottom w:val="none" w:sz="0" w:space="0" w:color="auto"/>
                    <w:right w:val="none" w:sz="0" w:space="0" w:color="auto"/>
                  </w:divBdr>
                </w:div>
                <w:div w:id="15858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701">
          <w:marLeft w:val="0"/>
          <w:marRight w:val="0"/>
          <w:marTop w:val="15"/>
          <w:marBottom w:val="0"/>
          <w:divBdr>
            <w:top w:val="none" w:sz="0" w:space="0" w:color="auto"/>
            <w:left w:val="none" w:sz="0" w:space="0" w:color="auto"/>
            <w:bottom w:val="none" w:sz="0" w:space="0" w:color="auto"/>
            <w:right w:val="none" w:sz="0" w:space="0" w:color="auto"/>
          </w:divBdr>
          <w:divsChild>
            <w:div w:id="437994684">
              <w:marLeft w:val="0"/>
              <w:marRight w:val="0"/>
              <w:marTop w:val="0"/>
              <w:marBottom w:val="0"/>
              <w:divBdr>
                <w:top w:val="none" w:sz="0" w:space="0" w:color="auto"/>
                <w:left w:val="none" w:sz="0" w:space="0" w:color="auto"/>
                <w:bottom w:val="none" w:sz="0" w:space="0" w:color="auto"/>
                <w:right w:val="none" w:sz="0" w:space="0" w:color="auto"/>
              </w:divBdr>
              <w:divsChild>
                <w:div w:id="203256245">
                  <w:marLeft w:val="0"/>
                  <w:marRight w:val="0"/>
                  <w:marTop w:val="0"/>
                  <w:marBottom w:val="0"/>
                  <w:divBdr>
                    <w:top w:val="none" w:sz="0" w:space="0" w:color="auto"/>
                    <w:left w:val="none" w:sz="0" w:space="0" w:color="auto"/>
                    <w:bottom w:val="none" w:sz="0" w:space="0" w:color="auto"/>
                    <w:right w:val="none" w:sz="0" w:space="0" w:color="auto"/>
                  </w:divBdr>
                </w:div>
                <w:div w:id="1176113122">
                  <w:marLeft w:val="0"/>
                  <w:marRight w:val="0"/>
                  <w:marTop w:val="0"/>
                  <w:marBottom w:val="0"/>
                  <w:divBdr>
                    <w:top w:val="none" w:sz="0" w:space="0" w:color="auto"/>
                    <w:left w:val="none" w:sz="0" w:space="0" w:color="auto"/>
                    <w:bottom w:val="none" w:sz="0" w:space="0" w:color="auto"/>
                    <w:right w:val="none" w:sz="0" w:space="0" w:color="auto"/>
                  </w:divBdr>
                </w:div>
                <w:div w:id="1827160467">
                  <w:marLeft w:val="0"/>
                  <w:marRight w:val="0"/>
                  <w:marTop w:val="0"/>
                  <w:marBottom w:val="0"/>
                  <w:divBdr>
                    <w:top w:val="none" w:sz="0" w:space="0" w:color="auto"/>
                    <w:left w:val="none" w:sz="0" w:space="0" w:color="auto"/>
                    <w:bottom w:val="none" w:sz="0" w:space="0" w:color="auto"/>
                    <w:right w:val="none" w:sz="0" w:space="0" w:color="auto"/>
                  </w:divBdr>
                </w:div>
                <w:div w:id="1000347888">
                  <w:marLeft w:val="0"/>
                  <w:marRight w:val="0"/>
                  <w:marTop w:val="0"/>
                  <w:marBottom w:val="0"/>
                  <w:divBdr>
                    <w:top w:val="none" w:sz="0" w:space="0" w:color="auto"/>
                    <w:left w:val="none" w:sz="0" w:space="0" w:color="auto"/>
                    <w:bottom w:val="none" w:sz="0" w:space="0" w:color="auto"/>
                    <w:right w:val="none" w:sz="0" w:space="0" w:color="auto"/>
                  </w:divBdr>
                </w:div>
                <w:div w:id="1183789079">
                  <w:marLeft w:val="0"/>
                  <w:marRight w:val="0"/>
                  <w:marTop w:val="0"/>
                  <w:marBottom w:val="0"/>
                  <w:divBdr>
                    <w:top w:val="none" w:sz="0" w:space="0" w:color="auto"/>
                    <w:left w:val="none" w:sz="0" w:space="0" w:color="auto"/>
                    <w:bottom w:val="none" w:sz="0" w:space="0" w:color="auto"/>
                    <w:right w:val="none" w:sz="0" w:space="0" w:color="auto"/>
                  </w:divBdr>
                </w:div>
                <w:div w:id="1738358484">
                  <w:marLeft w:val="0"/>
                  <w:marRight w:val="0"/>
                  <w:marTop w:val="0"/>
                  <w:marBottom w:val="0"/>
                  <w:divBdr>
                    <w:top w:val="none" w:sz="0" w:space="0" w:color="auto"/>
                    <w:left w:val="none" w:sz="0" w:space="0" w:color="auto"/>
                    <w:bottom w:val="none" w:sz="0" w:space="0" w:color="auto"/>
                    <w:right w:val="none" w:sz="0" w:space="0" w:color="auto"/>
                  </w:divBdr>
                </w:div>
                <w:div w:id="1681934654">
                  <w:marLeft w:val="0"/>
                  <w:marRight w:val="0"/>
                  <w:marTop w:val="0"/>
                  <w:marBottom w:val="0"/>
                  <w:divBdr>
                    <w:top w:val="none" w:sz="0" w:space="0" w:color="auto"/>
                    <w:left w:val="none" w:sz="0" w:space="0" w:color="auto"/>
                    <w:bottom w:val="none" w:sz="0" w:space="0" w:color="auto"/>
                    <w:right w:val="none" w:sz="0" w:space="0" w:color="auto"/>
                  </w:divBdr>
                </w:div>
                <w:div w:id="1909535917">
                  <w:marLeft w:val="0"/>
                  <w:marRight w:val="0"/>
                  <w:marTop w:val="0"/>
                  <w:marBottom w:val="0"/>
                  <w:divBdr>
                    <w:top w:val="none" w:sz="0" w:space="0" w:color="auto"/>
                    <w:left w:val="none" w:sz="0" w:space="0" w:color="auto"/>
                    <w:bottom w:val="none" w:sz="0" w:space="0" w:color="auto"/>
                    <w:right w:val="none" w:sz="0" w:space="0" w:color="auto"/>
                  </w:divBdr>
                </w:div>
                <w:div w:id="1634285516">
                  <w:marLeft w:val="0"/>
                  <w:marRight w:val="0"/>
                  <w:marTop w:val="0"/>
                  <w:marBottom w:val="0"/>
                  <w:divBdr>
                    <w:top w:val="none" w:sz="0" w:space="0" w:color="auto"/>
                    <w:left w:val="none" w:sz="0" w:space="0" w:color="auto"/>
                    <w:bottom w:val="none" w:sz="0" w:space="0" w:color="auto"/>
                    <w:right w:val="none" w:sz="0" w:space="0" w:color="auto"/>
                  </w:divBdr>
                </w:div>
                <w:div w:id="550574665">
                  <w:marLeft w:val="0"/>
                  <w:marRight w:val="0"/>
                  <w:marTop w:val="0"/>
                  <w:marBottom w:val="0"/>
                  <w:divBdr>
                    <w:top w:val="none" w:sz="0" w:space="0" w:color="auto"/>
                    <w:left w:val="none" w:sz="0" w:space="0" w:color="auto"/>
                    <w:bottom w:val="none" w:sz="0" w:space="0" w:color="auto"/>
                    <w:right w:val="none" w:sz="0" w:space="0" w:color="auto"/>
                  </w:divBdr>
                </w:div>
                <w:div w:id="46269894">
                  <w:marLeft w:val="0"/>
                  <w:marRight w:val="0"/>
                  <w:marTop w:val="0"/>
                  <w:marBottom w:val="0"/>
                  <w:divBdr>
                    <w:top w:val="none" w:sz="0" w:space="0" w:color="auto"/>
                    <w:left w:val="none" w:sz="0" w:space="0" w:color="auto"/>
                    <w:bottom w:val="none" w:sz="0" w:space="0" w:color="auto"/>
                    <w:right w:val="none" w:sz="0" w:space="0" w:color="auto"/>
                  </w:divBdr>
                </w:div>
                <w:div w:id="1990089346">
                  <w:marLeft w:val="0"/>
                  <w:marRight w:val="0"/>
                  <w:marTop w:val="0"/>
                  <w:marBottom w:val="0"/>
                  <w:divBdr>
                    <w:top w:val="none" w:sz="0" w:space="0" w:color="auto"/>
                    <w:left w:val="none" w:sz="0" w:space="0" w:color="auto"/>
                    <w:bottom w:val="none" w:sz="0" w:space="0" w:color="auto"/>
                    <w:right w:val="none" w:sz="0" w:space="0" w:color="auto"/>
                  </w:divBdr>
                </w:div>
                <w:div w:id="1107388749">
                  <w:marLeft w:val="0"/>
                  <w:marRight w:val="0"/>
                  <w:marTop w:val="0"/>
                  <w:marBottom w:val="0"/>
                  <w:divBdr>
                    <w:top w:val="none" w:sz="0" w:space="0" w:color="auto"/>
                    <w:left w:val="none" w:sz="0" w:space="0" w:color="auto"/>
                    <w:bottom w:val="none" w:sz="0" w:space="0" w:color="auto"/>
                    <w:right w:val="none" w:sz="0" w:space="0" w:color="auto"/>
                  </w:divBdr>
                </w:div>
                <w:div w:id="1561595400">
                  <w:marLeft w:val="0"/>
                  <w:marRight w:val="0"/>
                  <w:marTop w:val="0"/>
                  <w:marBottom w:val="0"/>
                  <w:divBdr>
                    <w:top w:val="none" w:sz="0" w:space="0" w:color="auto"/>
                    <w:left w:val="none" w:sz="0" w:space="0" w:color="auto"/>
                    <w:bottom w:val="none" w:sz="0" w:space="0" w:color="auto"/>
                    <w:right w:val="none" w:sz="0" w:space="0" w:color="auto"/>
                  </w:divBdr>
                </w:div>
                <w:div w:id="1700083124">
                  <w:marLeft w:val="0"/>
                  <w:marRight w:val="0"/>
                  <w:marTop w:val="0"/>
                  <w:marBottom w:val="0"/>
                  <w:divBdr>
                    <w:top w:val="none" w:sz="0" w:space="0" w:color="auto"/>
                    <w:left w:val="none" w:sz="0" w:space="0" w:color="auto"/>
                    <w:bottom w:val="none" w:sz="0" w:space="0" w:color="auto"/>
                    <w:right w:val="none" w:sz="0" w:space="0" w:color="auto"/>
                  </w:divBdr>
                </w:div>
                <w:div w:id="1142622038">
                  <w:marLeft w:val="0"/>
                  <w:marRight w:val="0"/>
                  <w:marTop w:val="0"/>
                  <w:marBottom w:val="0"/>
                  <w:divBdr>
                    <w:top w:val="none" w:sz="0" w:space="0" w:color="auto"/>
                    <w:left w:val="none" w:sz="0" w:space="0" w:color="auto"/>
                    <w:bottom w:val="none" w:sz="0" w:space="0" w:color="auto"/>
                    <w:right w:val="none" w:sz="0" w:space="0" w:color="auto"/>
                  </w:divBdr>
                </w:div>
                <w:div w:id="45881440">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733510099">
                  <w:marLeft w:val="0"/>
                  <w:marRight w:val="0"/>
                  <w:marTop w:val="0"/>
                  <w:marBottom w:val="0"/>
                  <w:divBdr>
                    <w:top w:val="none" w:sz="0" w:space="0" w:color="auto"/>
                    <w:left w:val="none" w:sz="0" w:space="0" w:color="auto"/>
                    <w:bottom w:val="none" w:sz="0" w:space="0" w:color="auto"/>
                    <w:right w:val="none" w:sz="0" w:space="0" w:color="auto"/>
                  </w:divBdr>
                </w:div>
                <w:div w:id="1281842008">
                  <w:marLeft w:val="0"/>
                  <w:marRight w:val="0"/>
                  <w:marTop w:val="0"/>
                  <w:marBottom w:val="0"/>
                  <w:divBdr>
                    <w:top w:val="none" w:sz="0" w:space="0" w:color="auto"/>
                    <w:left w:val="none" w:sz="0" w:space="0" w:color="auto"/>
                    <w:bottom w:val="none" w:sz="0" w:space="0" w:color="auto"/>
                    <w:right w:val="none" w:sz="0" w:space="0" w:color="auto"/>
                  </w:divBdr>
                </w:div>
                <w:div w:id="1907376277">
                  <w:marLeft w:val="0"/>
                  <w:marRight w:val="0"/>
                  <w:marTop w:val="0"/>
                  <w:marBottom w:val="0"/>
                  <w:divBdr>
                    <w:top w:val="none" w:sz="0" w:space="0" w:color="auto"/>
                    <w:left w:val="none" w:sz="0" w:space="0" w:color="auto"/>
                    <w:bottom w:val="none" w:sz="0" w:space="0" w:color="auto"/>
                    <w:right w:val="none" w:sz="0" w:space="0" w:color="auto"/>
                  </w:divBdr>
                </w:div>
                <w:div w:id="718237511">
                  <w:marLeft w:val="0"/>
                  <w:marRight w:val="0"/>
                  <w:marTop w:val="0"/>
                  <w:marBottom w:val="0"/>
                  <w:divBdr>
                    <w:top w:val="none" w:sz="0" w:space="0" w:color="auto"/>
                    <w:left w:val="none" w:sz="0" w:space="0" w:color="auto"/>
                    <w:bottom w:val="none" w:sz="0" w:space="0" w:color="auto"/>
                    <w:right w:val="none" w:sz="0" w:space="0" w:color="auto"/>
                  </w:divBdr>
                </w:div>
                <w:div w:id="727612448">
                  <w:marLeft w:val="0"/>
                  <w:marRight w:val="0"/>
                  <w:marTop w:val="0"/>
                  <w:marBottom w:val="0"/>
                  <w:divBdr>
                    <w:top w:val="none" w:sz="0" w:space="0" w:color="auto"/>
                    <w:left w:val="none" w:sz="0" w:space="0" w:color="auto"/>
                    <w:bottom w:val="none" w:sz="0" w:space="0" w:color="auto"/>
                    <w:right w:val="none" w:sz="0" w:space="0" w:color="auto"/>
                  </w:divBdr>
                </w:div>
                <w:div w:id="1913272186">
                  <w:marLeft w:val="0"/>
                  <w:marRight w:val="0"/>
                  <w:marTop w:val="0"/>
                  <w:marBottom w:val="0"/>
                  <w:divBdr>
                    <w:top w:val="none" w:sz="0" w:space="0" w:color="auto"/>
                    <w:left w:val="none" w:sz="0" w:space="0" w:color="auto"/>
                    <w:bottom w:val="none" w:sz="0" w:space="0" w:color="auto"/>
                    <w:right w:val="none" w:sz="0" w:space="0" w:color="auto"/>
                  </w:divBdr>
                </w:div>
                <w:div w:id="14484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547">
          <w:marLeft w:val="0"/>
          <w:marRight w:val="0"/>
          <w:marTop w:val="15"/>
          <w:marBottom w:val="0"/>
          <w:divBdr>
            <w:top w:val="none" w:sz="0" w:space="0" w:color="auto"/>
            <w:left w:val="none" w:sz="0" w:space="0" w:color="auto"/>
            <w:bottom w:val="none" w:sz="0" w:space="0" w:color="auto"/>
            <w:right w:val="none" w:sz="0" w:space="0" w:color="auto"/>
          </w:divBdr>
          <w:divsChild>
            <w:div w:id="603613835">
              <w:marLeft w:val="0"/>
              <w:marRight w:val="0"/>
              <w:marTop w:val="0"/>
              <w:marBottom w:val="0"/>
              <w:divBdr>
                <w:top w:val="none" w:sz="0" w:space="0" w:color="auto"/>
                <w:left w:val="none" w:sz="0" w:space="0" w:color="auto"/>
                <w:bottom w:val="none" w:sz="0" w:space="0" w:color="auto"/>
                <w:right w:val="none" w:sz="0" w:space="0" w:color="auto"/>
              </w:divBdr>
              <w:divsChild>
                <w:div w:id="1510480687">
                  <w:marLeft w:val="0"/>
                  <w:marRight w:val="0"/>
                  <w:marTop w:val="0"/>
                  <w:marBottom w:val="0"/>
                  <w:divBdr>
                    <w:top w:val="none" w:sz="0" w:space="0" w:color="auto"/>
                    <w:left w:val="none" w:sz="0" w:space="0" w:color="auto"/>
                    <w:bottom w:val="none" w:sz="0" w:space="0" w:color="auto"/>
                    <w:right w:val="none" w:sz="0" w:space="0" w:color="auto"/>
                  </w:divBdr>
                </w:div>
                <w:div w:id="1906379276">
                  <w:marLeft w:val="0"/>
                  <w:marRight w:val="0"/>
                  <w:marTop w:val="0"/>
                  <w:marBottom w:val="0"/>
                  <w:divBdr>
                    <w:top w:val="none" w:sz="0" w:space="0" w:color="auto"/>
                    <w:left w:val="none" w:sz="0" w:space="0" w:color="auto"/>
                    <w:bottom w:val="none" w:sz="0" w:space="0" w:color="auto"/>
                    <w:right w:val="none" w:sz="0" w:space="0" w:color="auto"/>
                  </w:divBdr>
                </w:div>
                <w:div w:id="2100322186">
                  <w:marLeft w:val="0"/>
                  <w:marRight w:val="0"/>
                  <w:marTop w:val="0"/>
                  <w:marBottom w:val="0"/>
                  <w:divBdr>
                    <w:top w:val="none" w:sz="0" w:space="0" w:color="auto"/>
                    <w:left w:val="none" w:sz="0" w:space="0" w:color="auto"/>
                    <w:bottom w:val="none" w:sz="0" w:space="0" w:color="auto"/>
                    <w:right w:val="none" w:sz="0" w:space="0" w:color="auto"/>
                  </w:divBdr>
                </w:div>
                <w:div w:id="1509981707">
                  <w:marLeft w:val="0"/>
                  <w:marRight w:val="0"/>
                  <w:marTop w:val="0"/>
                  <w:marBottom w:val="0"/>
                  <w:divBdr>
                    <w:top w:val="none" w:sz="0" w:space="0" w:color="auto"/>
                    <w:left w:val="none" w:sz="0" w:space="0" w:color="auto"/>
                    <w:bottom w:val="none" w:sz="0" w:space="0" w:color="auto"/>
                    <w:right w:val="none" w:sz="0" w:space="0" w:color="auto"/>
                  </w:divBdr>
                </w:div>
                <w:div w:id="158927234">
                  <w:marLeft w:val="0"/>
                  <w:marRight w:val="0"/>
                  <w:marTop w:val="0"/>
                  <w:marBottom w:val="0"/>
                  <w:divBdr>
                    <w:top w:val="none" w:sz="0" w:space="0" w:color="auto"/>
                    <w:left w:val="none" w:sz="0" w:space="0" w:color="auto"/>
                    <w:bottom w:val="none" w:sz="0" w:space="0" w:color="auto"/>
                    <w:right w:val="none" w:sz="0" w:space="0" w:color="auto"/>
                  </w:divBdr>
                </w:div>
                <w:div w:id="1327126999">
                  <w:marLeft w:val="0"/>
                  <w:marRight w:val="0"/>
                  <w:marTop w:val="0"/>
                  <w:marBottom w:val="0"/>
                  <w:divBdr>
                    <w:top w:val="none" w:sz="0" w:space="0" w:color="auto"/>
                    <w:left w:val="none" w:sz="0" w:space="0" w:color="auto"/>
                    <w:bottom w:val="none" w:sz="0" w:space="0" w:color="auto"/>
                    <w:right w:val="none" w:sz="0" w:space="0" w:color="auto"/>
                  </w:divBdr>
                </w:div>
                <w:div w:id="796096956">
                  <w:marLeft w:val="0"/>
                  <w:marRight w:val="0"/>
                  <w:marTop w:val="0"/>
                  <w:marBottom w:val="0"/>
                  <w:divBdr>
                    <w:top w:val="none" w:sz="0" w:space="0" w:color="auto"/>
                    <w:left w:val="none" w:sz="0" w:space="0" w:color="auto"/>
                    <w:bottom w:val="none" w:sz="0" w:space="0" w:color="auto"/>
                    <w:right w:val="none" w:sz="0" w:space="0" w:color="auto"/>
                  </w:divBdr>
                </w:div>
                <w:div w:id="1391424258">
                  <w:marLeft w:val="0"/>
                  <w:marRight w:val="0"/>
                  <w:marTop w:val="0"/>
                  <w:marBottom w:val="0"/>
                  <w:divBdr>
                    <w:top w:val="none" w:sz="0" w:space="0" w:color="auto"/>
                    <w:left w:val="none" w:sz="0" w:space="0" w:color="auto"/>
                    <w:bottom w:val="none" w:sz="0" w:space="0" w:color="auto"/>
                    <w:right w:val="none" w:sz="0" w:space="0" w:color="auto"/>
                  </w:divBdr>
                </w:div>
                <w:div w:id="805702973">
                  <w:marLeft w:val="0"/>
                  <w:marRight w:val="0"/>
                  <w:marTop w:val="0"/>
                  <w:marBottom w:val="0"/>
                  <w:divBdr>
                    <w:top w:val="none" w:sz="0" w:space="0" w:color="auto"/>
                    <w:left w:val="none" w:sz="0" w:space="0" w:color="auto"/>
                    <w:bottom w:val="none" w:sz="0" w:space="0" w:color="auto"/>
                    <w:right w:val="none" w:sz="0" w:space="0" w:color="auto"/>
                  </w:divBdr>
                </w:div>
                <w:div w:id="1621565410">
                  <w:marLeft w:val="0"/>
                  <w:marRight w:val="0"/>
                  <w:marTop w:val="0"/>
                  <w:marBottom w:val="0"/>
                  <w:divBdr>
                    <w:top w:val="none" w:sz="0" w:space="0" w:color="auto"/>
                    <w:left w:val="none" w:sz="0" w:space="0" w:color="auto"/>
                    <w:bottom w:val="none" w:sz="0" w:space="0" w:color="auto"/>
                    <w:right w:val="none" w:sz="0" w:space="0" w:color="auto"/>
                  </w:divBdr>
                </w:div>
                <w:div w:id="918099844">
                  <w:marLeft w:val="0"/>
                  <w:marRight w:val="0"/>
                  <w:marTop w:val="0"/>
                  <w:marBottom w:val="0"/>
                  <w:divBdr>
                    <w:top w:val="none" w:sz="0" w:space="0" w:color="auto"/>
                    <w:left w:val="none" w:sz="0" w:space="0" w:color="auto"/>
                    <w:bottom w:val="none" w:sz="0" w:space="0" w:color="auto"/>
                    <w:right w:val="none" w:sz="0" w:space="0" w:color="auto"/>
                  </w:divBdr>
                </w:div>
                <w:div w:id="1004865513">
                  <w:marLeft w:val="0"/>
                  <w:marRight w:val="0"/>
                  <w:marTop w:val="0"/>
                  <w:marBottom w:val="0"/>
                  <w:divBdr>
                    <w:top w:val="none" w:sz="0" w:space="0" w:color="auto"/>
                    <w:left w:val="none" w:sz="0" w:space="0" w:color="auto"/>
                    <w:bottom w:val="none" w:sz="0" w:space="0" w:color="auto"/>
                    <w:right w:val="none" w:sz="0" w:space="0" w:color="auto"/>
                  </w:divBdr>
                </w:div>
                <w:div w:id="1954945948">
                  <w:marLeft w:val="0"/>
                  <w:marRight w:val="0"/>
                  <w:marTop w:val="0"/>
                  <w:marBottom w:val="0"/>
                  <w:divBdr>
                    <w:top w:val="none" w:sz="0" w:space="0" w:color="auto"/>
                    <w:left w:val="none" w:sz="0" w:space="0" w:color="auto"/>
                    <w:bottom w:val="none" w:sz="0" w:space="0" w:color="auto"/>
                    <w:right w:val="none" w:sz="0" w:space="0" w:color="auto"/>
                  </w:divBdr>
                </w:div>
                <w:div w:id="1016924480">
                  <w:marLeft w:val="0"/>
                  <w:marRight w:val="0"/>
                  <w:marTop w:val="0"/>
                  <w:marBottom w:val="0"/>
                  <w:divBdr>
                    <w:top w:val="none" w:sz="0" w:space="0" w:color="auto"/>
                    <w:left w:val="none" w:sz="0" w:space="0" w:color="auto"/>
                    <w:bottom w:val="none" w:sz="0" w:space="0" w:color="auto"/>
                    <w:right w:val="none" w:sz="0" w:space="0" w:color="auto"/>
                  </w:divBdr>
                </w:div>
                <w:div w:id="1799297358">
                  <w:marLeft w:val="0"/>
                  <w:marRight w:val="0"/>
                  <w:marTop w:val="0"/>
                  <w:marBottom w:val="0"/>
                  <w:divBdr>
                    <w:top w:val="none" w:sz="0" w:space="0" w:color="auto"/>
                    <w:left w:val="none" w:sz="0" w:space="0" w:color="auto"/>
                    <w:bottom w:val="none" w:sz="0" w:space="0" w:color="auto"/>
                    <w:right w:val="none" w:sz="0" w:space="0" w:color="auto"/>
                  </w:divBdr>
                </w:div>
                <w:div w:id="1422946004">
                  <w:marLeft w:val="0"/>
                  <w:marRight w:val="0"/>
                  <w:marTop w:val="0"/>
                  <w:marBottom w:val="0"/>
                  <w:divBdr>
                    <w:top w:val="none" w:sz="0" w:space="0" w:color="auto"/>
                    <w:left w:val="none" w:sz="0" w:space="0" w:color="auto"/>
                    <w:bottom w:val="none" w:sz="0" w:space="0" w:color="auto"/>
                    <w:right w:val="none" w:sz="0" w:space="0" w:color="auto"/>
                  </w:divBdr>
                </w:div>
                <w:div w:id="1834948202">
                  <w:marLeft w:val="0"/>
                  <w:marRight w:val="0"/>
                  <w:marTop w:val="0"/>
                  <w:marBottom w:val="0"/>
                  <w:divBdr>
                    <w:top w:val="none" w:sz="0" w:space="0" w:color="auto"/>
                    <w:left w:val="none" w:sz="0" w:space="0" w:color="auto"/>
                    <w:bottom w:val="none" w:sz="0" w:space="0" w:color="auto"/>
                    <w:right w:val="none" w:sz="0" w:space="0" w:color="auto"/>
                  </w:divBdr>
                </w:div>
                <w:div w:id="1990597161">
                  <w:marLeft w:val="0"/>
                  <w:marRight w:val="0"/>
                  <w:marTop w:val="0"/>
                  <w:marBottom w:val="0"/>
                  <w:divBdr>
                    <w:top w:val="none" w:sz="0" w:space="0" w:color="auto"/>
                    <w:left w:val="none" w:sz="0" w:space="0" w:color="auto"/>
                    <w:bottom w:val="none" w:sz="0" w:space="0" w:color="auto"/>
                    <w:right w:val="none" w:sz="0" w:space="0" w:color="auto"/>
                  </w:divBdr>
                </w:div>
                <w:div w:id="531192231">
                  <w:marLeft w:val="0"/>
                  <w:marRight w:val="0"/>
                  <w:marTop w:val="0"/>
                  <w:marBottom w:val="0"/>
                  <w:divBdr>
                    <w:top w:val="none" w:sz="0" w:space="0" w:color="auto"/>
                    <w:left w:val="none" w:sz="0" w:space="0" w:color="auto"/>
                    <w:bottom w:val="none" w:sz="0" w:space="0" w:color="auto"/>
                    <w:right w:val="none" w:sz="0" w:space="0" w:color="auto"/>
                  </w:divBdr>
                </w:div>
                <w:div w:id="2112698332">
                  <w:marLeft w:val="0"/>
                  <w:marRight w:val="0"/>
                  <w:marTop w:val="0"/>
                  <w:marBottom w:val="0"/>
                  <w:divBdr>
                    <w:top w:val="none" w:sz="0" w:space="0" w:color="auto"/>
                    <w:left w:val="none" w:sz="0" w:space="0" w:color="auto"/>
                    <w:bottom w:val="none" w:sz="0" w:space="0" w:color="auto"/>
                    <w:right w:val="none" w:sz="0" w:space="0" w:color="auto"/>
                  </w:divBdr>
                </w:div>
                <w:div w:id="76749425">
                  <w:marLeft w:val="0"/>
                  <w:marRight w:val="0"/>
                  <w:marTop w:val="0"/>
                  <w:marBottom w:val="0"/>
                  <w:divBdr>
                    <w:top w:val="none" w:sz="0" w:space="0" w:color="auto"/>
                    <w:left w:val="none" w:sz="0" w:space="0" w:color="auto"/>
                    <w:bottom w:val="none" w:sz="0" w:space="0" w:color="auto"/>
                    <w:right w:val="none" w:sz="0" w:space="0" w:color="auto"/>
                  </w:divBdr>
                </w:div>
                <w:div w:id="1874920070">
                  <w:marLeft w:val="0"/>
                  <w:marRight w:val="0"/>
                  <w:marTop w:val="0"/>
                  <w:marBottom w:val="0"/>
                  <w:divBdr>
                    <w:top w:val="none" w:sz="0" w:space="0" w:color="auto"/>
                    <w:left w:val="none" w:sz="0" w:space="0" w:color="auto"/>
                    <w:bottom w:val="none" w:sz="0" w:space="0" w:color="auto"/>
                    <w:right w:val="none" w:sz="0" w:space="0" w:color="auto"/>
                  </w:divBdr>
                </w:div>
                <w:div w:id="1721174279">
                  <w:marLeft w:val="0"/>
                  <w:marRight w:val="0"/>
                  <w:marTop w:val="0"/>
                  <w:marBottom w:val="0"/>
                  <w:divBdr>
                    <w:top w:val="none" w:sz="0" w:space="0" w:color="auto"/>
                    <w:left w:val="none" w:sz="0" w:space="0" w:color="auto"/>
                    <w:bottom w:val="none" w:sz="0" w:space="0" w:color="auto"/>
                    <w:right w:val="none" w:sz="0" w:space="0" w:color="auto"/>
                  </w:divBdr>
                </w:div>
                <w:div w:id="1482885815">
                  <w:marLeft w:val="0"/>
                  <w:marRight w:val="0"/>
                  <w:marTop w:val="0"/>
                  <w:marBottom w:val="0"/>
                  <w:divBdr>
                    <w:top w:val="none" w:sz="0" w:space="0" w:color="auto"/>
                    <w:left w:val="none" w:sz="0" w:space="0" w:color="auto"/>
                    <w:bottom w:val="none" w:sz="0" w:space="0" w:color="auto"/>
                    <w:right w:val="none" w:sz="0" w:space="0" w:color="auto"/>
                  </w:divBdr>
                </w:div>
                <w:div w:id="726030582">
                  <w:marLeft w:val="0"/>
                  <w:marRight w:val="0"/>
                  <w:marTop w:val="0"/>
                  <w:marBottom w:val="0"/>
                  <w:divBdr>
                    <w:top w:val="none" w:sz="0" w:space="0" w:color="auto"/>
                    <w:left w:val="none" w:sz="0" w:space="0" w:color="auto"/>
                    <w:bottom w:val="none" w:sz="0" w:space="0" w:color="auto"/>
                    <w:right w:val="none" w:sz="0" w:space="0" w:color="auto"/>
                  </w:divBdr>
                </w:div>
                <w:div w:id="20208135">
                  <w:marLeft w:val="0"/>
                  <w:marRight w:val="0"/>
                  <w:marTop w:val="0"/>
                  <w:marBottom w:val="0"/>
                  <w:divBdr>
                    <w:top w:val="none" w:sz="0" w:space="0" w:color="auto"/>
                    <w:left w:val="none" w:sz="0" w:space="0" w:color="auto"/>
                    <w:bottom w:val="none" w:sz="0" w:space="0" w:color="auto"/>
                    <w:right w:val="none" w:sz="0" w:space="0" w:color="auto"/>
                  </w:divBdr>
                </w:div>
                <w:div w:id="1404837394">
                  <w:marLeft w:val="0"/>
                  <w:marRight w:val="0"/>
                  <w:marTop w:val="0"/>
                  <w:marBottom w:val="0"/>
                  <w:divBdr>
                    <w:top w:val="none" w:sz="0" w:space="0" w:color="auto"/>
                    <w:left w:val="none" w:sz="0" w:space="0" w:color="auto"/>
                    <w:bottom w:val="none" w:sz="0" w:space="0" w:color="auto"/>
                    <w:right w:val="none" w:sz="0" w:space="0" w:color="auto"/>
                  </w:divBdr>
                </w:div>
                <w:div w:id="948270527">
                  <w:marLeft w:val="0"/>
                  <w:marRight w:val="0"/>
                  <w:marTop w:val="0"/>
                  <w:marBottom w:val="0"/>
                  <w:divBdr>
                    <w:top w:val="none" w:sz="0" w:space="0" w:color="auto"/>
                    <w:left w:val="none" w:sz="0" w:space="0" w:color="auto"/>
                    <w:bottom w:val="none" w:sz="0" w:space="0" w:color="auto"/>
                    <w:right w:val="none" w:sz="0" w:space="0" w:color="auto"/>
                  </w:divBdr>
                </w:div>
                <w:div w:id="11515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88">
          <w:marLeft w:val="0"/>
          <w:marRight w:val="0"/>
          <w:marTop w:val="15"/>
          <w:marBottom w:val="0"/>
          <w:divBdr>
            <w:top w:val="none" w:sz="0" w:space="0" w:color="auto"/>
            <w:left w:val="none" w:sz="0" w:space="0" w:color="auto"/>
            <w:bottom w:val="none" w:sz="0" w:space="0" w:color="auto"/>
            <w:right w:val="none" w:sz="0" w:space="0" w:color="auto"/>
          </w:divBdr>
          <w:divsChild>
            <w:div w:id="636030500">
              <w:marLeft w:val="0"/>
              <w:marRight w:val="0"/>
              <w:marTop w:val="0"/>
              <w:marBottom w:val="0"/>
              <w:divBdr>
                <w:top w:val="none" w:sz="0" w:space="0" w:color="auto"/>
                <w:left w:val="none" w:sz="0" w:space="0" w:color="auto"/>
                <w:bottom w:val="none" w:sz="0" w:space="0" w:color="auto"/>
                <w:right w:val="none" w:sz="0" w:space="0" w:color="auto"/>
              </w:divBdr>
              <w:divsChild>
                <w:div w:id="1580868942">
                  <w:marLeft w:val="0"/>
                  <w:marRight w:val="0"/>
                  <w:marTop w:val="0"/>
                  <w:marBottom w:val="0"/>
                  <w:divBdr>
                    <w:top w:val="none" w:sz="0" w:space="0" w:color="auto"/>
                    <w:left w:val="none" w:sz="0" w:space="0" w:color="auto"/>
                    <w:bottom w:val="none" w:sz="0" w:space="0" w:color="auto"/>
                    <w:right w:val="none" w:sz="0" w:space="0" w:color="auto"/>
                  </w:divBdr>
                </w:div>
                <w:div w:id="1170411280">
                  <w:marLeft w:val="0"/>
                  <w:marRight w:val="0"/>
                  <w:marTop w:val="0"/>
                  <w:marBottom w:val="0"/>
                  <w:divBdr>
                    <w:top w:val="none" w:sz="0" w:space="0" w:color="auto"/>
                    <w:left w:val="none" w:sz="0" w:space="0" w:color="auto"/>
                    <w:bottom w:val="none" w:sz="0" w:space="0" w:color="auto"/>
                    <w:right w:val="none" w:sz="0" w:space="0" w:color="auto"/>
                  </w:divBdr>
                </w:div>
                <w:div w:id="1993244321">
                  <w:marLeft w:val="0"/>
                  <w:marRight w:val="0"/>
                  <w:marTop w:val="0"/>
                  <w:marBottom w:val="0"/>
                  <w:divBdr>
                    <w:top w:val="none" w:sz="0" w:space="0" w:color="auto"/>
                    <w:left w:val="none" w:sz="0" w:space="0" w:color="auto"/>
                    <w:bottom w:val="none" w:sz="0" w:space="0" w:color="auto"/>
                    <w:right w:val="none" w:sz="0" w:space="0" w:color="auto"/>
                  </w:divBdr>
                </w:div>
                <w:div w:id="473260839">
                  <w:marLeft w:val="0"/>
                  <w:marRight w:val="0"/>
                  <w:marTop w:val="0"/>
                  <w:marBottom w:val="0"/>
                  <w:divBdr>
                    <w:top w:val="none" w:sz="0" w:space="0" w:color="auto"/>
                    <w:left w:val="none" w:sz="0" w:space="0" w:color="auto"/>
                    <w:bottom w:val="none" w:sz="0" w:space="0" w:color="auto"/>
                    <w:right w:val="none" w:sz="0" w:space="0" w:color="auto"/>
                  </w:divBdr>
                </w:div>
                <w:div w:id="1984962895">
                  <w:marLeft w:val="0"/>
                  <w:marRight w:val="0"/>
                  <w:marTop w:val="0"/>
                  <w:marBottom w:val="0"/>
                  <w:divBdr>
                    <w:top w:val="none" w:sz="0" w:space="0" w:color="auto"/>
                    <w:left w:val="none" w:sz="0" w:space="0" w:color="auto"/>
                    <w:bottom w:val="none" w:sz="0" w:space="0" w:color="auto"/>
                    <w:right w:val="none" w:sz="0" w:space="0" w:color="auto"/>
                  </w:divBdr>
                </w:div>
                <w:div w:id="1930698536">
                  <w:marLeft w:val="0"/>
                  <w:marRight w:val="0"/>
                  <w:marTop w:val="0"/>
                  <w:marBottom w:val="0"/>
                  <w:divBdr>
                    <w:top w:val="none" w:sz="0" w:space="0" w:color="auto"/>
                    <w:left w:val="none" w:sz="0" w:space="0" w:color="auto"/>
                    <w:bottom w:val="none" w:sz="0" w:space="0" w:color="auto"/>
                    <w:right w:val="none" w:sz="0" w:space="0" w:color="auto"/>
                  </w:divBdr>
                </w:div>
                <w:div w:id="1667633843">
                  <w:marLeft w:val="0"/>
                  <w:marRight w:val="0"/>
                  <w:marTop w:val="0"/>
                  <w:marBottom w:val="0"/>
                  <w:divBdr>
                    <w:top w:val="none" w:sz="0" w:space="0" w:color="auto"/>
                    <w:left w:val="none" w:sz="0" w:space="0" w:color="auto"/>
                    <w:bottom w:val="none" w:sz="0" w:space="0" w:color="auto"/>
                    <w:right w:val="none" w:sz="0" w:space="0" w:color="auto"/>
                  </w:divBdr>
                </w:div>
                <w:div w:id="1853496983">
                  <w:marLeft w:val="0"/>
                  <w:marRight w:val="0"/>
                  <w:marTop w:val="0"/>
                  <w:marBottom w:val="0"/>
                  <w:divBdr>
                    <w:top w:val="none" w:sz="0" w:space="0" w:color="auto"/>
                    <w:left w:val="none" w:sz="0" w:space="0" w:color="auto"/>
                    <w:bottom w:val="none" w:sz="0" w:space="0" w:color="auto"/>
                    <w:right w:val="none" w:sz="0" w:space="0" w:color="auto"/>
                  </w:divBdr>
                </w:div>
                <w:div w:id="83109269">
                  <w:marLeft w:val="0"/>
                  <w:marRight w:val="0"/>
                  <w:marTop w:val="0"/>
                  <w:marBottom w:val="0"/>
                  <w:divBdr>
                    <w:top w:val="none" w:sz="0" w:space="0" w:color="auto"/>
                    <w:left w:val="none" w:sz="0" w:space="0" w:color="auto"/>
                    <w:bottom w:val="none" w:sz="0" w:space="0" w:color="auto"/>
                    <w:right w:val="none" w:sz="0" w:space="0" w:color="auto"/>
                  </w:divBdr>
                </w:div>
                <w:div w:id="1243643774">
                  <w:marLeft w:val="0"/>
                  <w:marRight w:val="0"/>
                  <w:marTop w:val="0"/>
                  <w:marBottom w:val="0"/>
                  <w:divBdr>
                    <w:top w:val="none" w:sz="0" w:space="0" w:color="auto"/>
                    <w:left w:val="none" w:sz="0" w:space="0" w:color="auto"/>
                    <w:bottom w:val="none" w:sz="0" w:space="0" w:color="auto"/>
                    <w:right w:val="none" w:sz="0" w:space="0" w:color="auto"/>
                  </w:divBdr>
                </w:div>
                <w:div w:id="1091312502">
                  <w:marLeft w:val="0"/>
                  <w:marRight w:val="0"/>
                  <w:marTop w:val="0"/>
                  <w:marBottom w:val="0"/>
                  <w:divBdr>
                    <w:top w:val="none" w:sz="0" w:space="0" w:color="auto"/>
                    <w:left w:val="none" w:sz="0" w:space="0" w:color="auto"/>
                    <w:bottom w:val="none" w:sz="0" w:space="0" w:color="auto"/>
                    <w:right w:val="none" w:sz="0" w:space="0" w:color="auto"/>
                  </w:divBdr>
                </w:div>
                <w:div w:id="87236605">
                  <w:marLeft w:val="0"/>
                  <w:marRight w:val="0"/>
                  <w:marTop w:val="0"/>
                  <w:marBottom w:val="0"/>
                  <w:divBdr>
                    <w:top w:val="none" w:sz="0" w:space="0" w:color="auto"/>
                    <w:left w:val="none" w:sz="0" w:space="0" w:color="auto"/>
                    <w:bottom w:val="none" w:sz="0" w:space="0" w:color="auto"/>
                    <w:right w:val="none" w:sz="0" w:space="0" w:color="auto"/>
                  </w:divBdr>
                </w:div>
                <w:div w:id="801188230">
                  <w:marLeft w:val="0"/>
                  <w:marRight w:val="0"/>
                  <w:marTop w:val="0"/>
                  <w:marBottom w:val="0"/>
                  <w:divBdr>
                    <w:top w:val="none" w:sz="0" w:space="0" w:color="auto"/>
                    <w:left w:val="none" w:sz="0" w:space="0" w:color="auto"/>
                    <w:bottom w:val="none" w:sz="0" w:space="0" w:color="auto"/>
                    <w:right w:val="none" w:sz="0" w:space="0" w:color="auto"/>
                  </w:divBdr>
                </w:div>
                <w:div w:id="534274777">
                  <w:marLeft w:val="0"/>
                  <w:marRight w:val="0"/>
                  <w:marTop w:val="0"/>
                  <w:marBottom w:val="0"/>
                  <w:divBdr>
                    <w:top w:val="none" w:sz="0" w:space="0" w:color="auto"/>
                    <w:left w:val="none" w:sz="0" w:space="0" w:color="auto"/>
                    <w:bottom w:val="none" w:sz="0" w:space="0" w:color="auto"/>
                    <w:right w:val="none" w:sz="0" w:space="0" w:color="auto"/>
                  </w:divBdr>
                </w:div>
                <w:div w:id="1329332976">
                  <w:marLeft w:val="0"/>
                  <w:marRight w:val="0"/>
                  <w:marTop w:val="0"/>
                  <w:marBottom w:val="0"/>
                  <w:divBdr>
                    <w:top w:val="none" w:sz="0" w:space="0" w:color="auto"/>
                    <w:left w:val="none" w:sz="0" w:space="0" w:color="auto"/>
                    <w:bottom w:val="none" w:sz="0" w:space="0" w:color="auto"/>
                    <w:right w:val="none" w:sz="0" w:space="0" w:color="auto"/>
                  </w:divBdr>
                </w:div>
                <w:div w:id="1098141532">
                  <w:marLeft w:val="0"/>
                  <w:marRight w:val="0"/>
                  <w:marTop w:val="0"/>
                  <w:marBottom w:val="0"/>
                  <w:divBdr>
                    <w:top w:val="none" w:sz="0" w:space="0" w:color="auto"/>
                    <w:left w:val="none" w:sz="0" w:space="0" w:color="auto"/>
                    <w:bottom w:val="none" w:sz="0" w:space="0" w:color="auto"/>
                    <w:right w:val="none" w:sz="0" w:space="0" w:color="auto"/>
                  </w:divBdr>
                </w:div>
                <w:div w:id="599022087">
                  <w:marLeft w:val="0"/>
                  <w:marRight w:val="0"/>
                  <w:marTop w:val="0"/>
                  <w:marBottom w:val="0"/>
                  <w:divBdr>
                    <w:top w:val="none" w:sz="0" w:space="0" w:color="auto"/>
                    <w:left w:val="none" w:sz="0" w:space="0" w:color="auto"/>
                    <w:bottom w:val="none" w:sz="0" w:space="0" w:color="auto"/>
                    <w:right w:val="none" w:sz="0" w:space="0" w:color="auto"/>
                  </w:divBdr>
                </w:div>
                <w:div w:id="1416367056">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686903994">
                  <w:marLeft w:val="0"/>
                  <w:marRight w:val="0"/>
                  <w:marTop w:val="0"/>
                  <w:marBottom w:val="0"/>
                  <w:divBdr>
                    <w:top w:val="none" w:sz="0" w:space="0" w:color="auto"/>
                    <w:left w:val="none" w:sz="0" w:space="0" w:color="auto"/>
                    <w:bottom w:val="none" w:sz="0" w:space="0" w:color="auto"/>
                    <w:right w:val="none" w:sz="0" w:space="0" w:color="auto"/>
                  </w:divBdr>
                </w:div>
                <w:div w:id="349841787">
                  <w:marLeft w:val="0"/>
                  <w:marRight w:val="0"/>
                  <w:marTop w:val="0"/>
                  <w:marBottom w:val="0"/>
                  <w:divBdr>
                    <w:top w:val="none" w:sz="0" w:space="0" w:color="auto"/>
                    <w:left w:val="none" w:sz="0" w:space="0" w:color="auto"/>
                    <w:bottom w:val="none" w:sz="0" w:space="0" w:color="auto"/>
                    <w:right w:val="none" w:sz="0" w:space="0" w:color="auto"/>
                  </w:divBdr>
                </w:div>
                <w:div w:id="1703481583">
                  <w:marLeft w:val="0"/>
                  <w:marRight w:val="0"/>
                  <w:marTop w:val="0"/>
                  <w:marBottom w:val="0"/>
                  <w:divBdr>
                    <w:top w:val="none" w:sz="0" w:space="0" w:color="auto"/>
                    <w:left w:val="none" w:sz="0" w:space="0" w:color="auto"/>
                    <w:bottom w:val="none" w:sz="0" w:space="0" w:color="auto"/>
                    <w:right w:val="none" w:sz="0" w:space="0" w:color="auto"/>
                  </w:divBdr>
                </w:div>
                <w:div w:id="574825365">
                  <w:marLeft w:val="0"/>
                  <w:marRight w:val="0"/>
                  <w:marTop w:val="0"/>
                  <w:marBottom w:val="0"/>
                  <w:divBdr>
                    <w:top w:val="none" w:sz="0" w:space="0" w:color="auto"/>
                    <w:left w:val="none" w:sz="0" w:space="0" w:color="auto"/>
                    <w:bottom w:val="none" w:sz="0" w:space="0" w:color="auto"/>
                    <w:right w:val="none" w:sz="0" w:space="0" w:color="auto"/>
                  </w:divBdr>
                </w:div>
                <w:div w:id="534926855">
                  <w:marLeft w:val="0"/>
                  <w:marRight w:val="0"/>
                  <w:marTop w:val="0"/>
                  <w:marBottom w:val="0"/>
                  <w:divBdr>
                    <w:top w:val="none" w:sz="0" w:space="0" w:color="auto"/>
                    <w:left w:val="none" w:sz="0" w:space="0" w:color="auto"/>
                    <w:bottom w:val="none" w:sz="0" w:space="0" w:color="auto"/>
                    <w:right w:val="none" w:sz="0" w:space="0" w:color="auto"/>
                  </w:divBdr>
                </w:div>
                <w:div w:id="1706445646">
                  <w:marLeft w:val="0"/>
                  <w:marRight w:val="0"/>
                  <w:marTop w:val="0"/>
                  <w:marBottom w:val="0"/>
                  <w:divBdr>
                    <w:top w:val="none" w:sz="0" w:space="0" w:color="auto"/>
                    <w:left w:val="none" w:sz="0" w:space="0" w:color="auto"/>
                    <w:bottom w:val="none" w:sz="0" w:space="0" w:color="auto"/>
                    <w:right w:val="none" w:sz="0" w:space="0" w:color="auto"/>
                  </w:divBdr>
                </w:div>
                <w:div w:id="343094227">
                  <w:marLeft w:val="0"/>
                  <w:marRight w:val="0"/>
                  <w:marTop w:val="0"/>
                  <w:marBottom w:val="0"/>
                  <w:divBdr>
                    <w:top w:val="none" w:sz="0" w:space="0" w:color="auto"/>
                    <w:left w:val="none" w:sz="0" w:space="0" w:color="auto"/>
                    <w:bottom w:val="none" w:sz="0" w:space="0" w:color="auto"/>
                    <w:right w:val="none" w:sz="0" w:space="0" w:color="auto"/>
                  </w:divBdr>
                </w:div>
                <w:div w:id="1133330920">
                  <w:marLeft w:val="0"/>
                  <w:marRight w:val="0"/>
                  <w:marTop w:val="0"/>
                  <w:marBottom w:val="0"/>
                  <w:divBdr>
                    <w:top w:val="none" w:sz="0" w:space="0" w:color="auto"/>
                    <w:left w:val="none" w:sz="0" w:space="0" w:color="auto"/>
                    <w:bottom w:val="none" w:sz="0" w:space="0" w:color="auto"/>
                    <w:right w:val="none" w:sz="0" w:space="0" w:color="auto"/>
                  </w:divBdr>
                </w:div>
                <w:div w:id="1934164248">
                  <w:marLeft w:val="0"/>
                  <w:marRight w:val="0"/>
                  <w:marTop w:val="0"/>
                  <w:marBottom w:val="0"/>
                  <w:divBdr>
                    <w:top w:val="none" w:sz="0" w:space="0" w:color="auto"/>
                    <w:left w:val="none" w:sz="0" w:space="0" w:color="auto"/>
                    <w:bottom w:val="none" w:sz="0" w:space="0" w:color="auto"/>
                    <w:right w:val="none" w:sz="0" w:space="0" w:color="auto"/>
                  </w:divBdr>
                </w:div>
                <w:div w:id="1897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1636">
          <w:marLeft w:val="0"/>
          <w:marRight w:val="0"/>
          <w:marTop w:val="15"/>
          <w:marBottom w:val="0"/>
          <w:divBdr>
            <w:top w:val="none" w:sz="0" w:space="0" w:color="auto"/>
            <w:left w:val="none" w:sz="0" w:space="0" w:color="auto"/>
            <w:bottom w:val="none" w:sz="0" w:space="0" w:color="auto"/>
            <w:right w:val="none" w:sz="0" w:space="0" w:color="auto"/>
          </w:divBdr>
          <w:divsChild>
            <w:div w:id="2058501962">
              <w:marLeft w:val="0"/>
              <w:marRight w:val="0"/>
              <w:marTop w:val="0"/>
              <w:marBottom w:val="0"/>
              <w:divBdr>
                <w:top w:val="none" w:sz="0" w:space="0" w:color="auto"/>
                <w:left w:val="none" w:sz="0" w:space="0" w:color="auto"/>
                <w:bottom w:val="none" w:sz="0" w:space="0" w:color="auto"/>
                <w:right w:val="none" w:sz="0" w:space="0" w:color="auto"/>
              </w:divBdr>
              <w:divsChild>
                <w:div w:id="1609042464">
                  <w:marLeft w:val="0"/>
                  <w:marRight w:val="0"/>
                  <w:marTop w:val="0"/>
                  <w:marBottom w:val="0"/>
                  <w:divBdr>
                    <w:top w:val="none" w:sz="0" w:space="0" w:color="auto"/>
                    <w:left w:val="none" w:sz="0" w:space="0" w:color="auto"/>
                    <w:bottom w:val="none" w:sz="0" w:space="0" w:color="auto"/>
                    <w:right w:val="none" w:sz="0" w:space="0" w:color="auto"/>
                  </w:divBdr>
                </w:div>
                <w:div w:id="1921061955">
                  <w:marLeft w:val="0"/>
                  <w:marRight w:val="0"/>
                  <w:marTop w:val="0"/>
                  <w:marBottom w:val="0"/>
                  <w:divBdr>
                    <w:top w:val="none" w:sz="0" w:space="0" w:color="auto"/>
                    <w:left w:val="none" w:sz="0" w:space="0" w:color="auto"/>
                    <w:bottom w:val="none" w:sz="0" w:space="0" w:color="auto"/>
                    <w:right w:val="none" w:sz="0" w:space="0" w:color="auto"/>
                  </w:divBdr>
                </w:div>
                <w:div w:id="1438132483">
                  <w:marLeft w:val="0"/>
                  <w:marRight w:val="0"/>
                  <w:marTop w:val="0"/>
                  <w:marBottom w:val="0"/>
                  <w:divBdr>
                    <w:top w:val="none" w:sz="0" w:space="0" w:color="auto"/>
                    <w:left w:val="none" w:sz="0" w:space="0" w:color="auto"/>
                    <w:bottom w:val="none" w:sz="0" w:space="0" w:color="auto"/>
                    <w:right w:val="none" w:sz="0" w:space="0" w:color="auto"/>
                  </w:divBdr>
                </w:div>
                <w:div w:id="1963999495">
                  <w:marLeft w:val="0"/>
                  <w:marRight w:val="0"/>
                  <w:marTop w:val="0"/>
                  <w:marBottom w:val="0"/>
                  <w:divBdr>
                    <w:top w:val="none" w:sz="0" w:space="0" w:color="auto"/>
                    <w:left w:val="none" w:sz="0" w:space="0" w:color="auto"/>
                    <w:bottom w:val="none" w:sz="0" w:space="0" w:color="auto"/>
                    <w:right w:val="none" w:sz="0" w:space="0" w:color="auto"/>
                  </w:divBdr>
                </w:div>
                <w:div w:id="1042251097">
                  <w:marLeft w:val="0"/>
                  <w:marRight w:val="0"/>
                  <w:marTop w:val="0"/>
                  <w:marBottom w:val="0"/>
                  <w:divBdr>
                    <w:top w:val="none" w:sz="0" w:space="0" w:color="auto"/>
                    <w:left w:val="none" w:sz="0" w:space="0" w:color="auto"/>
                    <w:bottom w:val="none" w:sz="0" w:space="0" w:color="auto"/>
                    <w:right w:val="none" w:sz="0" w:space="0" w:color="auto"/>
                  </w:divBdr>
                </w:div>
                <w:div w:id="1587767230">
                  <w:marLeft w:val="0"/>
                  <w:marRight w:val="0"/>
                  <w:marTop w:val="0"/>
                  <w:marBottom w:val="0"/>
                  <w:divBdr>
                    <w:top w:val="none" w:sz="0" w:space="0" w:color="auto"/>
                    <w:left w:val="none" w:sz="0" w:space="0" w:color="auto"/>
                    <w:bottom w:val="none" w:sz="0" w:space="0" w:color="auto"/>
                    <w:right w:val="none" w:sz="0" w:space="0" w:color="auto"/>
                  </w:divBdr>
                </w:div>
                <w:div w:id="92821528">
                  <w:marLeft w:val="0"/>
                  <w:marRight w:val="0"/>
                  <w:marTop w:val="0"/>
                  <w:marBottom w:val="0"/>
                  <w:divBdr>
                    <w:top w:val="none" w:sz="0" w:space="0" w:color="auto"/>
                    <w:left w:val="none" w:sz="0" w:space="0" w:color="auto"/>
                    <w:bottom w:val="none" w:sz="0" w:space="0" w:color="auto"/>
                    <w:right w:val="none" w:sz="0" w:space="0" w:color="auto"/>
                  </w:divBdr>
                </w:div>
                <w:div w:id="695081974">
                  <w:marLeft w:val="0"/>
                  <w:marRight w:val="0"/>
                  <w:marTop w:val="0"/>
                  <w:marBottom w:val="0"/>
                  <w:divBdr>
                    <w:top w:val="none" w:sz="0" w:space="0" w:color="auto"/>
                    <w:left w:val="none" w:sz="0" w:space="0" w:color="auto"/>
                    <w:bottom w:val="none" w:sz="0" w:space="0" w:color="auto"/>
                    <w:right w:val="none" w:sz="0" w:space="0" w:color="auto"/>
                  </w:divBdr>
                </w:div>
                <w:div w:id="986860603">
                  <w:marLeft w:val="0"/>
                  <w:marRight w:val="0"/>
                  <w:marTop w:val="0"/>
                  <w:marBottom w:val="0"/>
                  <w:divBdr>
                    <w:top w:val="none" w:sz="0" w:space="0" w:color="auto"/>
                    <w:left w:val="none" w:sz="0" w:space="0" w:color="auto"/>
                    <w:bottom w:val="none" w:sz="0" w:space="0" w:color="auto"/>
                    <w:right w:val="none" w:sz="0" w:space="0" w:color="auto"/>
                  </w:divBdr>
                </w:div>
                <w:div w:id="611715246">
                  <w:marLeft w:val="0"/>
                  <w:marRight w:val="0"/>
                  <w:marTop w:val="0"/>
                  <w:marBottom w:val="0"/>
                  <w:divBdr>
                    <w:top w:val="none" w:sz="0" w:space="0" w:color="auto"/>
                    <w:left w:val="none" w:sz="0" w:space="0" w:color="auto"/>
                    <w:bottom w:val="none" w:sz="0" w:space="0" w:color="auto"/>
                    <w:right w:val="none" w:sz="0" w:space="0" w:color="auto"/>
                  </w:divBdr>
                </w:div>
                <w:div w:id="2111852173">
                  <w:marLeft w:val="0"/>
                  <w:marRight w:val="0"/>
                  <w:marTop w:val="0"/>
                  <w:marBottom w:val="0"/>
                  <w:divBdr>
                    <w:top w:val="none" w:sz="0" w:space="0" w:color="auto"/>
                    <w:left w:val="none" w:sz="0" w:space="0" w:color="auto"/>
                    <w:bottom w:val="none" w:sz="0" w:space="0" w:color="auto"/>
                    <w:right w:val="none" w:sz="0" w:space="0" w:color="auto"/>
                  </w:divBdr>
                </w:div>
                <w:div w:id="503789797">
                  <w:marLeft w:val="0"/>
                  <w:marRight w:val="0"/>
                  <w:marTop w:val="0"/>
                  <w:marBottom w:val="0"/>
                  <w:divBdr>
                    <w:top w:val="none" w:sz="0" w:space="0" w:color="auto"/>
                    <w:left w:val="none" w:sz="0" w:space="0" w:color="auto"/>
                    <w:bottom w:val="none" w:sz="0" w:space="0" w:color="auto"/>
                    <w:right w:val="none" w:sz="0" w:space="0" w:color="auto"/>
                  </w:divBdr>
                </w:div>
                <w:div w:id="916324614">
                  <w:marLeft w:val="0"/>
                  <w:marRight w:val="0"/>
                  <w:marTop w:val="0"/>
                  <w:marBottom w:val="0"/>
                  <w:divBdr>
                    <w:top w:val="none" w:sz="0" w:space="0" w:color="auto"/>
                    <w:left w:val="none" w:sz="0" w:space="0" w:color="auto"/>
                    <w:bottom w:val="none" w:sz="0" w:space="0" w:color="auto"/>
                    <w:right w:val="none" w:sz="0" w:space="0" w:color="auto"/>
                  </w:divBdr>
                </w:div>
                <w:div w:id="1541556055">
                  <w:marLeft w:val="0"/>
                  <w:marRight w:val="0"/>
                  <w:marTop w:val="0"/>
                  <w:marBottom w:val="0"/>
                  <w:divBdr>
                    <w:top w:val="none" w:sz="0" w:space="0" w:color="auto"/>
                    <w:left w:val="none" w:sz="0" w:space="0" w:color="auto"/>
                    <w:bottom w:val="none" w:sz="0" w:space="0" w:color="auto"/>
                    <w:right w:val="none" w:sz="0" w:space="0" w:color="auto"/>
                  </w:divBdr>
                </w:div>
                <w:div w:id="1933199784">
                  <w:marLeft w:val="0"/>
                  <w:marRight w:val="0"/>
                  <w:marTop w:val="0"/>
                  <w:marBottom w:val="0"/>
                  <w:divBdr>
                    <w:top w:val="none" w:sz="0" w:space="0" w:color="auto"/>
                    <w:left w:val="none" w:sz="0" w:space="0" w:color="auto"/>
                    <w:bottom w:val="none" w:sz="0" w:space="0" w:color="auto"/>
                    <w:right w:val="none" w:sz="0" w:space="0" w:color="auto"/>
                  </w:divBdr>
                </w:div>
                <w:div w:id="1437677142">
                  <w:marLeft w:val="0"/>
                  <w:marRight w:val="0"/>
                  <w:marTop w:val="0"/>
                  <w:marBottom w:val="0"/>
                  <w:divBdr>
                    <w:top w:val="none" w:sz="0" w:space="0" w:color="auto"/>
                    <w:left w:val="none" w:sz="0" w:space="0" w:color="auto"/>
                    <w:bottom w:val="none" w:sz="0" w:space="0" w:color="auto"/>
                    <w:right w:val="none" w:sz="0" w:space="0" w:color="auto"/>
                  </w:divBdr>
                </w:div>
                <w:div w:id="108092312">
                  <w:marLeft w:val="0"/>
                  <w:marRight w:val="0"/>
                  <w:marTop w:val="0"/>
                  <w:marBottom w:val="0"/>
                  <w:divBdr>
                    <w:top w:val="none" w:sz="0" w:space="0" w:color="auto"/>
                    <w:left w:val="none" w:sz="0" w:space="0" w:color="auto"/>
                    <w:bottom w:val="none" w:sz="0" w:space="0" w:color="auto"/>
                    <w:right w:val="none" w:sz="0" w:space="0" w:color="auto"/>
                  </w:divBdr>
                </w:div>
                <w:div w:id="2050761248">
                  <w:marLeft w:val="0"/>
                  <w:marRight w:val="0"/>
                  <w:marTop w:val="0"/>
                  <w:marBottom w:val="0"/>
                  <w:divBdr>
                    <w:top w:val="none" w:sz="0" w:space="0" w:color="auto"/>
                    <w:left w:val="none" w:sz="0" w:space="0" w:color="auto"/>
                    <w:bottom w:val="none" w:sz="0" w:space="0" w:color="auto"/>
                    <w:right w:val="none" w:sz="0" w:space="0" w:color="auto"/>
                  </w:divBdr>
                </w:div>
                <w:div w:id="902716946">
                  <w:marLeft w:val="0"/>
                  <w:marRight w:val="0"/>
                  <w:marTop w:val="0"/>
                  <w:marBottom w:val="0"/>
                  <w:divBdr>
                    <w:top w:val="none" w:sz="0" w:space="0" w:color="auto"/>
                    <w:left w:val="none" w:sz="0" w:space="0" w:color="auto"/>
                    <w:bottom w:val="none" w:sz="0" w:space="0" w:color="auto"/>
                    <w:right w:val="none" w:sz="0" w:space="0" w:color="auto"/>
                  </w:divBdr>
                </w:div>
                <w:div w:id="1923029918">
                  <w:marLeft w:val="0"/>
                  <w:marRight w:val="0"/>
                  <w:marTop w:val="0"/>
                  <w:marBottom w:val="0"/>
                  <w:divBdr>
                    <w:top w:val="none" w:sz="0" w:space="0" w:color="auto"/>
                    <w:left w:val="none" w:sz="0" w:space="0" w:color="auto"/>
                    <w:bottom w:val="none" w:sz="0" w:space="0" w:color="auto"/>
                    <w:right w:val="none" w:sz="0" w:space="0" w:color="auto"/>
                  </w:divBdr>
                </w:div>
                <w:div w:id="331686339">
                  <w:marLeft w:val="0"/>
                  <w:marRight w:val="0"/>
                  <w:marTop w:val="0"/>
                  <w:marBottom w:val="0"/>
                  <w:divBdr>
                    <w:top w:val="none" w:sz="0" w:space="0" w:color="auto"/>
                    <w:left w:val="none" w:sz="0" w:space="0" w:color="auto"/>
                    <w:bottom w:val="none" w:sz="0" w:space="0" w:color="auto"/>
                    <w:right w:val="none" w:sz="0" w:space="0" w:color="auto"/>
                  </w:divBdr>
                </w:div>
                <w:div w:id="922185554">
                  <w:marLeft w:val="0"/>
                  <w:marRight w:val="0"/>
                  <w:marTop w:val="0"/>
                  <w:marBottom w:val="0"/>
                  <w:divBdr>
                    <w:top w:val="none" w:sz="0" w:space="0" w:color="auto"/>
                    <w:left w:val="none" w:sz="0" w:space="0" w:color="auto"/>
                    <w:bottom w:val="none" w:sz="0" w:space="0" w:color="auto"/>
                    <w:right w:val="none" w:sz="0" w:space="0" w:color="auto"/>
                  </w:divBdr>
                </w:div>
                <w:div w:id="1271430995">
                  <w:marLeft w:val="0"/>
                  <w:marRight w:val="0"/>
                  <w:marTop w:val="0"/>
                  <w:marBottom w:val="0"/>
                  <w:divBdr>
                    <w:top w:val="none" w:sz="0" w:space="0" w:color="auto"/>
                    <w:left w:val="none" w:sz="0" w:space="0" w:color="auto"/>
                    <w:bottom w:val="none" w:sz="0" w:space="0" w:color="auto"/>
                    <w:right w:val="none" w:sz="0" w:space="0" w:color="auto"/>
                  </w:divBdr>
                </w:div>
                <w:div w:id="1354108320">
                  <w:marLeft w:val="0"/>
                  <w:marRight w:val="0"/>
                  <w:marTop w:val="0"/>
                  <w:marBottom w:val="0"/>
                  <w:divBdr>
                    <w:top w:val="none" w:sz="0" w:space="0" w:color="auto"/>
                    <w:left w:val="none" w:sz="0" w:space="0" w:color="auto"/>
                    <w:bottom w:val="none" w:sz="0" w:space="0" w:color="auto"/>
                    <w:right w:val="none" w:sz="0" w:space="0" w:color="auto"/>
                  </w:divBdr>
                </w:div>
                <w:div w:id="999773202">
                  <w:marLeft w:val="0"/>
                  <w:marRight w:val="0"/>
                  <w:marTop w:val="0"/>
                  <w:marBottom w:val="0"/>
                  <w:divBdr>
                    <w:top w:val="none" w:sz="0" w:space="0" w:color="auto"/>
                    <w:left w:val="none" w:sz="0" w:space="0" w:color="auto"/>
                    <w:bottom w:val="none" w:sz="0" w:space="0" w:color="auto"/>
                    <w:right w:val="none" w:sz="0" w:space="0" w:color="auto"/>
                  </w:divBdr>
                </w:div>
                <w:div w:id="1479224349">
                  <w:marLeft w:val="0"/>
                  <w:marRight w:val="0"/>
                  <w:marTop w:val="0"/>
                  <w:marBottom w:val="0"/>
                  <w:divBdr>
                    <w:top w:val="none" w:sz="0" w:space="0" w:color="auto"/>
                    <w:left w:val="none" w:sz="0" w:space="0" w:color="auto"/>
                    <w:bottom w:val="none" w:sz="0" w:space="0" w:color="auto"/>
                    <w:right w:val="none" w:sz="0" w:space="0" w:color="auto"/>
                  </w:divBdr>
                </w:div>
                <w:div w:id="1960405579">
                  <w:marLeft w:val="0"/>
                  <w:marRight w:val="0"/>
                  <w:marTop w:val="0"/>
                  <w:marBottom w:val="0"/>
                  <w:divBdr>
                    <w:top w:val="none" w:sz="0" w:space="0" w:color="auto"/>
                    <w:left w:val="none" w:sz="0" w:space="0" w:color="auto"/>
                    <w:bottom w:val="none" w:sz="0" w:space="0" w:color="auto"/>
                    <w:right w:val="none" w:sz="0" w:space="0" w:color="auto"/>
                  </w:divBdr>
                </w:div>
                <w:div w:id="18971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4480">
          <w:marLeft w:val="0"/>
          <w:marRight w:val="0"/>
          <w:marTop w:val="15"/>
          <w:marBottom w:val="0"/>
          <w:divBdr>
            <w:top w:val="none" w:sz="0" w:space="0" w:color="auto"/>
            <w:left w:val="none" w:sz="0" w:space="0" w:color="auto"/>
            <w:bottom w:val="none" w:sz="0" w:space="0" w:color="auto"/>
            <w:right w:val="none" w:sz="0" w:space="0" w:color="auto"/>
          </w:divBdr>
          <w:divsChild>
            <w:div w:id="893270753">
              <w:marLeft w:val="0"/>
              <w:marRight w:val="0"/>
              <w:marTop w:val="0"/>
              <w:marBottom w:val="0"/>
              <w:divBdr>
                <w:top w:val="none" w:sz="0" w:space="0" w:color="auto"/>
                <w:left w:val="none" w:sz="0" w:space="0" w:color="auto"/>
                <w:bottom w:val="none" w:sz="0" w:space="0" w:color="auto"/>
                <w:right w:val="none" w:sz="0" w:space="0" w:color="auto"/>
              </w:divBdr>
              <w:divsChild>
                <w:div w:id="1482769640">
                  <w:marLeft w:val="0"/>
                  <w:marRight w:val="0"/>
                  <w:marTop w:val="0"/>
                  <w:marBottom w:val="0"/>
                  <w:divBdr>
                    <w:top w:val="none" w:sz="0" w:space="0" w:color="auto"/>
                    <w:left w:val="none" w:sz="0" w:space="0" w:color="auto"/>
                    <w:bottom w:val="none" w:sz="0" w:space="0" w:color="auto"/>
                    <w:right w:val="none" w:sz="0" w:space="0" w:color="auto"/>
                  </w:divBdr>
                </w:div>
                <w:div w:id="494809401">
                  <w:marLeft w:val="0"/>
                  <w:marRight w:val="0"/>
                  <w:marTop w:val="0"/>
                  <w:marBottom w:val="0"/>
                  <w:divBdr>
                    <w:top w:val="none" w:sz="0" w:space="0" w:color="auto"/>
                    <w:left w:val="none" w:sz="0" w:space="0" w:color="auto"/>
                    <w:bottom w:val="none" w:sz="0" w:space="0" w:color="auto"/>
                    <w:right w:val="none" w:sz="0" w:space="0" w:color="auto"/>
                  </w:divBdr>
                </w:div>
                <w:div w:id="788308">
                  <w:marLeft w:val="0"/>
                  <w:marRight w:val="0"/>
                  <w:marTop w:val="0"/>
                  <w:marBottom w:val="0"/>
                  <w:divBdr>
                    <w:top w:val="none" w:sz="0" w:space="0" w:color="auto"/>
                    <w:left w:val="none" w:sz="0" w:space="0" w:color="auto"/>
                    <w:bottom w:val="none" w:sz="0" w:space="0" w:color="auto"/>
                    <w:right w:val="none" w:sz="0" w:space="0" w:color="auto"/>
                  </w:divBdr>
                </w:div>
                <w:div w:id="431048597">
                  <w:marLeft w:val="0"/>
                  <w:marRight w:val="0"/>
                  <w:marTop w:val="0"/>
                  <w:marBottom w:val="0"/>
                  <w:divBdr>
                    <w:top w:val="none" w:sz="0" w:space="0" w:color="auto"/>
                    <w:left w:val="none" w:sz="0" w:space="0" w:color="auto"/>
                    <w:bottom w:val="none" w:sz="0" w:space="0" w:color="auto"/>
                    <w:right w:val="none" w:sz="0" w:space="0" w:color="auto"/>
                  </w:divBdr>
                </w:div>
                <w:div w:id="1025716508">
                  <w:marLeft w:val="0"/>
                  <w:marRight w:val="0"/>
                  <w:marTop w:val="0"/>
                  <w:marBottom w:val="0"/>
                  <w:divBdr>
                    <w:top w:val="none" w:sz="0" w:space="0" w:color="auto"/>
                    <w:left w:val="none" w:sz="0" w:space="0" w:color="auto"/>
                    <w:bottom w:val="none" w:sz="0" w:space="0" w:color="auto"/>
                    <w:right w:val="none" w:sz="0" w:space="0" w:color="auto"/>
                  </w:divBdr>
                </w:div>
                <w:div w:id="628512921">
                  <w:marLeft w:val="0"/>
                  <w:marRight w:val="0"/>
                  <w:marTop w:val="0"/>
                  <w:marBottom w:val="0"/>
                  <w:divBdr>
                    <w:top w:val="none" w:sz="0" w:space="0" w:color="auto"/>
                    <w:left w:val="none" w:sz="0" w:space="0" w:color="auto"/>
                    <w:bottom w:val="none" w:sz="0" w:space="0" w:color="auto"/>
                    <w:right w:val="none" w:sz="0" w:space="0" w:color="auto"/>
                  </w:divBdr>
                </w:div>
                <w:div w:id="389622605">
                  <w:marLeft w:val="0"/>
                  <w:marRight w:val="0"/>
                  <w:marTop w:val="0"/>
                  <w:marBottom w:val="0"/>
                  <w:divBdr>
                    <w:top w:val="none" w:sz="0" w:space="0" w:color="auto"/>
                    <w:left w:val="none" w:sz="0" w:space="0" w:color="auto"/>
                    <w:bottom w:val="none" w:sz="0" w:space="0" w:color="auto"/>
                    <w:right w:val="none" w:sz="0" w:space="0" w:color="auto"/>
                  </w:divBdr>
                </w:div>
                <w:div w:id="1152719517">
                  <w:marLeft w:val="0"/>
                  <w:marRight w:val="0"/>
                  <w:marTop w:val="0"/>
                  <w:marBottom w:val="0"/>
                  <w:divBdr>
                    <w:top w:val="none" w:sz="0" w:space="0" w:color="auto"/>
                    <w:left w:val="none" w:sz="0" w:space="0" w:color="auto"/>
                    <w:bottom w:val="none" w:sz="0" w:space="0" w:color="auto"/>
                    <w:right w:val="none" w:sz="0" w:space="0" w:color="auto"/>
                  </w:divBdr>
                </w:div>
                <w:div w:id="396631645">
                  <w:marLeft w:val="0"/>
                  <w:marRight w:val="0"/>
                  <w:marTop w:val="0"/>
                  <w:marBottom w:val="0"/>
                  <w:divBdr>
                    <w:top w:val="none" w:sz="0" w:space="0" w:color="auto"/>
                    <w:left w:val="none" w:sz="0" w:space="0" w:color="auto"/>
                    <w:bottom w:val="none" w:sz="0" w:space="0" w:color="auto"/>
                    <w:right w:val="none" w:sz="0" w:space="0" w:color="auto"/>
                  </w:divBdr>
                </w:div>
                <w:div w:id="1425998356">
                  <w:marLeft w:val="0"/>
                  <w:marRight w:val="0"/>
                  <w:marTop w:val="0"/>
                  <w:marBottom w:val="0"/>
                  <w:divBdr>
                    <w:top w:val="none" w:sz="0" w:space="0" w:color="auto"/>
                    <w:left w:val="none" w:sz="0" w:space="0" w:color="auto"/>
                    <w:bottom w:val="none" w:sz="0" w:space="0" w:color="auto"/>
                    <w:right w:val="none" w:sz="0" w:space="0" w:color="auto"/>
                  </w:divBdr>
                </w:div>
                <w:div w:id="1275751517">
                  <w:marLeft w:val="0"/>
                  <w:marRight w:val="0"/>
                  <w:marTop w:val="0"/>
                  <w:marBottom w:val="0"/>
                  <w:divBdr>
                    <w:top w:val="none" w:sz="0" w:space="0" w:color="auto"/>
                    <w:left w:val="none" w:sz="0" w:space="0" w:color="auto"/>
                    <w:bottom w:val="none" w:sz="0" w:space="0" w:color="auto"/>
                    <w:right w:val="none" w:sz="0" w:space="0" w:color="auto"/>
                  </w:divBdr>
                </w:div>
                <w:div w:id="1401976837">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2061243438">
                  <w:marLeft w:val="0"/>
                  <w:marRight w:val="0"/>
                  <w:marTop w:val="0"/>
                  <w:marBottom w:val="0"/>
                  <w:divBdr>
                    <w:top w:val="none" w:sz="0" w:space="0" w:color="auto"/>
                    <w:left w:val="none" w:sz="0" w:space="0" w:color="auto"/>
                    <w:bottom w:val="none" w:sz="0" w:space="0" w:color="auto"/>
                    <w:right w:val="none" w:sz="0" w:space="0" w:color="auto"/>
                  </w:divBdr>
                </w:div>
                <w:div w:id="638264849">
                  <w:marLeft w:val="0"/>
                  <w:marRight w:val="0"/>
                  <w:marTop w:val="0"/>
                  <w:marBottom w:val="0"/>
                  <w:divBdr>
                    <w:top w:val="none" w:sz="0" w:space="0" w:color="auto"/>
                    <w:left w:val="none" w:sz="0" w:space="0" w:color="auto"/>
                    <w:bottom w:val="none" w:sz="0" w:space="0" w:color="auto"/>
                    <w:right w:val="none" w:sz="0" w:space="0" w:color="auto"/>
                  </w:divBdr>
                </w:div>
                <w:div w:id="1934237855">
                  <w:marLeft w:val="0"/>
                  <w:marRight w:val="0"/>
                  <w:marTop w:val="0"/>
                  <w:marBottom w:val="0"/>
                  <w:divBdr>
                    <w:top w:val="none" w:sz="0" w:space="0" w:color="auto"/>
                    <w:left w:val="none" w:sz="0" w:space="0" w:color="auto"/>
                    <w:bottom w:val="none" w:sz="0" w:space="0" w:color="auto"/>
                    <w:right w:val="none" w:sz="0" w:space="0" w:color="auto"/>
                  </w:divBdr>
                </w:div>
                <w:div w:id="36781531">
                  <w:marLeft w:val="0"/>
                  <w:marRight w:val="0"/>
                  <w:marTop w:val="0"/>
                  <w:marBottom w:val="0"/>
                  <w:divBdr>
                    <w:top w:val="none" w:sz="0" w:space="0" w:color="auto"/>
                    <w:left w:val="none" w:sz="0" w:space="0" w:color="auto"/>
                    <w:bottom w:val="none" w:sz="0" w:space="0" w:color="auto"/>
                    <w:right w:val="none" w:sz="0" w:space="0" w:color="auto"/>
                  </w:divBdr>
                </w:div>
                <w:div w:id="387456674">
                  <w:marLeft w:val="0"/>
                  <w:marRight w:val="0"/>
                  <w:marTop w:val="0"/>
                  <w:marBottom w:val="0"/>
                  <w:divBdr>
                    <w:top w:val="none" w:sz="0" w:space="0" w:color="auto"/>
                    <w:left w:val="none" w:sz="0" w:space="0" w:color="auto"/>
                    <w:bottom w:val="none" w:sz="0" w:space="0" w:color="auto"/>
                    <w:right w:val="none" w:sz="0" w:space="0" w:color="auto"/>
                  </w:divBdr>
                </w:div>
                <w:div w:id="794952207">
                  <w:marLeft w:val="0"/>
                  <w:marRight w:val="0"/>
                  <w:marTop w:val="0"/>
                  <w:marBottom w:val="0"/>
                  <w:divBdr>
                    <w:top w:val="none" w:sz="0" w:space="0" w:color="auto"/>
                    <w:left w:val="none" w:sz="0" w:space="0" w:color="auto"/>
                    <w:bottom w:val="none" w:sz="0" w:space="0" w:color="auto"/>
                    <w:right w:val="none" w:sz="0" w:space="0" w:color="auto"/>
                  </w:divBdr>
                </w:div>
                <w:div w:id="1958901874">
                  <w:marLeft w:val="0"/>
                  <w:marRight w:val="0"/>
                  <w:marTop w:val="0"/>
                  <w:marBottom w:val="0"/>
                  <w:divBdr>
                    <w:top w:val="none" w:sz="0" w:space="0" w:color="auto"/>
                    <w:left w:val="none" w:sz="0" w:space="0" w:color="auto"/>
                    <w:bottom w:val="none" w:sz="0" w:space="0" w:color="auto"/>
                    <w:right w:val="none" w:sz="0" w:space="0" w:color="auto"/>
                  </w:divBdr>
                </w:div>
                <w:div w:id="1328247273">
                  <w:marLeft w:val="0"/>
                  <w:marRight w:val="0"/>
                  <w:marTop w:val="0"/>
                  <w:marBottom w:val="0"/>
                  <w:divBdr>
                    <w:top w:val="none" w:sz="0" w:space="0" w:color="auto"/>
                    <w:left w:val="none" w:sz="0" w:space="0" w:color="auto"/>
                    <w:bottom w:val="none" w:sz="0" w:space="0" w:color="auto"/>
                    <w:right w:val="none" w:sz="0" w:space="0" w:color="auto"/>
                  </w:divBdr>
                </w:div>
                <w:div w:id="825169960">
                  <w:marLeft w:val="0"/>
                  <w:marRight w:val="0"/>
                  <w:marTop w:val="0"/>
                  <w:marBottom w:val="0"/>
                  <w:divBdr>
                    <w:top w:val="none" w:sz="0" w:space="0" w:color="auto"/>
                    <w:left w:val="none" w:sz="0" w:space="0" w:color="auto"/>
                    <w:bottom w:val="none" w:sz="0" w:space="0" w:color="auto"/>
                    <w:right w:val="none" w:sz="0" w:space="0" w:color="auto"/>
                  </w:divBdr>
                </w:div>
                <w:div w:id="1322613543">
                  <w:marLeft w:val="0"/>
                  <w:marRight w:val="0"/>
                  <w:marTop w:val="0"/>
                  <w:marBottom w:val="0"/>
                  <w:divBdr>
                    <w:top w:val="none" w:sz="0" w:space="0" w:color="auto"/>
                    <w:left w:val="none" w:sz="0" w:space="0" w:color="auto"/>
                    <w:bottom w:val="none" w:sz="0" w:space="0" w:color="auto"/>
                    <w:right w:val="none" w:sz="0" w:space="0" w:color="auto"/>
                  </w:divBdr>
                </w:div>
                <w:div w:id="867721202">
                  <w:marLeft w:val="0"/>
                  <w:marRight w:val="0"/>
                  <w:marTop w:val="0"/>
                  <w:marBottom w:val="0"/>
                  <w:divBdr>
                    <w:top w:val="none" w:sz="0" w:space="0" w:color="auto"/>
                    <w:left w:val="none" w:sz="0" w:space="0" w:color="auto"/>
                    <w:bottom w:val="none" w:sz="0" w:space="0" w:color="auto"/>
                    <w:right w:val="none" w:sz="0" w:space="0" w:color="auto"/>
                  </w:divBdr>
                </w:div>
                <w:div w:id="1702705098">
                  <w:marLeft w:val="0"/>
                  <w:marRight w:val="0"/>
                  <w:marTop w:val="0"/>
                  <w:marBottom w:val="0"/>
                  <w:divBdr>
                    <w:top w:val="none" w:sz="0" w:space="0" w:color="auto"/>
                    <w:left w:val="none" w:sz="0" w:space="0" w:color="auto"/>
                    <w:bottom w:val="none" w:sz="0" w:space="0" w:color="auto"/>
                    <w:right w:val="none" w:sz="0" w:space="0" w:color="auto"/>
                  </w:divBdr>
                </w:div>
                <w:div w:id="1672828739">
                  <w:marLeft w:val="0"/>
                  <w:marRight w:val="0"/>
                  <w:marTop w:val="0"/>
                  <w:marBottom w:val="0"/>
                  <w:divBdr>
                    <w:top w:val="none" w:sz="0" w:space="0" w:color="auto"/>
                    <w:left w:val="none" w:sz="0" w:space="0" w:color="auto"/>
                    <w:bottom w:val="none" w:sz="0" w:space="0" w:color="auto"/>
                    <w:right w:val="none" w:sz="0" w:space="0" w:color="auto"/>
                  </w:divBdr>
                </w:div>
                <w:div w:id="14950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8596">
          <w:marLeft w:val="0"/>
          <w:marRight w:val="0"/>
          <w:marTop w:val="15"/>
          <w:marBottom w:val="0"/>
          <w:divBdr>
            <w:top w:val="none" w:sz="0" w:space="0" w:color="auto"/>
            <w:left w:val="none" w:sz="0" w:space="0" w:color="auto"/>
            <w:bottom w:val="none" w:sz="0" w:space="0" w:color="auto"/>
            <w:right w:val="none" w:sz="0" w:space="0" w:color="auto"/>
          </w:divBdr>
          <w:divsChild>
            <w:div w:id="982127062">
              <w:marLeft w:val="0"/>
              <w:marRight w:val="0"/>
              <w:marTop w:val="0"/>
              <w:marBottom w:val="0"/>
              <w:divBdr>
                <w:top w:val="none" w:sz="0" w:space="0" w:color="auto"/>
                <w:left w:val="none" w:sz="0" w:space="0" w:color="auto"/>
                <w:bottom w:val="none" w:sz="0" w:space="0" w:color="auto"/>
                <w:right w:val="none" w:sz="0" w:space="0" w:color="auto"/>
              </w:divBdr>
              <w:divsChild>
                <w:div w:id="2068524794">
                  <w:marLeft w:val="0"/>
                  <w:marRight w:val="0"/>
                  <w:marTop w:val="0"/>
                  <w:marBottom w:val="0"/>
                  <w:divBdr>
                    <w:top w:val="none" w:sz="0" w:space="0" w:color="auto"/>
                    <w:left w:val="none" w:sz="0" w:space="0" w:color="auto"/>
                    <w:bottom w:val="none" w:sz="0" w:space="0" w:color="auto"/>
                    <w:right w:val="none" w:sz="0" w:space="0" w:color="auto"/>
                  </w:divBdr>
                </w:div>
                <w:div w:id="1396466678">
                  <w:marLeft w:val="0"/>
                  <w:marRight w:val="0"/>
                  <w:marTop w:val="0"/>
                  <w:marBottom w:val="0"/>
                  <w:divBdr>
                    <w:top w:val="none" w:sz="0" w:space="0" w:color="auto"/>
                    <w:left w:val="none" w:sz="0" w:space="0" w:color="auto"/>
                    <w:bottom w:val="none" w:sz="0" w:space="0" w:color="auto"/>
                    <w:right w:val="none" w:sz="0" w:space="0" w:color="auto"/>
                  </w:divBdr>
                </w:div>
                <w:div w:id="1912809931">
                  <w:marLeft w:val="0"/>
                  <w:marRight w:val="0"/>
                  <w:marTop w:val="0"/>
                  <w:marBottom w:val="0"/>
                  <w:divBdr>
                    <w:top w:val="none" w:sz="0" w:space="0" w:color="auto"/>
                    <w:left w:val="none" w:sz="0" w:space="0" w:color="auto"/>
                    <w:bottom w:val="none" w:sz="0" w:space="0" w:color="auto"/>
                    <w:right w:val="none" w:sz="0" w:space="0" w:color="auto"/>
                  </w:divBdr>
                </w:div>
                <w:div w:id="1852261215">
                  <w:marLeft w:val="0"/>
                  <w:marRight w:val="0"/>
                  <w:marTop w:val="0"/>
                  <w:marBottom w:val="0"/>
                  <w:divBdr>
                    <w:top w:val="none" w:sz="0" w:space="0" w:color="auto"/>
                    <w:left w:val="none" w:sz="0" w:space="0" w:color="auto"/>
                    <w:bottom w:val="none" w:sz="0" w:space="0" w:color="auto"/>
                    <w:right w:val="none" w:sz="0" w:space="0" w:color="auto"/>
                  </w:divBdr>
                </w:div>
                <w:div w:id="693653678">
                  <w:marLeft w:val="0"/>
                  <w:marRight w:val="0"/>
                  <w:marTop w:val="0"/>
                  <w:marBottom w:val="0"/>
                  <w:divBdr>
                    <w:top w:val="none" w:sz="0" w:space="0" w:color="auto"/>
                    <w:left w:val="none" w:sz="0" w:space="0" w:color="auto"/>
                    <w:bottom w:val="none" w:sz="0" w:space="0" w:color="auto"/>
                    <w:right w:val="none" w:sz="0" w:space="0" w:color="auto"/>
                  </w:divBdr>
                </w:div>
                <w:div w:id="1091661074">
                  <w:marLeft w:val="0"/>
                  <w:marRight w:val="0"/>
                  <w:marTop w:val="0"/>
                  <w:marBottom w:val="0"/>
                  <w:divBdr>
                    <w:top w:val="none" w:sz="0" w:space="0" w:color="auto"/>
                    <w:left w:val="none" w:sz="0" w:space="0" w:color="auto"/>
                    <w:bottom w:val="none" w:sz="0" w:space="0" w:color="auto"/>
                    <w:right w:val="none" w:sz="0" w:space="0" w:color="auto"/>
                  </w:divBdr>
                </w:div>
                <w:div w:id="1888836074">
                  <w:marLeft w:val="0"/>
                  <w:marRight w:val="0"/>
                  <w:marTop w:val="0"/>
                  <w:marBottom w:val="0"/>
                  <w:divBdr>
                    <w:top w:val="none" w:sz="0" w:space="0" w:color="auto"/>
                    <w:left w:val="none" w:sz="0" w:space="0" w:color="auto"/>
                    <w:bottom w:val="none" w:sz="0" w:space="0" w:color="auto"/>
                    <w:right w:val="none" w:sz="0" w:space="0" w:color="auto"/>
                  </w:divBdr>
                </w:div>
                <w:div w:id="258803256">
                  <w:marLeft w:val="0"/>
                  <w:marRight w:val="0"/>
                  <w:marTop w:val="0"/>
                  <w:marBottom w:val="0"/>
                  <w:divBdr>
                    <w:top w:val="none" w:sz="0" w:space="0" w:color="auto"/>
                    <w:left w:val="none" w:sz="0" w:space="0" w:color="auto"/>
                    <w:bottom w:val="none" w:sz="0" w:space="0" w:color="auto"/>
                    <w:right w:val="none" w:sz="0" w:space="0" w:color="auto"/>
                  </w:divBdr>
                </w:div>
                <w:div w:id="341205308">
                  <w:marLeft w:val="0"/>
                  <w:marRight w:val="0"/>
                  <w:marTop w:val="0"/>
                  <w:marBottom w:val="0"/>
                  <w:divBdr>
                    <w:top w:val="none" w:sz="0" w:space="0" w:color="auto"/>
                    <w:left w:val="none" w:sz="0" w:space="0" w:color="auto"/>
                    <w:bottom w:val="none" w:sz="0" w:space="0" w:color="auto"/>
                    <w:right w:val="none" w:sz="0" w:space="0" w:color="auto"/>
                  </w:divBdr>
                </w:div>
                <w:div w:id="1910460705">
                  <w:marLeft w:val="0"/>
                  <w:marRight w:val="0"/>
                  <w:marTop w:val="0"/>
                  <w:marBottom w:val="0"/>
                  <w:divBdr>
                    <w:top w:val="none" w:sz="0" w:space="0" w:color="auto"/>
                    <w:left w:val="none" w:sz="0" w:space="0" w:color="auto"/>
                    <w:bottom w:val="none" w:sz="0" w:space="0" w:color="auto"/>
                    <w:right w:val="none" w:sz="0" w:space="0" w:color="auto"/>
                  </w:divBdr>
                </w:div>
                <w:div w:id="241069300">
                  <w:marLeft w:val="0"/>
                  <w:marRight w:val="0"/>
                  <w:marTop w:val="0"/>
                  <w:marBottom w:val="0"/>
                  <w:divBdr>
                    <w:top w:val="none" w:sz="0" w:space="0" w:color="auto"/>
                    <w:left w:val="none" w:sz="0" w:space="0" w:color="auto"/>
                    <w:bottom w:val="none" w:sz="0" w:space="0" w:color="auto"/>
                    <w:right w:val="none" w:sz="0" w:space="0" w:color="auto"/>
                  </w:divBdr>
                </w:div>
                <w:div w:id="1954941450">
                  <w:marLeft w:val="0"/>
                  <w:marRight w:val="0"/>
                  <w:marTop w:val="0"/>
                  <w:marBottom w:val="0"/>
                  <w:divBdr>
                    <w:top w:val="none" w:sz="0" w:space="0" w:color="auto"/>
                    <w:left w:val="none" w:sz="0" w:space="0" w:color="auto"/>
                    <w:bottom w:val="none" w:sz="0" w:space="0" w:color="auto"/>
                    <w:right w:val="none" w:sz="0" w:space="0" w:color="auto"/>
                  </w:divBdr>
                </w:div>
                <w:div w:id="712536662">
                  <w:marLeft w:val="0"/>
                  <w:marRight w:val="0"/>
                  <w:marTop w:val="0"/>
                  <w:marBottom w:val="0"/>
                  <w:divBdr>
                    <w:top w:val="none" w:sz="0" w:space="0" w:color="auto"/>
                    <w:left w:val="none" w:sz="0" w:space="0" w:color="auto"/>
                    <w:bottom w:val="none" w:sz="0" w:space="0" w:color="auto"/>
                    <w:right w:val="none" w:sz="0" w:space="0" w:color="auto"/>
                  </w:divBdr>
                </w:div>
                <w:div w:id="1764571875">
                  <w:marLeft w:val="0"/>
                  <w:marRight w:val="0"/>
                  <w:marTop w:val="0"/>
                  <w:marBottom w:val="0"/>
                  <w:divBdr>
                    <w:top w:val="none" w:sz="0" w:space="0" w:color="auto"/>
                    <w:left w:val="none" w:sz="0" w:space="0" w:color="auto"/>
                    <w:bottom w:val="none" w:sz="0" w:space="0" w:color="auto"/>
                    <w:right w:val="none" w:sz="0" w:space="0" w:color="auto"/>
                  </w:divBdr>
                </w:div>
                <w:div w:id="712845179">
                  <w:marLeft w:val="0"/>
                  <w:marRight w:val="0"/>
                  <w:marTop w:val="0"/>
                  <w:marBottom w:val="0"/>
                  <w:divBdr>
                    <w:top w:val="none" w:sz="0" w:space="0" w:color="auto"/>
                    <w:left w:val="none" w:sz="0" w:space="0" w:color="auto"/>
                    <w:bottom w:val="none" w:sz="0" w:space="0" w:color="auto"/>
                    <w:right w:val="none" w:sz="0" w:space="0" w:color="auto"/>
                  </w:divBdr>
                </w:div>
                <w:div w:id="966860342">
                  <w:marLeft w:val="0"/>
                  <w:marRight w:val="0"/>
                  <w:marTop w:val="0"/>
                  <w:marBottom w:val="0"/>
                  <w:divBdr>
                    <w:top w:val="none" w:sz="0" w:space="0" w:color="auto"/>
                    <w:left w:val="none" w:sz="0" w:space="0" w:color="auto"/>
                    <w:bottom w:val="none" w:sz="0" w:space="0" w:color="auto"/>
                    <w:right w:val="none" w:sz="0" w:space="0" w:color="auto"/>
                  </w:divBdr>
                </w:div>
                <w:div w:id="259993751">
                  <w:marLeft w:val="0"/>
                  <w:marRight w:val="0"/>
                  <w:marTop w:val="0"/>
                  <w:marBottom w:val="0"/>
                  <w:divBdr>
                    <w:top w:val="none" w:sz="0" w:space="0" w:color="auto"/>
                    <w:left w:val="none" w:sz="0" w:space="0" w:color="auto"/>
                    <w:bottom w:val="none" w:sz="0" w:space="0" w:color="auto"/>
                    <w:right w:val="none" w:sz="0" w:space="0" w:color="auto"/>
                  </w:divBdr>
                </w:div>
                <w:div w:id="535197736">
                  <w:marLeft w:val="0"/>
                  <w:marRight w:val="0"/>
                  <w:marTop w:val="0"/>
                  <w:marBottom w:val="0"/>
                  <w:divBdr>
                    <w:top w:val="none" w:sz="0" w:space="0" w:color="auto"/>
                    <w:left w:val="none" w:sz="0" w:space="0" w:color="auto"/>
                    <w:bottom w:val="none" w:sz="0" w:space="0" w:color="auto"/>
                    <w:right w:val="none" w:sz="0" w:space="0" w:color="auto"/>
                  </w:divBdr>
                </w:div>
                <w:div w:id="923874051">
                  <w:marLeft w:val="0"/>
                  <w:marRight w:val="0"/>
                  <w:marTop w:val="0"/>
                  <w:marBottom w:val="0"/>
                  <w:divBdr>
                    <w:top w:val="none" w:sz="0" w:space="0" w:color="auto"/>
                    <w:left w:val="none" w:sz="0" w:space="0" w:color="auto"/>
                    <w:bottom w:val="none" w:sz="0" w:space="0" w:color="auto"/>
                    <w:right w:val="none" w:sz="0" w:space="0" w:color="auto"/>
                  </w:divBdr>
                </w:div>
                <w:div w:id="152528800">
                  <w:marLeft w:val="0"/>
                  <w:marRight w:val="0"/>
                  <w:marTop w:val="0"/>
                  <w:marBottom w:val="0"/>
                  <w:divBdr>
                    <w:top w:val="none" w:sz="0" w:space="0" w:color="auto"/>
                    <w:left w:val="none" w:sz="0" w:space="0" w:color="auto"/>
                    <w:bottom w:val="none" w:sz="0" w:space="0" w:color="auto"/>
                    <w:right w:val="none" w:sz="0" w:space="0" w:color="auto"/>
                  </w:divBdr>
                </w:div>
                <w:div w:id="2136679909">
                  <w:marLeft w:val="0"/>
                  <w:marRight w:val="0"/>
                  <w:marTop w:val="0"/>
                  <w:marBottom w:val="0"/>
                  <w:divBdr>
                    <w:top w:val="none" w:sz="0" w:space="0" w:color="auto"/>
                    <w:left w:val="none" w:sz="0" w:space="0" w:color="auto"/>
                    <w:bottom w:val="none" w:sz="0" w:space="0" w:color="auto"/>
                    <w:right w:val="none" w:sz="0" w:space="0" w:color="auto"/>
                  </w:divBdr>
                </w:div>
                <w:div w:id="1147435169">
                  <w:marLeft w:val="0"/>
                  <w:marRight w:val="0"/>
                  <w:marTop w:val="0"/>
                  <w:marBottom w:val="0"/>
                  <w:divBdr>
                    <w:top w:val="none" w:sz="0" w:space="0" w:color="auto"/>
                    <w:left w:val="none" w:sz="0" w:space="0" w:color="auto"/>
                    <w:bottom w:val="none" w:sz="0" w:space="0" w:color="auto"/>
                    <w:right w:val="none" w:sz="0" w:space="0" w:color="auto"/>
                  </w:divBdr>
                </w:div>
                <w:div w:id="1632638433">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73">
          <w:marLeft w:val="0"/>
          <w:marRight w:val="0"/>
          <w:marTop w:val="15"/>
          <w:marBottom w:val="0"/>
          <w:divBdr>
            <w:top w:val="none" w:sz="0" w:space="0" w:color="auto"/>
            <w:left w:val="none" w:sz="0" w:space="0" w:color="auto"/>
            <w:bottom w:val="none" w:sz="0" w:space="0" w:color="auto"/>
            <w:right w:val="none" w:sz="0" w:space="0" w:color="auto"/>
          </w:divBdr>
          <w:divsChild>
            <w:div w:id="312178556">
              <w:marLeft w:val="0"/>
              <w:marRight w:val="0"/>
              <w:marTop w:val="0"/>
              <w:marBottom w:val="0"/>
              <w:divBdr>
                <w:top w:val="none" w:sz="0" w:space="0" w:color="auto"/>
                <w:left w:val="none" w:sz="0" w:space="0" w:color="auto"/>
                <w:bottom w:val="none" w:sz="0" w:space="0" w:color="auto"/>
                <w:right w:val="none" w:sz="0" w:space="0" w:color="auto"/>
              </w:divBdr>
              <w:divsChild>
                <w:div w:id="1166091187">
                  <w:marLeft w:val="0"/>
                  <w:marRight w:val="0"/>
                  <w:marTop w:val="0"/>
                  <w:marBottom w:val="0"/>
                  <w:divBdr>
                    <w:top w:val="none" w:sz="0" w:space="0" w:color="auto"/>
                    <w:left w:val="none" w:sz="0" w:space="0" w:color="auto"/>
                    <w:bottom w:val="none" w:sz="0" w:space="0" w:color="auto"/>
                    <w:right w:val="none" w:sz="0" w:space="0" w:color="auto"/>
                  </w:divBdr>
                </w:div>
                <w:div w:id="397627844">
                  <w:marLeft w:val="0"/>
                  <w:marRight w:val="0"/>
                  <w:marTop w:val="0"/>
                  <w:marBottom w:val="0"/>
                  <w:divBdr>
                    <w:top w:val="none" w:sz="0" w:space="0" w:color="auto"/>
                    <w:left w:val="none" w:sz="0" w:space="0" w:color="auto"/>
                    <w:bottom w:val="none" w:sz="0" w:space="0" w:color="auto"/>
                    <w:right w:val="none" w:sz="0" w:space="0" w:color="auto"/>
                  </w:divBdr>
                </w:div>
                <w:div w:id="1977443385">
                  <w:marLeft w:val="0"/>
                  <w:marRight w:val="0"/>
                  <w:marTop w:val="0"/>
                  <w:marBottom w:val="0"/>
                  <w:divBdr>
                    <w:top w:val="none" w:sz="0" w:space="0" w:color="auto"/>
                    <w:left w:val="none" w:sz="0" w:space="0" w:color="auto"/>
                    <w:bottom w:val="none" w:sz="0" w:space="0" w:color="auto"/>
                    <w:right w:val="none" w:sz="0" w:space="0" w:color="auto"/>
                  </w:divBdr>
                </w:div>
                <w:div w:id="1966038926">
                  <w:marLeft w:val="0"/>
                  <w:marRight w:val="0"/>
                  <w:marTop w:val="0"/>
                  <w:marBottom w:val="0"/>
                  <w:divBdr>
                    <w:top w:val="none" w:sz="0" w:space="0" w:color="auto"/>
                    <w:left w:val="none" w:sz="0" w:space="0" w:color="auto"/>
                    <w:bottom w:val="none" w:sz="0" w:space="0" w:color="auto"/>
                    <w:right w:val="none" w:sz="0" w:space="0" w:color="auto"/>
                  </w:divBdr>
                </w:div>
                <w:div w:id="1843232272">
                  <w:marLeft w:val="0"/>
                  <w:marRight w:val="0"/>
                  <w:marTop w:val="0"/>
                  <w:marBottom w:val="0"/>
                  <w:divBdr>
                    <w:top w:val="none" w:sz="0" w:space="0" w:color="auto"/>
                    <w:left w:val="none" w:sz="0" w:space="0" w:color="auto"/>
                    <w:bottom w:val="none" w:sz="0" w:space="0" w:color="auto"/>
                    <w:right w:val="none" w:sz="0" w:space="0" w:color="auto"/>
                  </w:divBdr>
                </w:div>
                <w:div w:id="1317153219">
                  <w:marLeft w:val="0"/>
                  <w:marRight w:val="0"/>
                  <w:marTop w:val="0"/>
                  <w:marBottom w:val="0"/>
                  <w:divBdr>
                    <w:top w:val="none" w:sz="0" w:space="0" w:color="auto"/>
                    <w:left w:val="none" w:sz="0" w:space="0" w:color="auto"/>
                    <w:bottom w:val="none" w:sz="0" w:space="0" w:color="auto"/>
                    <w:right w:val="none" w:sz="0" w:space="0" w:color="auto"/>
                  </w:divBdr>
                </w:div>
                <w:div w:id="1002123109">
                  <w:marLeft w:val="0"/>
                  <w:marRight w:val="0"/>
                  <w:marTop w:val="0"/>
                  <w:marBottom w:val="0"/>
                  <w:divBdr>
                    <w:top w:val="none" w:sz="0" w:space="0" w:color="auto"/>
                    <w:left w:val="none" w:sz="0" w:space="0" w:color="auto"/>
                    <w:bottom w:val="none" w:sz="0" w:space="0" w:color="auto"/>
                    <w:right w:val="none" w:sz="0" w:space="0" w:color="auto"/>
                  </w:divBdr>
                </w:div>
                <w:div w:id="1049647589">
                  <w:marLeft w:val="0"/>
                  <w:marRight w:val="0"/>
                  <w:marTop w:val="0"/>
                  <w:marBottom w:val="0"/>
                  <w:divBdr>
                    <w:top w:val="none" w:sz="0" w:space="0" w:color="auto"/>
                    <w:left w:val="none" w:sz="0" w:space="0" w:color="auto"/>
                    <w:bottom w:val="none" w:sz="0" w:space="0" w:color="auto"/>
                    <w:right w:val="none" w:sz="0" w:space="0" w:color="auto"/>
                  </w:divBdr>
                </w:div>
                <w:div w:id="1497722466">
                  <w:marLeft w:val="0"/>
                  <w:marRight w:val="0"/>
                  <w:marTop w:val="0"/>
                  <w:marBottom w:val="0"/>
                  <w:divBdr>
                    <w:top w:val="none" w:sz="0" w:space="0" w:color="auto"/>
                    <w:left w:val="none" w:sz="0" w:space="0" w:color="auto"/>
                    <w:bottom w:val="none" w:sz="0" w:space="0" w:color="auto"/>
                    <w:right w:val="none" w:sz="0" w:space="0" w:color="auto"/>
                  </w:divBdr>
                </w:div>
                <w:div w:id="1003627499">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 w:id="1230000124">
                  <w:marLeft w:val="0"/>
                  <w:marRight w:val="0"/>
                  <w:marTop w:val="0"/>
                  <w:marBottom w:val="0"/>
                  <w:divBdr>
                    <w:top w:val="none" w:sz="0" w:space="0" w:color="auto"/>
                    <w:left w:val="none" w:sz="0" w:space="0" w:color="auto"/>
                    <w:bottom w:val="none" w:sz="0" w:space="0" w:color="auto"/>
                    <w:right w:val="none" w:sz="0" w:space="0" w:color="auto"/>
                  </w:divBdr>
                </w:div>
                <w:div w:id="680669651">
                  <w:marLeft w:val="0"/>
                  <w:marRight w:val="0"/>
                  <w:marTop w:val="0"/>
                  <w:marBottom w:val="0"/>
                  <w:divBdr>
                    <w:top w:val="none" w:sz="0" w:space="0" w:color="auto"/>
                    <w:left w:val="none" w:sz="0" w:space="0" w:color="auto"/>
                    <w:bottom w:val="none" w:sz="0" w:space="0" w:color="auto"/>
                    <w:right w:val="none" w:sz="0" w:space="0" w:color="auto"/>
                  </w:divBdr>
                </w:div>
                <w:div w:id="17052832">
                  <w:marLeft w:val="0"/>
                  <w:marRight w:val="0"/>
                  <w:marTop w:val="0"/>
                  <w:marBottom w:val="0"/>
                  <w:divBdr>
                    <w:top w:val="none" w:sz="0" w:space="0" w:color="auto"/>
                    <w:left w:val="none" w:sz="0" w:space="0" w:color="auto"/>
                    <w:bottom w:val="none" w:sz="0" w:space="0" w:color="auto"/>
                    <w:right w:val="none" w:sz="0" w:space="0" w:color="auto"/>
                  </w:divBdr>
                </w:div>
                <w:div w:id="1844319728">
                  <w:marLeft w:val="0"/>
                  <w:marRight w:val="0"/>
                  <w:marTop w:val="0"/>
                  <w:marBottom w:val="0"/>
                  <w:divBdr>
                    <w:top w:val="none" w:sz="0" w:space="0" w:color="auto"/>
                    <w:left w:val="none" w:sz="0" w:space="0" w:color="auto"/>
                    <w:bottom w:val="none" w:sz="0" w:space="0" w:color="auto"/>
                    <w:right w:val="none" w:sz="0" w:space="0" w:color="auto"/>
                  </w:divBdr>
                </w:div>
                <w:div w:id="653488949">
                  <w:marLeft w:val="0"/>
                  <w:marRight w:val="0"/>
                  <w:marTop w:val="0"/>
                  <w:marBottom w:val="0"/>
                  <w:divBdr>
                    <w:top w:val="none" w:sz="0" w:space="0" w:color="auto"/>
                    <w:left w:val="none" w:sz="0" w:space="0" w:color="auto"/>
                    <w:bottom w:val="none" w:sz="0" w:space="0" w:color="auto"/>
                    <w:right w:val="none" w:sz="0" w:space="0" w:color="auto"/>
                  </w:divBdr>
                </w:div>
                <w:div w:id="1822194408">
                  <w:marLeft w:val="0"/>
                  <w:marRight w:val="0"/>
                  <w:marTop w:val="0"/>
                  <w:marBottom w:val="0"/>
                  <w:divBdr>
                    <w:top w:val="none" w:sz="0" w:space="0" w:color="auto"/>
                    <w:left w:val="none" w:sz="0" w:space="0" w:color="auto"/>
                    <w:bottom w:val="none" w:sz="0" w:space="0" w:color="auto"/>
                    <w:right w:val="none" w:sz="0" w:space="0" w:color="auto"/>
                  </w:divBdr>
                </w:div>
                <w:div w:id="1369993013">
                  <w:marLeft w:val="0"/>
                  <w:marRight w:val="0"/>
                  <w:marTop w:val="0"/>
                  <w:marBottom w:val="0"/>
                  <w:divBdr>
                    <w:top w:val="none" w:sz="0" w:space="0" w:color="auto"/>
                    <w:left w:val="none" w:sz="0" w:space="0" w:color="auto"/>
                    <w:bottom w:val="none" w:sz="0" w:space="0" w:color="auto"/>
                    <w:right w:val="none" w:sz="0" w:space="0" w:color="auto"/>
                  </w:divBdr>
                </w:div>
                <w:div w:id="2008706402">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 w:id="251087336">
                  <w:marLeft w:val="0"/>
                  <w:marRight w:val="0"/>
                  <w:marTop w:val="0"/>
                  <w:marBottom w:val="0"/>
                  <w:divBdr>
                    <w:top w:val="none" w:sz="0" w:space="0" w:color="auto"/>
                    <w:left w:val="none" w:sz="0" w:space="0" w:color="auto"/>
                    <w:bottom w:val="none" w:sz="0" w:space="0" w:color="auto"/>
                    <w:right w:val="none" w:sz="0" w:space="0" w:color="auto"/>
                  </w:divBdr>
                </w:div>
                <w:div w:id="1897010033">
                  <w:marLeft w:val="0"/>
                  <w:marRight w:val="0"/>
                  <w:marTop w:val="0"/>
                  <w:marBottom w:val="0"/>
                  <w:divBdr>
                    <w:top w:val="none" w:sz="0" w:space="0" w:color="auto"/>
                    <w:left w:val="none" w:sz="0" w:space="0" w:color="auto"/>
                    <w:bottom w:val="none" w:sz="0" w:space="0" w:color="auto"/>
                    <w:right w:val="none" w:sz="0" w:space="0" w:color="auto"/>
                  </w:divBdr>
                </w:div>
                <w:div w:id="1469126431">
                  <w:marLeft w:val="0"/>
                  <w:marRight w:val="0"/>
                  <w:marTop w:val="0"/>
                  <w:marBottom w:val="0"/>
                  <w:divBdr>
                    <w:top w:val="none" w:sz="0" w:space="0" w:color="auto"/>
                    <w:left w:val="none" w:sz="0" w:space="0" w:color="auto"/>
                    <w:bottom w:val="none" w:sz="0" w:space="0" w:color="auto"/>
                    <w:right w:val="none" w:sz="0" w:space="0" w:color="auto"/>
                  </w:divBdr>
                </w:div>
                <w:div w:id="2101677127">
                  <w:marLeft w:val="0"/>
                  <w:marRight w:val="0"/>
                  <w:marTop w:val="0"/>
                  <w:marBottom w:val="0"/>
                  <w:divBdr>
                    <w:top w:val="none" w:sz="0" w:space="0" w:color="auto"/>
                    <w:left w:val="none" w:sz="0" w:space="0" w:color="auto"/>
                    <w:bottom w:val="none" w:sz="0" w:space="0" w:color="auto"/>
                    <w:right w:val="none" w:sz="0" w:space="0" w:color="auto"/>
                  </w:divBdr>
                </w:div>
                <w:div w:id="2135169047">
                  <w:marLeft w:val="0"/>
                  <w:marRight w:val="0"/>
                  <w:marTop w:val="0"/>
                  <w:marBottom w:val="0"/>
                  <w:divBdr>
                    <w:top w:val="none" w:sz="0" w:space="0" w:color="auto"/>
                    <w:left w:val="none" w:sz="0" w:space="0" w:color="auto"/>
                    <w:bottom w:val="none" w:sz="0" w:space="0" w:color="auto"/>
                    <w:right w:val="none" w:sz="0" w:space="0" w:color="auto"/>
                  </w:divBdr>
                </w:div>
                <w:div w:id="701131708">
                  <w:marLeft w:val="0"/>
                  <w:marRight w:val="0"/>
                  <w:marTop w:val="0"/>
                  <w:marBottom w:val="0"/>
                  <w:divBdr>
                    <w:top w:val="none" w:sz="0" w:space="0" w:color="auto"/>
                    <w:left w:val="none" w:sz="0" w:space="0" w:color="auto"/>
                    <w:bottom w:val="none" w:sz="0" w:space="0" w:color="auto"/>
                    <w:right w:val="none" w:sz="0" w:space="0" w:color="auto"/>
                  </w:divBdr>
                </w:div>
                <w:div w:id="756947762">
                  <w:marLeft w:val="0"/>
                  <w:marRight w:val="0"/>
                  <w:marTop w:val="0"/>
                  <w:marBottom w:val="0"/>
                  <w:divBdr>
                    <w:top w:val="none" w:sz="0" w:space="0" w:color="auto"/>
                    <w:left w:val="none" w:sz="0" w:space="0" w:color="auto"/>
                    <w:bottom w:val="none" w:sz="0" w:space="0" w:color="auto"/>
                    <w:right w:val="none" w:sz="0" w:space="0" w:color="auto"/>
                  </w:divBdr>
                </w:div>
                <w:div w:id="1685671536">
                  <w:marLeft w:val="0"/>
                  <w:marRight w:val="0"/>
                  <w:marTop w:val="0"/>
                  <w:marBottom w:val="0"/>
                  <w:divBdr>
                    <w:top w:val="none" w:sz="0" w:space="0" w:color="auto"/>
                    <w:left w:val="none" w:sz="0" w:space="0" w:color="auto"/>
                    <w:bottom w:val="none" w:sz="0" w:space="0" w:color="auto"/>
                    <w:right w:val="none" w:sz="0" w:space="0" w:color="auto"/>
                  </w:divBdr>
                </w:div>
                <w:div w:id="7934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965">
          <w:marLeft w:val="0"/>
          <w:marRight w:val="0"/>
          <w:marTop w:val="15"/>
          <w:marBottom w:val="0"/>
          <w:divBdr>
            <w:top w:val="none" w:sz="0" w:space="0" w:color="auto"/>
            <w:left w:val="none" w:sz="0" w:space="0" w:color="auto"/>
            <w:bottom w:val="none" w:sz="0" w:space="0" w:color="auto"/>
            <w:right w:val="none" w:sz="0" w:space="0" w:color="auto"/>
          </w:divBdr>
          <w:divsChild>
            <w:div w:id="86315415">
              <w:marLeft w:val="0"/>
              <w:marRight w:val="0"/>
              <w:marTop w:val="0"/>
              <w:marBottom w:val="0"/>
              <w:divBdr>
                <w:top w:val="none" w:sz="0" w:space="0" w:color="auto"/>
                <w:left w:val="none" w:sz="0" w:space="0" w:color="auto"/>
                <w:bottom w:val="none" w:sz="0" w:space="0" w:color="auto"/>
                <w:right w:val="none" w:sz="0" w:space="0" w:color="auto"/>
              </w:divBdr>
              <w:divsChild>
                <w:div w:id="315762454">
                  <w:marLeft w:val="0"/>
                  <w:marRight w:val="0"/>
                  <w:marTop w:val="0"/>
                  <w:marBottom w:val="0"/>
                  <w:divBdr>
                    <w:top w:val="none" w:sz="0" w:space="0" w:color="auto"/>
                    <w:left w:val="none" w:sz="0" w:space="0" w:color="auto"/>
                    <w:bottom w:val="none" w:sz="0" w:space="0" w:color="auto"/>
                    <w:right w:val="none" w:sz="0" w:space="0" w:color="auto"/>
                  </w:divBdr>
                </w:div>
                <w:div w:id="387803027">
                  <w:marLeft w:val="0"/>
                  <w:marRight w:val="0"/>
                  <w:marTop w:val="0"/>
                  <w:marBottom w:val="0"/>
                  <w:divBdr>
                    <w:top w:val="none" w:sz="0" w:space="0" w:color="auto"/>
                    <w:left w:val="none" w:sz="0" w:space="0" w:color="auto"/>
                    <w:bottom w:val="none" w:sz="0" w:space="0" w:color="auto"/>
                    <w:right w:val="none" w:sz="0" w:space="0" w:color="auto"/>
                  </w:divBdr>
                </w:div>
                <w:div w:id="159203540">
                  <w:marLeft w:val="0"/>
                  <w:marRight w:val="0"/>
                  <w:marTop w:val="0"/>
                  <w:marBottom w:val="0"/>
                  <w:divBdr>
                    <w:top w:val="none" w:sz="0" w:space="0" w:color="auto"/>
                    <w:left w:val="none" w:sz="0" w:space="0" w:color="auto"/>
                    <w:bottom w:val="none" w:sz="0" w:space="0" w:color="auto"/>
                    <w:right w:val="none" w:sz="0" w:space="0" w:color="auto"/>
                  </w:divBdr>
                </w:div>
                <w:div w:id="741879302">
                  <w:marLeft w:val="0"/>
                  <w:marRight w:val="0"/>
                  <w:marTop w:val="0"/>
                  <w:marBottom w:val="0"/>
                  <w:divBdr>
                    <w:top w:val="none" w:sz="0" w:space="0" w:color="auto"/>
                    <w:left w:val="none" w:sz="0" w:space="0" w:color="auto"/>
                    <w:bottom w:val="none" w:sz="0" w:space="0" w:color="auto"/>
                    <w:right w:val="none" w:sz="0" w:space="0" w:color="auto"/>
                  </w:divBdr>
                </w:div>
                <w:div w:id="935361533">
                  <w:marLeft w:val="0"/>
                  <w:marRight w:val="0"/>
                  <w:marTop w:val="0"/>
                  <w:marBottom w:val="0"/>
                  <w:divBdr>
                    <w:top w:val="none" w:sz="0" w:space="0" w:color="auto"/>
                    <w:left w:val="none" w:sz="0" w:space="0" w:color="auto"/>
                    <w:bottom w:val="none" w:sz="0" w:space="0" w:color="auto"/>
                    <w:right w:val="none" w:sz="0" w:space="0" w:color="auto"/>
                  </w:divBdr>
                </w:div>
                <w:div w:id="1262566805">
                  <w:marLeft w:val="0"/>
                  <w:marRight w:val="0"/>
                  <w:marTop w:val="0"/>
                  <w:marBottom w:val="0"/>
                  <w:divBdr>
                    <w:top w:val="none" w:sz="0" w:space="0" w:color="auto"/>
                    <w:left w:val="none" w:sz="0" w:space="0" w:color="auto"/>
                    <w:bottom w:val="none" w:sz="0" w:space="0" w:color="auto"/>
                    <w:right w:val="none" w:sz="0" w:space="0" w:color="auto"/>
                  </w:divBdr>
                </w:div>
                <w:div w:id="114253285">
                  <w:marLeft w:val="0"/>
                  <w:marRight w:val="0"/>
                  <w:marTop w:val="0"/>
                  <w:marBottom w:val="0"/>
                  <w:divBdr>
                    <w:top w:val="none" w:sz="0" w:space="0" w:color="auto"/>
                    <w:left w:val="none" w:sz="0" w:space="0" w:color="auto"/>
                    <w:bottom w:val="none" w:sz="0" w:space="0" w:color="auto"/>
                    <w:right w:val="none" w:sz="0" w:space="0" w:color="auto"/>
                  </w:divBdr>
                </w:div>
                <w:div w:id="1076777806">
                  <w:marLeft w:val="0"/>
                  <w:marRight w:val="0"/>
                  <w:marTop w:val="0"/>
                  <w:marBottom w:val="0"/>
                  <w:divBdr>
                    <w:top w:val="none" w:sz="0" w:space="0" w:color="auto"/>
                    <w:left w:val="none" w:sz="0" w:space="0" w:color="auto"/>
                    <w:bottom w:val="none" w:sz="0" w:space="0" w:color="auto"/>
                    <w:right w:val="none" w:sz="0" w:space="0" w:color="auto"/>
                  </w:divBdr>
                </w:div>
                <w:div w:id="139538171">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379325849">
                  <w:marLeft w:val="0"/>
                  <w:marRight w:val="0"/>
                  <w:marTop w:val="0"/>
                  <w:marBottom w:val="0"/>
                  <w:divBdr>
                    <w:top w:val="none" w:sz="0" w:space="0" w:color="auto"/>
                    <w:left w:val="none" w:sz="0" w:space="0" w:color="auto"/>
                    <w:bottom w:val="none" w:sz="0" w:space="0" w:color="auto"/>
                    <w:right w:val="none" w:sz="0" w:space="0" w:color="auto"/>
                  </w:divBdr>
                </w:div>
                <w:div w:id="559294820">
                  <w:marLeft w:val="0"/>
                  <w:marRight w:val="0"/>
                  <w:marTop w:val="0"/>
                  <w:marBottom w:val="0"/>
                  <w:divBdr>
                    <w:top w:val="none" w:sz="0" w:space="0" w:color="auto"/>
                    <w:left w:val="none" w:sz="0" w:space="0" w:color="auto"/>
                    <w:bottom w:val="none" w:sz="0" w:space="0" w:color="auto"/>
                    <w:right w:val="none" w:sz="0" w:space="0" w:color="auto"/>
                  </w:divBdr>
                </w:div>
                <w:div w:id="1889221606">
                  <w:marLeft w:val="0"/>
                  <w:marRight w:val="0"/>
                  <w:marTop w:val="0"/>
                  <w:marBottom w:val="0"/>
                  <w:divBdr>
                    <w:top w:val="none" w:sz="0" w:space="0" w:color="auto"/>
                    <w:left w:val="none" w:sz="0" w:space="0" w:color="auto"/>
                    <w:bottom w:val="none" w:sz="0" w:space="0" w:color="auto"/>
                    <w:right w:val="none" w:sz="0" w:space="0" w:color="auto"/>
                  </w:divBdr>
                </w:div>
                <w:div w:id="1971010832">
                  <w:marLeft w:val="0"/>
                  <w:marRight w:val="0"/>
                  <w:marTop w:val="0"/>
                  <w:marBottom w:val="0"/>
                  <w:divBdr>
                    <w:top w:val="none" w:sz="0" w:space="0" w:color="auto"/>
                    <w:left w:val="none" w:sz="0" w:space="0" w:color="auto"/>
                    <w:bottom w:val="none" w:sz="0" w:space="0" w:color="auto"/>
                    <w:right w:val="none" w:sz="0" w:space="0" w:color="auto"/>
                  </w:divBdr>
                </w:div>
                <w:div w:id="598102228">
                  <w:marLeft w:val="0"/>
                  <w:marRight w:val="0"/>
                  <w:marTop w:val="0"/>
                  <w:marBottom w:val="0"/>
                  <w:divBdr>
                    <w:top w:val="none" w:sz="0" w:space="0" w:color="auto"/>
                    <w:left w:val="none" w:sz="0" w:space="0" w:color="auto"/>
                    <w:bottom w:val="none" w:sz="0" w:space="0" w:color="auto"/>
                    <w:right w:val="none" w:sz="0" w:space="0" w:color="auto"/>
                  </w:divBdr>
                </w:div>
                <w:div w:id="1751660016">
                  <w:marLeft w:val="0"/>
                  <w:marRight w:val="0"/>
                  <w:marTop w:val="0"/>
                  <w:marBottom w:val="0"/>
                  <w:divBdr>
                    <w:top w:val="none" w:sz="0" w:space="0" w:color="auto"/>
                    <w:left w:val="none" w:sz="0" w:space="0" w:color="auto"/>
                    <w:bottom w:val="none" w:sz="0" w:space="0" w:color="auto"/>
                    <w:right w:val="none" w:sz="0" w:space="0" w:color="auto"/>
                  </w:divBdr>
                </w:div>
                <w:div w:id="1261644021">
                  <w:marLeft w:val="0"/>
                  <w:marRight w:val="0"/>
                  <w:marTop w:val="0"/>
                  <w:marBottom w:val="0"/>
                  <w:divBdr>
                    <w:top w:val="none" w:sz="0" w:space="0" w:color="auto"/>
                    <w:left w:val="none" w:sz="0" w:space="0" w:color="auto"/>
                    <w:bottom w:val="none" w:sz="0" w:space="0" w:color="auto"/>
                    <w:right w:val="none" w:sz="0" w:space="0" w:color="auto"/>
                  </w:divBdr>
                </w:div>
                <w:div w:id="13850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1808">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27540038">
      <w:bodyDiv w:val="1"/>
      <w:marLeft w:val="0"/>
      <w:marRight w:val="0"/>
      <w:marTop w:val="0"/>
      <w:marBottom w:val="0"/>
      <w:divBdr>
        <w:top w:val="none" w:sz="0" w:space="0" w:color="auto"/>
        <w:left w:val="none" w:sz="0" w:space="0" w:color="auto"/>
        <w:bottom w:val="none" w:sz="0" w:space="0" w:color="auto"/>
        <w:right w:val="none" w:sz="0" w:space="0" w:color="auto"/>
      </w:divBdr>
    </w:div>
    <w:div w:id="934289399">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017892">
      <w:bodyDiv w:val="1"/>
      <w:marLeft w:val="0"/>
      <w:marRight w:val="0"/>
      <w:marTop w:val="0"/>
      <w:marBottom w:val="0"/>
      <w:divBdr>
        <w:top w:val="none" w:sz="0" w:space="0" w:color="auto"/>
        <w:left w:val="none" w:sz="0" w:space="0" w:color="auto"/>
        <w:bottom w:val="none" w:sz="0" w:space="0" w:color="auto"/>
        <w:right w:val="none" w:sz="0" w:space="0" w:color="auto"/>
      </w:divBdr>
    </w:div>
    <w:div w:id="937296436">
      <w:bodyDiv w:val="1"/>
      <w:marLeft w:val="0"/>
      <w:marRight w:val="0"/>
      <w:marTop w:val="0"/>
      <w:marBottom w:val="0"/>
      <w:divBdr>
        <w:top w:val="none" w:sz="0" w:space="0" w:color="auto"/>
        <w:left w:val="none" w:sz="0" w:space="0" w:color="auto"/>
        <w:bottom w:val="none" w:sz="0" w:space="0" w:color="auto"/>
        <w:right w:val="none" w:sz="0" w:space="0" w:color="auto"/>
      </w:divBdr>
    </w:div>
    <w:div w:id="938147951">
      <w:bodyDiv w:val="1"/>
      <w:marLeft w:val="0"/>
      <w:marRight w:val="0"/>
      <w:marTop w:val="0"/>
      <w:marBottom w:val="0"/>
      <w:divBdr>
        <w:top w:val="none" w:sz="0" w:space="0" w:color="auto"/>
        <w:left w:val="none" w:sz="0" w:space="0" w:color="auto"/>
        <w:bottom w:val="none" w:sz="0" w:space="0" w:color="auto"/>
        <w:right w:val="none" w:sz="0" w:space="0" w:color="auto"/>
      </w:divBdr>
    </w:div>
    <w:div w:id="939412864">
      <w:bodyDiv w:val="1"/>
      <w:marLeft w:val="0"/>
      <w:marRight w:val="0"/>
      <w:marTop w:val="0"/>
      <w:marBottom w:val="0"/>
      <w:divBdr>
        <w:top w:val="none" w:sz="0" w:space="0" w:color="auto"/>
        <w:left w:val="none" w:sz="0" w:space="0" w:color="auto"/>
        <w:bottom w:val="none" w:sz="0" w:space="0" w:color="auto"/>
        <w:right w:val="none" w:sz="0" w:space="0" w:color="auto"/>
      </w:divBdr>
    </w:div>
    <w:div w:id="941493521">
      <w:bodyDiv w:val="1"/>
      <w:marLeft w:val="0"/>
      <w:marRight w:val="0"/>
      <w:marTop w:val="0"/>
      <w:marBottom w:val="0"/>
      <w:divBdr>
        <w:top w:val="none" w:sz="0" w:space="0" w:color="auto"/>
        <w:left w:val="none" w:sz="0" w:space="0" w:color="auto"/>
        <w:bottom w:val="none" w:sz="0" w:space="0" w:color="auto"/>
        <w:right w:val="none" w:sz="0" w:space="0" w:color="auto"/>
      </w:divBdr>
      <w:divsChild>
        <w:div w:id="1332441888">
          <w:marLeft w:val="0"/>
          <w:marRight w:val="0"/>
          <w:marTop w:val="0"/>
          <w:marBottom w:val="0"/>
          <w:divBdr>
            <w:top w:val="none" w:sz="0" w:space="0" w:color="auto"/>
            <w:left w:val="none" w:sz="0" w:space="0" w:color="auto"/>
            <w:bottom w:val="none" w:sz="0" w:space="0" w:color="auto"/>
            <w:right w:val="none" w:sz="0" w:space="0" w:color="auto"/>
          </w:divBdr>
        </w:div>
      </w:divsChild>
    </w:div>
    <w:div w:id="941570607">
      <w:bodyDiv w:val="1"/>
      <w:marLeft w:val="0"/>
      <w:marRight w:val="0"/>
      <w:marTop w:val="0"/>
      <w:marBottom w:val="0"/>
      <w:divBdr>
        <w:top w:val="none" w:sz="0" w:space="0" w:color="auto"/>
        <w:left w:val="none" w:sz="0" w:space="0" w:color="auto"/>
        <w:bottom w:val="none" w:sz="0" w:space="0" w:color="auto"/>
        <w:right w:val="none" w:sz="0" w:space="0" w:color="auto"/>
      </w:divBdr>
    </w:div>
    <w:div w:id="941759722">
      <w:bodyDiv w:val="1"/>
      <w:marLeft w:val="0"/>
      <w:marRight w:val="0"/>
      <w:marTop w:val="0"/>
      <w:marBottom w:val="0"/>
      <w:divBdr>
        <w:top w:val="none" w:sz="0" w:space="0" w:color="auto"/>
        <w:left w:val="none" w:sz="0" w:space="0" w:color="auto"/>
        <w:bottom w:val="none" w:sz="0" w:space="0" w:color="auto"/>
        <w:right w:val="none" w:sz="0" w:space="0" w:color="auto"/>
      </w:divBdr>
    </w:div>
    <w:div w:id="946035886">
      <w:bodyDiv w:val="1"/>
      <w:marLeft w:val="0"/>
      <w:marRight w:val="0"/>
      <w:marTop w:val="0"/>
      <w:marBottom w:val="0"/>
      <w:divBdr>
        <w:top w:val="none" w:sz="0" w:space="0" w:color="auto"/>
        <w:left w:val="none" w:sz="0" w:space="0" w:color="auto"/>
        <w:bottom w:val="none" w:sz="0" w:space="0" w:color="auto"/>
        <w:right w:val="none" w:sz="0" w:space="0" w:color="auto"/>
      </w:divBdr>
    </w:div>
    <w:div w:id="954940637">
      <w:bodyDiv w:val="1"/>
      <w:marLeft w:val="0"/>
      <w:marRight w:val="0"/>
      <w:marTop w:val="0"/>
      <w:marBottom w:val="0"/>
      <w:divBdr>
        <w:top w:val="none" w:sz="0" w:space="0" w:color="auto"/>
        <w:left w:val="none" w:sz="0" w:space="0" w:color="auto"/>
        <w:bottom w:val="none" w:sz="0" w:space="0" w:color="auto"/>
        <w:right w:val="none" w:sz="0" w:space="0" w:color="auto"/>
      </w:divBdr>
    </w:div>
    <w:div w:id="956327583">
      <w:bodyDiv w:val="1"/>
      <w:marLeft w:val="0"/>
      <w:marRight w:val="0"/>
      <w:marTop w:val="0"/>
      <w:marBottom w:val="0"/>
      <w:divBdr>
        <w:top w:val="none" w:sz="0" w:space="0" w:color="auto"/>
        <w:left w:val="none" w:sz="0" w:space="0" w:color="auto"/>
        <w:bottom w:val="none" w:sz="0" w:space="0" w:color="auto"/>
        <w:right w:val="none" w:sz="0" w:space="0" w:color="auto"/>
      </w:divBdr>
      <w:divsChild>
        <w:div w:id="916594495">
          <w:marLeft w:val="0"/>
          <w:marRight w:val="0"/>
          <w:marTop w:val="0"/>
          <w:marBottom w:val="0"/>
          <w:divBdr>
            <w:top w:val="none" w:sz="0" w:space="0" w:color="auto"/>
            <w:left w:val="none" w:sz="0" w:space="0" w:color="auto"/>
            <w:bottom w:val="none" w:sz="0" w:space="0" w:color="auto"/>
            <w:right w:val="none" w:sz="0" w:space="0" w:color="auto"/>
          </w:divBdr>
        </w:div>
      </w:divsChild>
    </w:div>
    <w:div w:id="957758608">
      <w:bodyDiv w:val="1"/>
      <w:marLeft w:val="0"/>
      <w:marRight w:val="0"/>
      <w:marTop w:val="0"/>
      <w:marBottom w:val="0"/>
      <w:divBdr>
        <w:top w:val="none" w:sz="0" w:space="0" w:color="auto"/>
        <w:left w:val="none" w:sz="0" w:space="0" w:color="auto"/>
        <w:bottom w:val="none" w:sz="0" w:space="0" w:color="auto"/>
        <w:right w:val="none" w:sz="0" w:space="0" w:color="auto"/>
      </w:divBdr>
    </w:div>
    <w:div w:id="960497286">
      <w:bodyDiv w:val="1"/>
      <w:marLeft w:val="0"/>
      <w:marRight w:val="0"/>
      <w:marTop w:val="0"/>
      <w:marBottom w:val="0"/>
      <w:divBdr>
        <w:top w:val="none" w:sz="0" w:space="0" w:color="auto"/>
        <w:left w:val="none" w:sz="0" w:space="0" w:color="auto"/>
        <w:bottom w:val="none" w:sz="0" w:space="0" w:color="auto"/>
        <w:right w:val="none" w:sz="0" w:space="0" w:color="auto"/>
      </w:divBdr>
    </w:div>
    <w:div w:id="960847013">
      <w:bodyDiv w:val="1"/>
      <w:marLeft w:val="0"/>
      <w:marRight w:val="0"/>
      <w:marTop w:val="0"/>
      <w:marBottom w:val="0"/>
      <w:divBdr>
        <w:top w:val="none" w:sz="0" w:space="0" w:color="auto"/>
        <w:left w:val="none" w:sz="0" w:space="0" w:color="auto"/>
        <w:bottom w:val="none" w:sz="0" w:space="0" w:color="auto"/>
        <w:right w:val="none" w:sz="0" w:space="0" w:color="auto"/>
      </w:divBdr>
    </w:div>
    <w:div w:id="961152878">
      <w:bodyDiv w:val="1"/>
      <w:marLeft w:val="0"/>
      <w:marRight w:val="0"/>
      <w:marTop w:val="0"/>
      <w:marBottom w:val="0"/>
      <w:divBdr>
        <w:top w:val="none" w:sz="0" w:space="0" w:color="auto"/>
        <w:left w:val="none" w:sz="0" w:space="0" w:color="auto"/>
        <w:bottom w:val="none" w:sz="0" w:space="0" w:color="auto"/>
        <w:right w:val="none" w:sz="0" w:space="0" w:color="auto"/>
      </w:divBdr>
    </w:div>
    <w:div w:id="971444358">
      <w:bodyDiv w:val="1"/>
      <w:marLeft w:val="0"/>
      <w:marRight w:val="0"/>
      <w:marTop w:val="0"/>
      <w:marBottom w:val="0"/>
      <w:divBdr>
        <w:top w:val="none" w:sz="0" w:space="0" w:color="auto"/>
        <w:left w:val="none" w:sz="0" w:space="0" w:color="auto"/>
        <w:bottom w:val="none" w:sz="0" w:space="0" w:color="auto"/>
        <w:right w:val="none" w:sz="0" w:space="0" w:color="auto"/>
      </w:divBdr>
    </w:div>
    <w:div w:id="974945536">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985744426">
      <w:bodyDiv w:val="1"/>
      <w:marLeft w:val="0"/>
      <w:marRight w:val="0"/>
      <w:marTop w:val="0"/>
      <w:marBottom w:val="0"/>
      <w:divBdr>
        <w:top w:val="none" w:sz="0" w:space="0" w:color="auto"/>
        <w:left w:val="none" w:sz="0" w:space="0" w:color="auto"/>
        <w:bottom w:val="none" w:sz="0" w:space="0" w:color="auto"/>
        <w:right w:val="none" w:sz="0" w:space="0" w:color="auto"/>
      </w:divBdr>
    </w:div>
    <w:div w:id="986206602">
      <w:bodyDiv w:val="1"/>
      <w:marLeft w:val="0"/>
      <w:marRight w:val="0"/>
      <w:marTop w:val="0"/>
      <w:marBottom w:val="0"/>
      <w:divBdr>
        <w:top w:val="none" w:sz="0" w:space="0" w:color="auto"/>
        <w:left w:val="none" w:sz="0" w:space="0" w:color="auto"/>
        <w:bottom w:val="none" w:sz="0" w:space="0" w:color="auto"/>
        <w:right w:val="none" w:sz="0" w:space="0" w:color="auto"/>
      </w:divBdr>
    </w:div>
    <w:div w:id="989791511">
      <w:bodyDiv w:val="1"/>
      <w:marLeft w:val="0"/>
      <w:marRight w:val="0"/>
      <w:marTop w:val="0"/>
      <w:marBottom w:val="0"/>
      <w:divBdr>
        <w:top w:val="none" w:sz="0" w:space="0" w:color="auto"/>
        <w:left w:val="none" w:sz="0" w:space="0" w:color="auto"/>
        <w:bottom w:val="none" w:sz="0" w:space="0" w:color="auto"/>
        <w:right w:val="none" w:sz="0" w:space="0" w:color="auto"/>
      </w:divBdr>
    </w:div>
    <w:div w:id="994146794">
      <w:bodyDiv w:val="1"/>
      <w:marLeft w:val="0"/>
      <w:marRight w:val="0"/>
      <w:marTop w:val="0"/>
      <w:marBottom w:val="0"/>
      <w:divBdr>
        <w:top w:val="none" w:sz="0" w:space="0" w:color="auto"/>
        <w:left w:val="none" w:sz="0" w:space="0" w:color="auto"/>
        <w:bottom w:val="none" w:sz="0" w:space="0" w:color="auto"/>
        <w:right w:val="none" w:sz="0" w:space="0" w:color="auto"/>
      </w:divBdr>
    </w:div>
    <w:div w:id="1002664294">
      <w:bodyDiv w:val="1"/>
      <w:marLeft w:val="0"/>
      <w:marRight w:val="0"/>
      <w:marTop w:val="0"/>
      <w:marBottom w:val="0"/>
      <w:divBdr>
        <w:top w:val="none" w:sz="0" w:space="0" w:color="auto"/>
        <w:left w:val="none" w:sz="0" w:space="0" w:color="auto"/>
        <w:bottom w:val="none" w:sz="0" w:space="0" w:color="auto"/>
        <w:right w:val="none" w:sz="0" w:space="0" w:color="auto"/>
      </w:divBdr>
    </w:div>
    <w:div w:id="1004237633">
      <w:bodyDiv w:val="1"/>
      <w:marLeft w:val="0"/>
      <w:marRight w:val="0"/>
      <w:marTop w:val="0"/>
      <w:marBottom w:val="0"/>
      <w:divBdr>
        <w:top w:val="none" w:sz="0" w:space="0" w:color="auto"/>
        <w:left w:val="none" w:sz="0" w:space="0" w:color="auto"/>
        <w:bottom w:val="none" w:sz="0" w:space="0" w:color="auto"/>
        <w:right w:val="none" w:sz="0" w:space="0" w:color="auto"/>
      </w:divBdr>
    </w:div>
    <w:div w:id="1007055961">
      <w:bodyDiv w:val="1"/>
      <w:marLeft w:val="0"/>
      <w:marRight w:val="0"/>
      <w:marTop w:val="0"/>
      <w:marBottom w:val="0"/>
      <w:divBdr>
        <w:top w:val="none" w:sz="0" w:space="0" w:color="auto"/>
        <w:left w:val="none" w:sz="0" w:space="0" w:color="auto"/>
        <w:bottom w:val="none" w:sz="0" w:space="0" w:color="auto"/>
        <w:right w:val="none" w:sz="0" w:space="0" w:color="auto"/>
      </w:divBdr>
    </w:div>
    <w:div w:id="1015958542">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18700594">
      <w:bodyDiv w:val="1"/>
      <w:marLeft w:val="0"/>
      <w:marRight w:val="0"/>
      <w:marTop w:val="0"/>
      <w:marBottom w:val="0"/>
      <w:divBdr>
        <w:top w:val="none" w:sz="0" w:space="0" w:color="auto"/>
        <w:left w:val="none" w:sz="0" w:space="0" w:color="auto"/>
        <w:bottom w:val="none" w:sz="0" w:space="0" w:color="auto"/>
        <w:right w:val="none" w:sz="0" w:space="0" w:color="auto"/>
      </w:divBdr>
    </w:div>
    <w:div w:id="1021054809">
      <w:bodyDiv w:val="1"/>
      <w:marLeft w:val="0"/>
      <w:marRight w:val="0"/>
      <w:marTop w:val="0"/>
      <w:marBottom w:val="0"/>
      <w:divBdr>
        <w:top w:val="none" w:sz="0" w:space="0" w:color="auto"/>
        <w:left w:val="none" w:sz="0" w:space="0" w:color="auto"/>
        <w:bottom w:val="none" w:sz="0" w:space="0" w:color="auto"/>
        <w:right w:val="none" w:sz="0" w:space="0" w:color="auto"/>
      </w:divBdr>
    </w:div>
    <w:div w:id="1025054272">
      <w:bodyDiv w:val="1"/>
      <w:marLeft w:val="0"/>
      <w:marRight w:val="0"/>
      <w:marTop w:val="0"/>
      <w:marBottom w:val="0"/>
      <w:divBdr>
        <w:top w:val="none" w:sz="0" w:space="0" w:color="auto"/>
        <w:left w:val="none" w:sz="0" w:space="0" w:color="auto"/>
        <w:bottom w:val="none" w:sz="0" w:space="0" w:color="auto"/>
        <w:right w:val="none" w:sz="0" w:space="0" w:color="auto"/>
      </w:divBdr>
    </w:div>
    <w:div w:id="1027100579">
      <w:bodyDiv w:val="1"/>
      <w:marLeft w:val="0"/>
      <w:marRight w:val="0"/>
      <w:marTop w:val="0"/>
      <w:marBottom w:val="0"/>
      <w:divBdr>
        <w:top w:val="none" w:sz="0" w:space="0" w:color="auto"/>
        <w:left w:val="none" w:sz="0" w:space="0" w:color="auto"/>
        <w:bottom w:val="none" w:sz="0" w:space="0" w:color="auto"/>
        <w:right w:val="none" w:sz="0" w:space="0" w:color="auto"/>
      </w:divBdr>
    </w:div>
    <w:div w:id="1028873105">
      <w:bodyDiv w:val="1"/>
      <w:marLeft w:val="0"/>
      <w:marRight w:val="0"/>
      <w:marTop w:val="0"/>
      <w:marBottom w:val="0"/>
      <w:divBdr>
        <w:top w:val="none" w:sz="0" w:space="0" w:color="auto"/>
        <w:left w:val="none" w:sz="0" w:space="0" w:color="auto"/>
        <w:bottom w:val="none" w:sz="0" w:space="0" w:color="auto"/>
        <w:right w:val="none" w:sz="0" w:space="0" w:color="auto"/>
      </w:divBdr>
    </w:div>
    <w:div w:id="1030183786">
      <w:bodyDiv w:val="1"/>
      <w:marLeft w:val="0"/>
      <w:marRight w:val="0"/>
      <w:marTop w:val="0"/>
      <w:marBottom w:val="0"/>
      <w:divBdr>
        <w:top w:val="none" w:sz="0" w:space="0" w:color="auto"/>
        <w:left w:val="none" w:sz="0" w:space="0" w:color="auto"/>
        <w:bottom w:val="none" w:sz="0" w:space="0" w:color="auto"/>
        <w:right w:val="none" w:sz="0" w:space="0" w:color="auto"/>
      </w:divBdr>
    </w:div>
    <w:div w:id="1034691123">
      <w:bodyDiv w:val="1"/>
      <w:marLeft w:val="0"/>
      <w:marRight w:val="0"/>
      <w:marTop w:val="0"/>
      <w:marBottom w:val="0"/>
      <w:divBdr>
        <w:top w:val="none" w:sz="0" w:space="0" w:color="auto"/>
        <w:left w:val="none" w:sz="0" w:space="0" w:color="auto"/>
        <w:bottom w:val="none" w:sz="0" w:space="0" w:color="auto"/>
        <w:right w:val="none" w:sz="0" w:space="0" w:color="auto"/>
      </w:divBdr>
    </w:div>
    <w:div w:id="1038360477">
      <w:bodyDiv w:val="1"/>
      <w:marLeft w:val="0"/>
      <w:marRight w:val="0"/>
      <w:marTop w:val="0"/>
      <w:marBottom w:val="0"/>
      <w:divBdr>
        <w:top w:val="none" w:sz="0" w:space="0" w:color="auto"/>
        <w:left w:val="none" w:sz="0" w:space="0" w:color="auto"/>
        <w:bottom w:val="none" w:sz="0" w:space="0" w:color="auto"/>
        <w:right w:val="none" w:sz="0" w:space="0" w:color="auto"/>
      </w:divBdr>
    </w:div>
    <w:div w:id="1038890733">
      <w:bodyDiv w:val="1"/>
      <w:marLeft w:val="0"/>
      <w:marRight w:val="0"/>
      <w:marTop w:val="0"/>
      <w:marBottom w:val="0"/>
      <w:divBdr>
        <w:top w:val="none" w:sz="0" w:space="0" w:color="auto"/>
        <w:left w:val="none" w:sz="0" w:space="0" w:color="auto"/>
        <w:bottom w:val="none" w:sz="0" w:space="0" w:color="auto"/>
        <w:right w:val="none" w:sz="0" w:space="0" w:color="auto"/>
      </w:divBdr>
    </w:div>
    <w:div w:id="1040668632">
      <w:bodyDiv w:val="1"/>
      <w:marLeft w:val="0"/>
      <w:marRight w:val="0"/>
      <w:marTop w:val="0"/>
      <w:marBottom w:val="0"/>
      <w:divBdr>
        <w:top w:val="none" w:sz="0" w:space="0" w:color="auto"/>
        <w:left w:val="none" w:sz="0" w:space="0" w:color="auto"/>
        <w:bottom w:val="none" w:sz="0" w:space="0" w:color="auto"/>
        <w:right w:val="none" w:sz="0" w:space="0" w:color="auto"/>
      </w:divBdr>
    </w:div>
    <w:div w:id="1045257012">
      <w:bodyDiv w:val="1"/>
      <w:marLeft w:val="0"/>
      <w:marRight w:val="0"/>
      <w:marTop w:val="0"/>
      <w:marBottom w:val="0"/>
      <w:divBdr>
        <w:top w:val="none" w:sz="0" w:space="0" w:color="auto"/>
        <w:left w:val="none" w:sz="0" w:space="0" w:color="auto"/>
        <w:bottom w:val="none" w:sz="0" w:space="0" w:color="auto"/>
        <w:right w:val="none" w:sz="0" w:space="0" w:color="auto"/>
      </w:divBdr>
    </w:div>
    <w:div w:id="1045373253">
      <w:bodyDiv w:val="1"/>
      <w:marLeft w:val="0"/>
      <w:marRight w:val="0"/>
      <w:marTop w:val="0"/>
      <w:marBottom w:val="0"/>
      <w:divBdr>
        <w:top w:val="none" w:sz="0" w:space="0" w:color="auto"/>
        <w:left w:val="none" w:sz="0" w:space="0" w:color="auto"/>
        <w:bottom w:val="none" w:sz="0" w:space="0" w:color="auto"/>
        <w:right w:val="none" w:sz="0" w:space="0" w:color="auto"/>
      </w:divBdr>
    </w:div>
    <w:div w:id="1046372251">
      <w:bodyDiv w:val="1"/>
      <w:marLeft w:val="0"/>
      <w:marRight w:val="0"/>
      <w:marTop w:val="0"/>
      <w:marBottom w:val="0"/>
      <w:divBdr>
        <w:top w:val="none" w:sz="0" w:space="0" w:color="auto"/>
        <w:left w:val="none" w:sz="0" w:space="0" w:color="auto"/>
        <w:bottom w:val="none" w:sz="0" w:space="0" w:color="auto"/>
        <w:right w:val="none" w:sz="0" w:space="0" w:color="auto"/>
      </w:divBdr>
    </w:div>
    <w:div w:id="1046444773">
      <w:bodyDiv w:val="1"/>
      <w:marLeft w:val="0"/>
      <w:marRight w:val="0"/>
      <w:marTop w:val="0"/>
      <w:marBottom w:val="0"/>
      <w:divBdr>
        <w:top w:val="none" w:sz="0" w:space="0" w:color="auto"/>
        <w:left w:val="none" w:sz="0" w:space="0" w:color="auto"/>
        <w:bottom w:val="none" w:sz="0" w:space="0" w:color="auto"/>
        <w:right w:val="none" w:sz="0" w:space="0" w:color="auto"/>
      </w:divBdr>
    </w:div>
    <w:div w:id="1047801778">
      <w:bodyDiv w:val="1"/>
      <w:marLeft w:val="0"/>
      <w:marRight w:val="0"/>
      <w:marTop w:val="0"/>
      <w:marBottom w:val="0"/>
      <w:divBdr>
        <w:top w:val="none" w:sz="0" w:space="0" w:color="auto"/>
        <w:left w:val="none" w:sz="0" w:space="0" w:color="auto"/>
        <w:bottom w:val="none" w:sz="0" w:space="0" w:color="auto"/>
        <w:right w:val="none" w:sz="0" w:space="0" w:color="auto"/>
      </w:divBdr>
    </w:div>
    <w:div w:id="1052540453">
      <w:bodyDiv w:val="1"/>
      <w:marLeft w:val="0"/>
      <w:marRight w:val="0"/>
      <w:marTop w:val="0"/>
      <w:marBottom w:val="0"/>
      <w:divBdr>
        <w:top w:val="none" w:sz="0" w:space="0" w:color="auto"/>
        <w:left w:val="none" w:sz="0" w:space="0" w:color="auto"/>
        <w:bottom w:val="none" w:sz="0" w:space="0" w:color="auto"/>
        <w:right w:val="none" w:sz="0" w:space="0" w:color="auto"/>
      </w:divBdr>
      <w:divsChild>
        <w:div w:id="286620115">
          <w:marLeft w:val="0"/>
          <w:marRight w:val="0"/>
          <w:marTop w:val="0"/>
          <w:marBottom w:val="0"/>
          <w:divBdr>
            <w:top w:val="none" w:sz="0" w:space="0" w:color="auto"/>
            <w:left w:val="none" w:sz="0" w:space="0" w:color="auto"/>
            <w:bottom w:val="none" w:sz="0" w:space="0" w:color="auto"/>
            <w:right w:val="none" w:sz="0" w:space="0" w:color="auto"/>
          </w:divBdr>
        </w:div>
        <w:div w:id="736708421">
          <w:marLeft w:val="0"/>
          <w:marRight w:val="0"/>
          <w:marTop w:val="0"/>
          <w:marBottom w:val="0"/>
          <w:divBdr>
            <w:top w:val="none" w:sz="0" w:space="0" w:color="auto"/>
            <w:left w:val="none" w:sz="0" w:space="0" w:color="auto"/>
            <w:bottom w:val="none" w:sz="0" w:space="0" w:color="auto"/>
            <w:right w:val="none" w:sz="0" w:space="0" w:color="auto"/>
          </w:divBdr>
        </w:div>
        <w:div w:id="1123495543">
          <w:marLeft w:val="0"/>
          <w:marRight w:val="0"/>
          <w:marTop w:val="0"/>
          <w:marBottom w:val="0"/>
          <w:divBdr>
            <w:top w:val="none" w:sz="0" w:space="0" w:color="auto"/>
            <w:left w:val="none" w:sz="0" w:space="0" w:color="auto"/>
            <w:bottom w:val="none" w:sz="0" w:space="0" w:color="auto"/>
            <w:right w:val="none" w:sz="0" w:space="0" w:color="auto"/>
          </w:divBdr>
        </w:div>
      </w:divsChild>
    </w:div>
    <w:div w:id="1063989033">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70158874">
      <w:bodyDiv w:val="1"/>
      <w:marLeft w:val="0"/>
      <w:marRight w:val="0"/>
      <w:marTop w:val="0"/>
      <w:marBottom w:val="0"/>
      <w:divBdr>
        <w:top w:val="none" w:sz="0" w:space="0" w:color="auto"/>
        <w:left w:val="none" w:sz="0" w:space="0" w:color="auto"/>
        <w:bottom w:val="none" w:sz="0" w:space="0" w:color="auto"/>
        <w:right w:val="none" w:sz="0" w:space="0" w:color="auto"/>
      </w:divBdr>
    </w:div>
    <w:div w:id="10704247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825">
          <w:marLeft w:val="0"/>
          <w:marRight w:val="0"/>
          <w:marTop w:val="0"/>
          <w:marBottom w:val="0"/>
          <w:divBdr>
            <w:top w:val="none" w:sz="0" w:space="0" w:color="auto"/>
            <w:left w:val="none" w:sz="0" w:space="0" w:color="auto"/>
            <w:bottom w:val="none" w:sz="0" w:space="0" w:color="auto"/>
            <w:right w:val="none" w:sz="0" w:space="0" w:color="auto"/>
          </w:divBdr>
        </w:div>
      </w:divsChild>
    </w:div>
    <w:div w:id="1073623592">
      <w:bodyDiv w:val="1"/>
      <w:marLeft w:val="0"/>
      <w:marRight w:val="0"/>
      <w:marTop w:val="0"/>
      <w:marBottom w:val="0"/>
      <w:divBdr>
        <w:top w:val="none" w:sz="0" w:space="0" w:color="auto"/>
        <w:left w:val="none" w:sz="0" w:space="0" w:color="auto"/>
        <w:bottom w:val="none" w:sz="0" w:space="0" w:color="auto"/>
        <w:right w:val="none" w:sz="0" w:space="0" w:color="auto"/>
      </w:divBdr>
    </w:div>
    <w:div w:id="1074619867">
      <w:bodyDiv w:val="1"/>
      <w:marLeft w:val="0"/>
      <w:marRight w:val="0"/>
      <w:marTop w:val="0"/>
      <w:marBottom w:val="0"/>
      <w:divBdr>
        <w:top w:val="none" w:sz="0" w:space="0" w:color="auto"/>
        <w:left w:val="none" w:sz="0" w:space="0" w:color="auto"/>
        <w:bottom w:val="none" w:sz="0" w:space="0" w:color="auto"/>
        <w:right w:val="none" w:sz="0" w:space="0" w:color="auto"/>
      </w:divBdr>
    </w:div>
    <w:div w:id="1077705016">
      <w:bodyDiv w:val="1"/>
      <w:marLeft w:val="0"/>
      <w:marRight w:val="0"/>
      <w:marTop w:val="0"/>
      <w:marBottom w:val="0"/>
      <w:divBdr>
        <w:top w:val="none" w:sz="0" w:space="0" w:color="auto"/>
        <w:left w:val="none" w:sz="0" w:space="0" w:color="auto"/>
        <w:bottom w:val="none" w:sz="0" w:space="0" w:color="auto"/>
        <w:right w:val="none" w:sz="0" w:space="0" w:color="auto"/>
      </w:divBdr>
    </w:div>
    <w:div w:id="1081290222">
      <w:bodyDiv w:val="1"/>
      <w:marLeft w:val="0"/>
      <w:marRight w:val="0"/>
      <w:marTop w:val="0"/>
      <w:marBottom w:val="0"/>
      <w:divBdr>
        <w:top w:val="none" w:sz="0" w:space="0" w:color="auto"/>
        <w:left w:val="none" w:sz="0" w:space="0" w:color="auto"/>
        <w:bottom w:val="none" w:sz="0" w:space="0" w:color="auto"/>
        <w:right w:val="none" w:sz="0" w:space="0" w:color="auto"/>
      </w:divBdr>
    </w:div>
    <w:div w:id="1081945072">
      <w:bodyDiv w:val="1"/>
      <w:marLeft w:val="0"/>
      <w:marRight w:val="0"/>
      <w:marTop w:val="0"/>
      <w:marBottom w:val="0"/>
      <w:divBdr>
        <w:top w:val="none" w:sz="0" w:space="0" w:color="auto"/>
        <w:left w:val="none" w:sz="0" w:space="0" w:color="auto"/>
        <w:bottom w:val="none" w:sz="0" w:space="0" w:color="auto"/>
        <w:right w:val="none" w:sz="0" w:space="0" w:color="auto"/>
      </w:divBdr>
    </w:div>
    <w:div w:id="1083378234">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086993428">
      <w:bodyDiv w:val="1"/>
      <w:marLeft w:val="0"/>
      <w:marRight w:val="0"/>
      <w:marTop w:val="0"/>
      <w:marBottom w:val="0"/>
      <w:divBdr>
        <w:top w:val="none" w:sz="0" w:space="0" w:color="auto"/>
        <w:left w:val="none" w:sz="0" w:space="0" w:color="auto"/>
        <w:bottom w:val="none" w:sz="0" w:space="0" w:color="auto"/>
        <w:right w:val="none" w:sz="0" w:space="0" w:color="auto"/>
      </w:divBdr>
    </w:div>
    <w:div w:id="1088648736">
      <w:bodyDiv w:val="1"/>
      <w:marLeft w:val="0"/>
      <w:marRight w:val="0"/>
      <w:marTop w:val="0"/>
      <w:marBottom w:val="0"/>
      <w:divBdr>
        <w:top w:val="none" w:sz="0" w:space="0" w:color="auto"/>
        <w:left w:val="none" w:sz="0" w:space="0" w:color="auto"/>
        <w:bottom w:val="none" w:sz="0" w:space="0" w:color="auto"/>
        <w:right w:val="none" w:sz="0" w:space="0" w:color="auto"/>
      </w:divBdr>
    </w:div>
    <w:div w:id="1090469706">
      <w:bodyDiv w:val="1"/>
      <w:marLeft w:val="0"/>
      <w:marRight w:val="0"/>
      <w:marTop w:val="0"/>
      <w:marBottom w:val="0"/>
      <w:divBdr>
        <w:top w:val="none" w:sz="0" w:space="0" w:color="auto"/>
        <w:left w:val="none" w:sz="0" w:space="0" w:color="auto"/>
        <w:bottom w:val="none" w:sz="0" w:space="0" w:color="auto"/>
        <w:right w:val="none" w:sz="0" w:space="0" w:color="auto"/>
      </w:divBdr>
    </w:div>
    <w:div w:id="1092048763">
      <w:bodyDiv w:val="1"/>
      <w:marLeft w:val="0"/>
      <w:marRight w:val="0"/>
      <w:marTop w:val="0"/>
      <w:marBottom w:val="0"/>
      <w:divBdr>
        <w:top w:val="none" w:sz="0" w:space="0" w:color="auto"/>
        <w:left w:val="none" w:sz="0" w:space="0" w:color="auto"/>
        <w:bottom w:val="none" w:sz="0" w:space="0" w:color="auto"/>
        <w:right w:val="none" w:sz="0" w:space="0" w:color="auto"/>
      </w:divBdr>
    </w:div>
    <w:div w:id="1093280936">
      <w:bodyDiv w:val="1"/>
      <w:marLeft w:val="0"/>
      <w:marRight w:val="0"/>
      <w:marTop w:val="0"/>
      <w:marBottom w:val="0"/>
      <w:divBdr>
        <w:top w:val="none" w:sz="0" w:space="0" w:color="auto"/>
        <w:left w:val="none" w:sz="0" w:space="0" w:color="auto"/>
        <w:bottom w:val="none" w:sz="0" w:space="0" w:color="auto"/>
        <w:right w:val="none" w:sz="0" w:space="0" w:color="auto"/>
      </w:divBdr>
    </w:div>
    <w:div w:id="1098140161">
      <w:bodyDiv w:val="1"/>
      <w:marLeft w:val="0"/>
      <w:marRight w:val="0"/>
      <w:marTop w:val="0"/>
      <w:marBottom w:val="0"/>
      <w:divBdr>
        <w:top w:val="none" w:sz="0" w:space="0" w:color="auto"/>
        <w:left w:val="none" w:sz="0" w:space="0" w:color="auto"/>
        <w:bottom w:val="none" w:sz="0" w:space="0" w:color="auto"/>
        <w:right w:val="none" w:sz="0" w:space="0" w:color="auto"/>
      </w:divBdr>
    </w:div>
    <w:div w:id="1100637338">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09200885">
      <w:bodyDiv w:val="1"/>
      <w:marLeft w:val="0"/>
      <w:marRight w:val="0"/>
      <w:marTop w:val="0"/>
      <w:marBottom w:val="0"/>
      <w:divBdr>
        <w:top w:val="none" w:sz="0" w:space="0" w:color="auto"/>
        <w:left w:val="none" w:sz="0" w:space="0" w:color="auto"/>
        <w:bottom w:val="none" w:sz="0" w:space="0" w:color="auto"/>
        <w:right w:val="none" w:sz="0" w:space="0" w:color="auto"/>
      </w:divBdr>
    </w:div>
    <w:div w:id="1116102474">
      <w:bodyDiv w:val="1"/>
      <w:marLeft w:val="0"/>
      <w:marRight w:val="0"/>
      <w:marTop w:val="0"/>
      <w:marBottom w:val="0"/>
      <w:divBdr>
        <w:top w:val="none" w:sz="0" w:space="0" w:color="auto"/>
        <w:left w:val="none" w:sz="0" w:space="0" w:color="auto"/>
        <w:bottom w:val="none" w:sz="0" w:space="0" w:color="auto"/>
        <w:right w:val="none" w:sz="0" w:space="0" w:color="auto"/>
      </w:divBdr>
      <w:divsChild>
        <w:div w:id="815609499">
          <w:marLeft w:val="0"/>
          <w:marRight w:val="0"/>
          <w:marTop w:val="0"/>
          <w:marBottom w:val="0"/>
          <w:divBdr>
            <w:top w:val="none" w:sz="0" w:space="0" w:color="auto"/>
            <w:left w:val="none" w:sz="0" w:space="0" w:color="auto"/>
            <w:bottom w:val="none" w:sz="0" w:space="0" w:color="auto"/>
            <w:right w:val="none" w:sz="0" w:space="0" w:color="auto"/>
          </w:divBdr>
        </w:div>
        <w:div w:id="341207473">
          <w:marLeft w:val="0"/>
          <w:marRight w:val="0"/>
          <w:marTop w:val="0"/>
          <w:marBottom w:val="0"/>
          <w:divBdr>
            <w:top w:val="none" w:sz="0" w:space="0" w:color="auto"/>
            <w:left w:val="none" w:sz="0" w:space="0" w:color="auto"/>
            <w:bottom w:val="none" w:sz="0" w:space="0" w:color="auto"/>
            <w:right w:val="none" w:sz="0" w:space="0" w:color="auto"/>
          </w:divBdr>
          <w:divsChild>
            <w:div w:id="633367346">
              <w:marLeft w:val="0"/>
              <w:marRight w:val="0"/>
              <w:marTop w:val="0"/>
              <w:marBottom w:val="0"/>
              <w:divBdr>
                <w:top w:val="none" w:sz="0" w:space="0" w:color="auto"/>
                <w:left w:val="none" w:sz="0" w:space="0" w:color="auto"/>
                <w:bottom w:val="none" w:sz="0" w:space="0" w:color="auto"/>
                <w:right w:val="none" w:sz="0" w:space="0" w:color="auto"/>
              </w:divBdr>
              <w:divsChild>
                <w:div w:id="20185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7215">
      <w:bodyDiv w:val="1"/>
      <w:marLeft w:val="0"/>
      <w:marRight w:val="0"/>
      <w:marTop w:val="0"/>
      <w:marBottom w:val="0"/>
      <w:divBdr>
        <w:top w:val="none" w:sz="0" w:space="0" w:color="auto"/>
        <w:left w:val="none" w:sz="0" w:space="0" w:color="auto"/>
        <w:bottom w:val="none" w:sz="0" w:space="0" w:color="auto"/>
        <w:right w:val="none" w:sz="0" w:space="0" w:color="auto"/>
      </w:divBdr>
    </w:div>
    <w:div w:id="1123495442">
      <w:bodyDiv w:val="1"/>
      <w:marLeft w:val="0"/>
      <w:marRight w:val="0"/>
      <w:marTop w:val="0"/>
      <w:marBottom w:val="0"/>
      <w:divBdr>
        <w:top w:val="none" w:sz="0" w:space="0" w:color="auto"/>
        <w:left w:val="none" w:sz="0" w:space="0" w:color="auto"/>
        <w:bottom w:val="none" w:sz="0" w:space="0" w:color="auto"/>
        <w:right w:val="none" w:sz="0" w:space="0" w:color="auto"/>
      </w:divBdr>
    </w:div>
    <w:div w:id="1126121228">
      <w:bodyDiv w:val="1"/>
      <w:marLeft w:val="0"/>
      <w:marRight w:val="0"/>
      <w:marTop w:val="0"/>
      <w:marBottom w:val="0"/>
      <w:divBdr>
        <w:top w:val="none" w:sz="0" w:space="0" w:color="auto"/>
        <w:left w:val="none" w:sz="0" w:space="0" w:color="auto"/>
        <w:bottom w:val="none" w:sz="0" w:space="0" w:color="auto"/>
        <w:right w:val="none" w:sz="0" w:space="0" w:color="auto"/>
      </w:divBdr>
    </w:div>
    <w:div w:id="1132479019">
      <w:bodyDiv w:val="1"/>
      <w:marLeft w:val="0"/>
      <w:marRight w:val="0"/>
      <w:marTop w:val="0"/>
      <w:marBottom w:val="0"/>
      <w:divBdr>
        <w:top w:val="none" w:sz="0" w:space="0" w:color="auto"/>
        <w:left w:val="none" w:sz="0" w:space="0" w:color="auto"/>
        <w:bottom w:val="none" w:sz="0" w:space="0" w:color="auto"/>
        <w:right w:val="none" w:sz="0" w:space="0" w:color="auto"/>
      </w:divBdr>
    </w:div>
    <w:div w:id="1135414923">
      <w:bodyDiv w:val="1"/>
      <w:marLeft w:val="0"/>
      <w:marRight w:val="0"/>
      <w:marTop w:val="0"/>
      <w:marBottom w:val="0"/>
      <w:divBdr>
        <w:top w:val="none" w:sz="0" w:space="0" w:color="auto"/>
        <w:left w:val="none" w:sz="0" w:space="0" w:color="auto"/>
        <w:bottom w:val="none" w:sz="0" w:space="0" w:color="auto"/>
        <w:right w:val="none" w:sz="0" w:space="0" w:color="auto"/>
      </w:divBdr>
      <w:divsChild>
        <w:div w:id="1718314423">
          <w:marLeft w:val="0"/>
          <w:marRight w:val="0"/>
          <w:marTop w:val="0"/>
          <w:marBottom w:val="0"/>
          <w:divBdr>
            <w:top w:val="none" w:sz="0" w:space="0" w:color="auto"/>
            <w:left w:val="none" w:sz="0" w:space="0" w:color="auto"/>
            <w:bottom w:val="none" w:sz="0" w:space="0" w:color="auto"/>
            <w:right w:val="none" w:sz="0" w:space="0" w:color="auto"/>
          </w:divBdr>
        </w:div>
        <w:div w:id="1079250913">
          <w:marLeft w:val="0"/>
          <w:marRight w:val="0"/>
          <w:marTop w:val="0"/>
          <w:marBottom w:val="0"/>
          <w:divBdr>
            <w:top w:val="none" w:sz="0" w:space="0" w:color="auto"/>
            <w:left w:val="none" w:sz="0" w:space="0" w:color="auto"/>
            <w:bottom w:val="none" w:sz="0" w:space="0" w:color="auto"/>
            <w:right w:val="none" w:sz="0" w:space="0" w:color="auto"/>
          </w:divBdr>
        </w:div>
        <w:div w:id="712340404">
          <w:marLeft w:val="0"/>
          <w:marRight w:val="0"/>
          <w:marTop w:val="0"/>
          <w:marBottom w:val="0"/>
          <w:divBdr>
            <w:top w:val="none" w:sz="0" w:space="0" w:color="auto"/>
            <w:left w:val="none" w:sz="0" w:space="0" w:color="auto"/>
            <w:bottom w:val="none" w:sz="0" w:space="0" w:color="auto"/>
            <w:right w:val="none" w:sz="0" w:space="0" w:color="auto"/>
          </w:divBdr>
        </w:div>
        <w:div w:id="1946300497">
          <w:marLeft w:val="0"/>
          <w:marRight w:val="0"/>
          <w:marTop w:val="0"/>
          <w:marBottom w:val="0"/>
          <w:divBdr>
            <w:top w:val="none" w:sz="0" w:space="0" w:color="auto"/>
            <w:left w:val="none" w:sz="0" w:space="0" w:color="auto"/>
            <w:bottom w:val="none" w:sz="0" w:space="0" w:color="auto"/>
            <w:right w:val="none" w:sz="0" w:space="0" w:color="auto"/>
          </w:divBdr>
        </w:div>
        <w:div w:id="657459696">
          <w:marLeft w:val="0"/>
          <w:marRight w:val="0"/>
          <w:marTop w:val="0"/>
          <w:marBottom w:val="0"/>
          <w:divBdr>
            <w:top w:val="none" w:sz="0" w:space="0" w:color="auto"/>
            <w:left w:val="none" w:sz="0" w:space="0" w:color="auto"/>
            <w:bottom w:val="none" w:sz="0" w:space="0" w:color="auto"/>
            <w:right w:val="none" w:sz="0" w:space="0" w:color="auto"/>
          </w:divBdr>
        </w:div>
      </w:divsChild>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37333126">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46438393">
      <w:bodyDiv w:val="1"/>
      <w:marLeft w:val="0"/>
      <w:marRight w:val="0"/>
      <w:marTop w:val="0"/>
      <w:marBottom w:val="0"/>
      <w:divBdr>
        <w:top w:val="none" w:sz="0" w:space="0" w:color="auto"/>
        <w:left w:val="none" w:sz="0" w:space="0" w:color="auto"/>
        <w:bottom w:val="none" w:sz="0" w:space="0" w:color="auto"/>
        <w:right w:val="none" w:sz="0" w:space="0" w:color="auto"/>
      </w:divBdr>
    </w:div>
    <w:div w:id="1147551882">
      <w:bodyDiv w:val="1"/>
      <w:marLeft w:val="0"/>
      <w:marRight w:val="0"/>
      <w:marTop w:val="0"/>
      <w:marBottom w:val="0"/>
      <w:divBdr>
        <w:top w:val="none" w:sz="0" w:space="0" w:color="auto"/>
        <w:left w:val="none" w:sz="0" w:space="0" w:color="auto"/>
        <w:bottom w:val="none" w:sz="0" w:space="0" w:color="auto"/>
        <w:right w:val="none" w:sz="0" w:space="0" w:color="auto"/>
      </w:divBdr>
    </w:div>
    <w:div w:id="1149857555">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54293349">
      <w:bodyDiv w:val="1"/>
      <w:marLeft w:val="0"/>
      <w:marRight w:val="0"/>
      <w:marTop w:val="0"/>
      <w:marBottom w:val="0"/>
      <w:divBdr>
        <w:top w:val="none" w:sz="0" w:space="0" w:color="auto"/>
        <w:left w:val="none" w:sz="0" w:space="0" w:color="auto"/>
        <w:bottom w:val="none" w:sz="0" w:space="0" w:color="auto"/>
        <w:right w:val="none" w:sz="0" w:space="0" w:color="auto"/>
      </w:divBdr>
      <w:divsChild>
        <w:div w:id="992413654">
          <w:marLeft w:val="0"/>
          <w:marRight w:val="0"/>
          <w:marTop w:val="0"/>
          <w:marBottom w:val="0"/>
          <w:divBdr>
            <w:top w:val="none" w:sz="0" w:space="0" w:color="auto"/>
            <w:left w:val="none" w:sz="0" w:space="0" w:color="auto"/>
            <w:bottom w:val="none" w:sz="0" w:space="0" w:color="auto"/>
            <w:right w:val="none" w:sz="0" w:space="0" w:color="auto"/>
          </w:divBdr>
        </w:div>
        <w:div w:id="756907227">
          <w:marLeft w:val="0"/>
          <w:marRight w:val="0"/>
          <w:marTop w:val="0"/>
          <w:marBottom w:val="0"/>
          <w:divBdr>
            <w:top w:val="none" w:sz="0" w:space="0" w:color="auto"/>
            <w:left w:val="none" w:sz="0" w:space="0" w:color="auto"/>
            <w:bottom w:val="none" w:sz="0" w:space="0" w:color="auto"/>
            <w:right w:val="none" w:sz="0" w:space="0" w:color="auto"/>
          </w:divBdr>
        </w:div>
        <w:div w:id="157431142">
          <w:marLeft w:val="0"/>
          <w:marRight w:val="0"/>
          <w:marTop w:val="0"/>
          <w:marBottom w:val="0"/>
          <w:divBdr>
            <w:top w:val="none" w:sz="0" w:space="0" w:color="auto"/>
            <w:left w:val="none" w:sz="0" w:space="0" w:color="auto"/>
            <w:bottom w:val="none" w:sz="0" w:space="0" w:color="auto"/>
            <w:right w:val="none" w:sz="0" w:space="0" w:color="auto"/>
          </w:divBdr>
        </w:div>
        <w:div w:id="857887957">
          <w:marLeft w:val="0"/>
          <w:marRight w:val="0"/>
          <w:marTop w:val="0"/>
          <w:marBottom w:val="0"/>
          <w:divBdr>
            <w:top w:val="none" w:sz="0" w:space="0" w:color="auto"/>
            <w:left w:val="none" w:sz="0" w:space="0" w:color="auto"/>
            <w:bottom w:val="none" w:sz="0" w:space="0" w:color="auto"/>
            <w:right w:val="none" w:sz="0" w:space="0" w:color="auto"/>
          </w:divBdr>
        </w:div>
        <w:div w:id="174729798">
          <w:marLeft w:val="0"/>
          <w:marRight w:val="0"/>
          <w:marTop w:val="0"/>
          <w:marBottom w:val="0"/>
          <w:divBdr>
            <w:top w:val="none" w:sz="0" w:space="0" w:color="auto"/>
            <w:left w:val="none" w:sz="0" w:space="0" w:color="auto"/>
            <w:bottom w:val="none" w:sz="0" w:space="0" w:color="auto"/>
            <w:right w:val="none" w:sz="0" w:space="0" w:color="auto"/>
          </w:divBdr>
        </w:div>
        <w:div w:id="1138181636">
          <w:marLeft w:val="0"/>
          <w:marRight w:val="0"/>
          <w:marTop w:val="0"/>
          <w:marBottom w:val="0"/>
          <w:divBdr>
            <w:top w:val="none" w:sz="0" w:space="0" w:color="auto"/>
            <w:left w:val="none" w:sz="0" w:space="0" w:color="auto"/>
            <w:bottom w:val="none" w:sz="0" w:space="0" w:color="auto"/>
            <w:right w:val="none" w:sz="0" w:space="0" w:color="auto"/>
          </w:divBdr>
        </w:div>
        <w:div w:id="806237587">
          <w:marLeft w:val="0"/>
          <w:marRight w:val="0"/>
          <w:marTop w:val="0"/>
          <w:marBottom w:val="0"/>
          <w:divBdr>
            <w:top w:val="none" w:sz="0" w:space="0" w:color="auto"/>
            <w:left w:val="none" w:sz="0" w:space="0" w:color="auto"/>
            <w:bottom w:val="none" w:sz="0" w:space="0" w:color="auto"/>
            <w:right w:val="none" w:sz="0" w:space="0" w:color="auto"/>
          </w:divBdr>
        </w:div>
        <w:div w:id="1813672308">
          <w:marLeft w:val="0"/>
          <w:marRight w:val="0"/>
          <w:marTop w:val="0"/>
          <w:marBottom w:val="0"/>
          <w:divBdr>
            <w:top w:val="none" w:sz="0" w:space="0" w:color="auto"/>
            <w:left w:val="none" w:sz="0" w:space="0" w:color="auto"/>
            <w:bottom w:val="none" w:sz="0" w:space="0" w:color="auto"/>
            <w:right w:val="none" w:sz="0" w:space="0" w:color="auto"/>
          </w:divBdr>
        </w:div>
        <w:div w:id="493767997">
          <w:marLeft w:val="0"/>
          <w:marRight w:val="0"/>
          <w:marTop w:val="0"/>
          <w:marBottom w:val="0"/>
          <w:divBdr>
            <w:top w:val="none" w:sz="0" w:space="0" w:color="auto"/>
            <w:left w:val="none" w:sz="0" w:space="0" w:color="auto"/>
            <w:bottom w:val="none" w:sz="0" w:space="0" w:color="auto"/>
            <w:right w:val="none" w:sz="0" w:space="0" w:color="auto"/>
          </w:divBdr>
        </w:div>
        <w:div w:id="1136994380">
          <w:marLeft w:val="0"/>
          <w:marRight w:val="0"/>
          <w:marTop w:val="0"/>
          <w:marBottom w:val="0"/>
          <w:divBdr>
            <w:top w:val="none" w:sz="0" w:space="0" w:color="auto"/>
            <w:left w:val="none" w:sz="0" w:space="0" w:color="auto"/>
            <w:bottom w:val="none" w:sz="0" w:space="0" w:color="auto"/>
            <w:right w:val="none" w:sz="0" w:space="0" w:color="auto"/>
          </w:divBdr>
        </w:div>
        <w:div w:id="1987318857">
          <w:marLeft w:val="0"/>
          <w:marRight w:val="0"/>
          <w:marTop w:val="0"/>
          <w:marBottom w:val="0"/>
          <w:divBdr>
            <w:top w:val="none" w:sz="0" w:space="0" w:color="auto"/>
            <w:left w:val="none" w:sz="0" w:space="0" w:color="auto"/>
            <w:bottom w:val="none" w:sz="0" w:space="0" w:color="auto"/>
            <w:right w:val="none" w:sz="0" w:space="0" w:color="auto"/>
          </w:divBdr>
        </w:div>
        <w:div w:id="899751526">
          <w:marLeft w:val="0"/>
          <w:marRight w:val="0"/>
          <w:marTop w:val="0"/>
          <w:marBottom w:val="0"/>
          <w:divBdr>
            <w:top w:val="none" w:sz="0" w:space="0" w:color="auto"/>
            <w:left w:val="none" w:sz="0" w:space="0" w:color="auto"/>
            <w:bottom w:val="none" w:sz="0" w:space="0" w:color="auto"/>
            <w:right w:val="none" w:sz="0" w:space="0" w:color="auto"/>
          </w:divBdr>
        </w:div>
        <w:div w:id="1355494383">
          <w:marLeft w:val="0"/>
          <w:marRight w:val="0"/>
          <w:marTop w:val="0"/>
          <w:marBottom w:val="0"/>
          <w:divBdr>
            <w:top w:val="none" w:sz="0" w:space="0" w:color="auto"/>
            <w:left w:val="none" w:sz="0" w:space="0" w:color="auto"/>
            <w:bottom w:val="none" w:sz="0" w:space="0" w:color="auto"/>
            <w:right w:val="none" w:sz="0" w:space="0" w:color="auto"/>
          </w:divBdr>
        </w:div>
        <w:div w:id="1861552599">
          <w:marLeft w:val="0"/>
          <w:marRight w:val="0"/>
          <w:marTop w:val="0"/>
          <w:marBottom w:val="0"/>
          <w:divBdr>
            <w:top w:val="none" w:sz="0" w:space="0" w:color="auto"/>
            <w:left w:val="none" w:sz="0" w:space="0" w:color="auto"/>
            <w:bottom w:val="none" w:sz="0" w:space="0" w:color="auto"/>
            <w:right w:val="none" w:sz="0" w:space="0" w:color="auto"/>
          </w:divBdr>
        </w:div>
        <w:div w:id="454448991">
          <w:marLeft w:val="0"/>
          <w:marRight w:val="0"/>
          <w:marTop w:val="0"/>
          <w:marBottom w:val="0"/>
          <w:divBdr>
            <w:top w:val="none" w:sz="0" w:space="0" w:color="auto"/>
            <w:left w:val="none" w:sz="0" w:space="0" w:color="auto"/>
            <w:bottom w:val="none" w:sz="0" w:space="0" w:color="auto"/>
            <w:right w:val="none" w:sz="0" w:space="0" w:color="auto"/>
          </w:divBdr>
        </w:div>
        <w:div w:id="171535718">
          <w:marLeft w:val="0"/>
          <w:marRight w:val="0"/>
          <w:marTop w:val="0"/>
          <w:marBottom w:val="0"/>
          <w:divBdr>
            <w:top w:val="none" w:sz="0" w:space="0" w:color="auto"/>
            <w:left w:val="none" w:sz="0" w:space="0" w:color="auto"/>
            <w:bottom w:val="none" w:sz="0" w:space="0" w:color="auto"/>
            <w:right w:val="none" w:sz="0" w:space="0" w:color="auto"/>
          </w:divBdr>
        </w:div>
        <w:div w:id="154614498">
          <w:marLeft w:val="0"/>
          <w:marRight w:val="0"/>
          <w:marTop w:val="0"/>
          <w:marBottom w:val="0"/>
          <w:divBdr>
            <w:top w:val="none" w:sz="0" w:space="0" w:color="auto"/>
            <w:left w:val="none" w:sz="0" w:space="0" w:color="auto"/>
            <w:bottom w:val="none" w:sz="0" w:space="0" w:color="auto"/>
            <w:right w:val="none" w:sz="0" w:space="0" w:color="auto"/>
          </w:divBdr>
        </w:div>
        <w:div w:id="334848000">
          <w:marLeft w:val="0"/>
          <w:marRight w:val="0"/>
          <w:marTop w:val="0"/>
          <w:marBottom w:val="0"/>
          <w:divBdr>
            <w:top w:val="none" w:sz="0" w:space="0" w:color="auto"/>
            <w:left w:val="none" w:sz="0" w:space="0" w:color="auto"/>
            <w:bottom w:val="none" w:sz="0" w:space="0" w:color="auto"/>
            <w:right w:val="none" w:sz="0" w:space="0" w:color="auto"/>
          </w:divBdr>
        </w:div>
        <w:div w:id="2123760403">
          <w:marLeft w:val="0"/>
          <w:marRight w:val="0"/>
          <w:marTop w:val="0"/>
          <w:marBottom w:val="0"/>
          <w:divBdr>
            <w:top w:val="none" w:sz="0" w:space="0" w:color="auto"/>
            <w:left w:val="none" w:sz="0" w:space="0" w:color="auto"/>
            <w:bottom w:val="none" w:sz="0" w:space="0" w:color="auto"/>
            <w:right w:val="none" w:sz="0" w:space="0" w:color="auto"/>
          </w:divBdr>
        </w:div>
        <w:div w:id="1805809794">
          <w:marLeft w:val="0"/>
          <w:marRight w:val="0"/>
          <w:marTop w:val="0"/>
          <w:marBottom w:val="0"/>
          <w:divBdr>
            <w:top w:val="none" w:sz="0" w:space="0" w:color="auto"/>
            <w:left w:val="none" w:sz="0" w:space="0" w:color="auto"/>
            <w:bottom w:val="none" w:sz="0" w:space="0" w:color="auto"/>
            <w:right w:val="none" w:sz="0" w:space="0" w:color="auto"/>
          </w:divBdr>
        </w:div>
        <w:div w:id="867522185">
          <w:marLeft w:val="0"/>
          <w:marRight w:val="0"/>
          <w:marTop w:val="0"/>
          <w:marBottom w:val="0"/>
          <w:divBdr>
            <w:top w:val="none" w:sz="0" w:space="0" w:color="auto"/>
            <w:left w:val="none" w:sz="0" w:space="0" w:color="auto"/>
            <w:bottom w:val="none" w:sz="0" w:space="0" w:color="auto"/>
            <w:right w:val="none" w:sz="0" w:space="0" w:color="auto"/>
          </w:divBdr>
        </w:div>
        <w:div w:id="1493713868">
          <w:marLeft w:val="0"/>
          <w:marRight w:val="0"/>
          <w:marTop w:val="0"/>
          <w:marBottom w:val="0"/>
          <w:divBdr>
            <w:top w:val="none" w:sz="0" w:space="0" w:color="auto"/>
            <w:left w:val="none" w:sz="0" w:space="0" w:color="auto"/>
            <w:bottom w:val="none" w:sz="0" w:space="0" w:color="auto"/>
            <w:right w:val="none" w:sz="0" w:space="0" w:color="auto"/>
          </w:divBdr>
        </w:div>
        <w:div w:id="163129694">
          <w:marLeft w:val="0"/>
          <w:marRight w:val="0"/>
          <w:marTop w:val="0"/>
          <w:marBottom w:val="0"/>
          <w:divBdr>
            <w:top w:val="none" w:sz="0" w:space="0" w:color="auto"/>
            <w:left w:val="none" w:sz="0" w:space="0" w:color="auto"/>
            <w:bottom w:val="none" w:sz="0" w:space="0" w:color="auto"/>
            <w:right w:val="none" w:sz="0" w:space="0" w:color="auto"/>
          </w:divBdr>
        </w:div>
        <w:div w:id="498423748">
          <w:marLeft w:val="0"/>
          <w:marRight w:val="0"/>
          <w:marTop w:val="0"/>
          <w:marBottom w:val="0"/>
          <w:divBdr>
            <w:top w:val="none" w:sz="0" w:space="0" w:color="auto"/>
            <w:left w:val="none" w:sz="0" w:space="0" w:color="auto"/>
            <w:bottom w:val="none" w:sz="0" w:space="0" w:color="auto"/>
            <w:right w:val="none" w:sz="0" w:space="0" w:color="auto"/>
          </w:divBdr>
        </w:div>
        <w:div w:id="502547322">
          <w:marLeft w:val="0"/>
          <w:marRight w:val="0"/>
          <w:marTop w:val="0"/>
          <w:marBottom w:val="0"/>
          <w:divBdr>
            <w:top w:val="none" w:sz="0" w:space="0" w:color="auto"/>
            <w:left w:val="none" w:sz="0" w:space="0" w:color="auto"/>
            <w:bottom w:val="none" w:sz="0" w:space="0" w:color="auto"/>
            <w:right w:val="none" w:sz="0" w:space="0" w:color="auto"/>
          </w:divBdr>
        </w:div>
        <w:div w:id="838424845">
          <w:marLeft w:val="0"/>
          <w:marRight w:val="0"/>
          <w:marTop w:val="0"/>
          <w:marBottom w:val="0"/>
          <w:divBdr>
            <w:top w:val="none" w:sz="0" w:space="0" w:color="auto"/>
            <w:left w:val="none" w:sz="0" w:space="0" w:color="auto"/>
            <w:bottom w:val="none" w:sz="0" w:space="0" w:color="auto"/>
            <w:right w:val="none" w:sz="0" w:space="0" w:color="auto"/>
          </w:divBdr>
        </w:div>
        <w:div w:id="1923292594">
          <w:marLeft w:val="0"/>
          <w:marRight w:val="0"/>
          <w:marTop w:val="0"/>
          <w:marBottom w:val="0"/>
          <w:divBdr>
            <w:top w:val="none" w:sz="0" w:space="0" w:color="auto"/>
            <w:left w:val="none" w:sz="0" w:space="0" w:color="auto"/>
            <w:bottom w:val="none" w:sz="0" w:space="0" w:color="auto"/>
            <w:right w:val="none" w:sz="0" w:space="0" w:color="auto"/>
          </w:divBdr>
        </w:div>
        <w:div w:id="1043289494">
          <w:marLeft w:val="0"/>
          <w:marRight w:val="0"/>
          <w:marTop w:val="0"/>
          <w:marBottom w:val="0"/>
          <w:divBdr>
            <w:top w:val="none" w:sz="0" w:space="0" w:color="auto"/>
            <w:left w:val="none" w:sz="0" w:space="0" w:color="auto"/>
            <w:bottom w:val="none" w:sz="0" w:space="0" w:color="auto"/>
            <w:right w:val="none" w:sz="0" w:space="0" w:color="auto"/>
          </w:divBdr>
        </w:div>
        <w:div w:id="239869061">
          <w:marLeft w:val="0"/>
          <w:marRight w:val="0"/>
          <w:marTop w:val="0"/>
          <w:marBottom w:val="0"/>
          <w:divBdr>
            <w:top w:val="none" w:sz="0" w:space="0" w:color="auto"/>
            <w:left w:val="none" w:sz="0" w:space="0" w:color="auto"/>
            <w:bottom w:val="none" w:sz="0" w:space="0" w:color="auto"/>
            <w:right w:val="none" w:sz="0" w:space="0" w:color="auto"/>
          </w:divBdr>
        </w:div>
        <w:div w:id="883564988">
          <w:marLeft w:val="0"/>
          <w:marRight w:val="0"/>
          <w:marTop w:val="0"/>
          <w:marBottom w:val="0"/>
          <w:divBdr>
            <w:top w:val="none" w:sz="0" w:space="0" w:color="auto"/>
            <w:left w:val="none" w:sz="0" w:space="0" w:color="auto"/>
            <w:bottom w:val="none" w:sz="0" w:space="0" w:color="auto"/>
            <w:right w:val="none" w:sz="0" w:space="0" w:color="auto"/>
          </w:divBdr>
        </w:div>
        <w:div w:id="954094726">
          <w:marLeft w:val="0"/>
          <w:marRight w:val="0"/>
          <w:marTop w:val="0"/>
          <w:marBottom w:val="0"/>
          <w:divBdr>
            <w:top w:val="none" w:sz="0" w:space="0" w:color="auto"/>
            <w:left w:val="none" w:sz="0" w:space="0" w:color="auto"/>
            <w:bottom w:val="none" w:sz="0" w:space="0" w:color="auto"/>
            <w:right w:val="none" w:sz="0" w:space="0" w:color="auto"/>
          </w:divBdr>
        </w:div>
        <w:div w:id="878323091">
          <w:marLeft w:val="0"/>
          <w:marRight w:val="0"/>
          <w:marTop w:val="0"/>
          <w:marBottom w:val="0"/>
          <w:divBdr>
            <w:top w:val="none" w:sz="0" w:space="0" w:color="auto"/>
            <w:left w:val="none" w:sz="0" w:space="0" w:color="auto"/>
            <w:bottom w:val="none" w:sz="0" w:space="0" w:color="auto"/>
            <w:right w:val="none" w:sz="0" w:space="0" w:color="auto"/>
          </w:divBdr>
        </w:div>
        <w:div w:id="357051024">
          <w:marLeft w:val="0"/>
          <w:marRight w:val="0"/>
          <w:marTop w:val="0"/>
          <w:marBottom w:val="0"/>
          <w:divBdr>
            <w:top w:val="none" w:sz="0" w:space="0" w:color="auto"/>
            <w:left w:val="none" w:sz="0" w:space="0" w:color="auto"/>
            <w:bottom w:val="none" w:sz="0" w:space="0" w:color="auto"/>
            <w:right w:val="none" w:sz="0" w:space="0" w:color="auto"/>
          </w:divBdr>
        </w:div>
        <w:div w:id="1716155787">
          <w:marLeft w:val="0"/>
          <w:marRight w:val="0"/>
          <w:marTop w:val="0"/>
          <w:marBottom w:val="0"/>
          <w:divBdr>
            <w:top w:val="none" w:sz="0" w:space="0" w:color="auto"/>
            <w:left w:val="none" w:sz="0" w:space="0" w:color="auto"/>
            <w:bottom w:val="none" w:sz="0" w:space="0" w:color="auto"/>
            <w:right w:val="none" w:sz="0" w:space="0" w:color="auto"/>
          </w:divBdr>
        </w:div>
        <w:div w:id="157504795">
          <w:marLeft w:val="0"/>
          <w:marRight w:val="0"/>
          <w:marTop w:val="0"/>
          <w:marBottom w:val="0"/>
          <w:divBdr>
            <w:top w:val="none" w:sz="0" w:space="0" w:color="auto"/>
            <w:left w:val="none" w:sz="0" w:space="0" w:color="auto"/>
            <w:bottom w:val="none" w:sz="0" w:space="0" w:color="auto"/>
            <w:right w:val="none" w:sz="0" w:space="0" w:color="auto"/>
          </w:divBdr>
        </w:div>
        <w:div w:id="524487041">
          <w:marLeft w:val="0"/>
          <w:marRight w:val="0"/>
          <w:marTop w:val="0"/>
          <w:marBottom w:val="0"/>
          <w:divBdr>
            <w:top w:val="none" w:sz="0" w:space="0" w:color="auto"/>
            <w:left w:val="none" w:sz="0" w:space="0" w:color="auto"/>
            <w:bottom w:val="none" w:sz="0" w:space="0" w:color="auto"/>
            <w:right w:val="none" w:sz="0" w:space="0" w:color="auto"/>
          </w:divBdr>
        </w:div>
        <w:div w:id="765540390">
          <w:marLeft w:val="0"/>
          <w:marRight w:val="0"/>
          <w:marTop w:val="0"/>
          <w:marBottom w:val="0"/>
          <w:divBdr>
            <w:top w:val="none" w:sz="0" w:space="0" w:color="auto"/>
            <w:left w:val="none" w:sz="0" w:space="0" w:color="auto"/>
            <w:bottom w:val="none" w:sz="0" w:space="0" w:color="auto"/>
            <w:right w:val="none" w:sz="0" w:space="0" w:color="auto"/>
          </w:divBdr>
        </w:div>
        <w:div w:id="532767700">
          <w:marLeft w:val="0"/>
          <w:marRight w:val="0"/>
          <w:marTop w:val="0"/>
          <w:marBottom w:val="0"/>
          <w:divBdr>
            <w:top w:val="none" w:sz="0" w:space="0" w:color="auto"/>
            <w:left w:val="none" w:sz="0" w:space="0" w:color="auto"/>
            <w:bottom w:val="none" w:sz="0" w:space="0" w:color="auto"/>
            <w:right w:val="none" w:sz="0" w:space="0" w:color="auto"/>
          </w:divBdr>
        </w:div>
        <w:div w:id="1610698330">
          <w:marLeft w:val="0"/>
          <w:marRight w:val="0"/>
          <w:marTop w:val="0"/>
          <w:marBottom w:val="0"/>
          <w:divBdr>
            <w:top w:val="none" w:sz="0" w:space="0" w:color="auto"/>
            <w:left w:val="none" w:sz="0" w:space="0" w:color="auto"/>
            <w:bottom w:val="none" w:sz="0" w:space="0" w:color="auto"/>
            <w:right w:val="none" w:sz="0" w:space="0" w:color="auto"/>
          </w:divBdr>
        </w:div>
        <w:div w:id="1769619501">
          <w:marLeft w:val="0"/>
          <w:marRight w:val="0"/>
          <w:marTop w:val="0"/>
          <w:marBottom w:val="0"/>
          <w:divBdr>
            <w:top w:val="none" w:sz="0" w:space="0" w:color="auto"/>
            <w:left w:val="none" w:sz="0" w:space="0" w:color="auto"/>
            <w:bottom w:val="none" w:sz="0" w:space="0" w:color="auto"/>
            <w:right w:val="none" w:sz="0" w:space="0" w:color="auto"/>
          </w:divBdr>
        </w:div>
        <w:div w:id="258801697">
          <w:marLeft w:val="0"/>
          <w:marRight w:val="0"/>
          <w:marTop w:val="0"/>
          <w:marBottom w:val="0"/>
          <w:divBdr>
            <w:top w:val="none" w:sz="0" w:space="0" w:color="auto"/>
            <w:left w:val="none" w:sz="0" w:space="0" w:color="auto"/>
            <w:bottom w:val="none" w:sz="0" w:space="0" w:color="auto"/>
            <w:right w:val="none" w:sz="0" w:space="0" w:color="auto"/>
          </w:divBdr>
        </w:div>
        <w:div w:id="7997355">
          <w:marLeft w:val="0"/>
          <w:marRight w:val="0"/>
          <w:marTop w:val="0"/>
          <w:marBottom w:val="0"/>
          <w:divBdr>
            <w:top w:val="none" w:sz="0" w:space="0" w:color="auto"/>
            <w:left w:val="none" w:sz="0" w:space="0" w:color="auto"/>
            <w:bottom w:val="none" w:sz="0" w:space="0" w:color="auto"/>
            <w:right w:val="none" w:sz="0" w:space="0" w:color="auto"/>
          </w:divBdr>
        </w:div>
        <w:div w:id="794905169">
          <w:marLeft w:val="0"/>
          <w:marRight w:val="0"/>
          <w:marTop w:val="0"/>
          <w:marBottom w:val="0"/>
          <w:divBdr>
            <w:top w:val="none" w:sz="0" w:space="0" w:color="auto"/>
            <w:left w:val="none" w:sz="0" w:space="0" w:color="auto"/>
            <w:bottom w:val="none" w:sz="0" w:space="0" w:color="auto"/>
            <w:right w:val="none" w:sz="0" w:space="0" w:color="auto"/>
          </w:divBdr>
        </w:div>
        <w:div w:id="429207134">
          <w:marLeft w:val="0"/>
          <w:marRight w:val="0"/>
          <w:marTop w:val="0"/>
          <w:marBottom w:val="0"/>
          <w:divBdr>
            <w:top w:val="none" w:sz="0" w:space="0" w:color="auto"/>
            <w:left w:val="none" w:sz="0" w:space="0" w:color="auto"/>
            <w:bottom w:val="none" w:sz="0" w:space="0" w:color="auto"/>
            <w:right w:val="none" w:sz="0" w:space="0" w:color="auto"/>
          </w:divBdr>
        </w:div>
        <w:div w:id="1873884867">
          <w:marLeft w:val="0"/>
          <w:marRight w:val="0"/>
          <w:marTop w:val="0"/>
          <w:marBottom w:val="0"/>
          <w:divBdr>
            <w:top w:val="none" w:sz="0" w:space="0" w:color="auto"/>
            <w:left w:val="none" w:sz="0" w:space="0" w:color="auto"/>
            <w:bottom w:val="none" w:sz="0" w:space="0" w:color="auto"/>
            <w:right w:val="none" w:sz="0" w:space="0" w:color="auto"/>
          </w:divBdr>
        </w:div>
        <w:div w:id="2030525368">
          <w:marLeft w:val="0"/>
          <w:marRight w:val="0"/>
          <w:marTop w:val="0"/>
          <w:marBottom w:val="0"/>
          <w:divBdr>
            <w:top w:val="none" w:sz="0" w:space="0" w:color="auto"/>
            <w:left w:val="none" w:sz="0" w:space="0" w:color="auto"/>
            <w:bottom w:val="none" w:sz="0" w:space="0" w:color="auto"/>
            <w:right w:val="none" w:sz="0" w:space="0" w:color="auto"/>
          </w:divBdr>
        </w:div>
        <w:div w:id="943998165">
          <w:marLeft w:val="0"/>
          <w:marRight w:val="0"/>
          <w:marTop w:val="0"/>
          <w:marBottom w:val="0"/>
          <w:divBdr>
            <w:top w:val="none" w:sz="0" w:space="0" w:color="auto"/>
            <w:left w:val="none" w:sz="0" w:space="0" w:color="auto"/>
            <w:bottom w:val="none" w:sz="0" w:space="0" w:color="auto"/>
            <w:right w:val="none" w:sz="0" w:space="0" w:color="auto"/>
          </w:divBdr>
        </w:div>
        <w:div w:id="1256398597">
          <w:marLeft w:val="0"/>
          <w:marRight w:val="0"/>
          <w:marTop w:val="0"/>
          <w:marBottom w:val="0"/>
          <w:divBdr>
            <w:top w:val="none" w:sz="0" w:space="0" w:color="auto"/>
            <w:left w:val="none" w:sz="0" w:space="0" w:color="auto"/>
            <w:bottom w:val="none" w:sz="0" w:space="0" w:color="auto"/>
            <w:right w:val="none" w:sz="0" w:space="0" w:color="auto"/>
          </w:divBdr>
        </w:div>
        <w:div w:id="126049479">
          <w:marLeft w:val="0"/>
          <w:marRight w:val="0"/>
          <w:marTop w:val="0"/>
          <w:marBottom w:val="0"/>
          <w:divBdr>
            <w:top w:val="none" w:sz="0" w:space="0" w:color="auto"/>
            <w:left w:val="none" w:sz="0" w:space="0" w:color="auto"/>
            <w:bottom w:val="none" w:sz="0" w:space="0" w:color="auto"/>
            <w:right w:val="none" w:sz="0" w:space="0" w:color="auto"/>
          </w:divBdr>
        </w:div>
        <w:div w:id="1520197725">
          <w:marLeft w:val="0"/>
          <w:marRight w:val="0"/>
          <w:marTop w:val="0"/>
          <w:marBottom w:val="0"/>
          <w:divBdr>
            <w:top w:val="none" w:sz="0" w:space="0" w:color="auto"/>
            <w:left w:val="none" w:sz="0" w:space="0" w:color="auto"/>
            <w:bottom w:val="none" w:sz="0" w:space="0" w:color="auto"/>
            <w:right w:val="none" w:sz="0" w:space="0" w:color="auto"/>
          </w:divBdr>
        </w:div>
        <w:div w:id="2025352845">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82722301">
          <w:marLeft w:val="0"/>
          <w:marRight w:val="0"/>
          <w:marTop w:val="0"/>
          <w:marBottom w:val="0"/>
          <w:divBdr>
            <w:top w:val="none" w:sz="0" w:space="0" w:color="auto"/>
            <w:left w:val="none" w:sz="0" w:space="0" w:color="auto"/>
            <w:bottom w:val="none" w:sz="0" w:space="0" w:color="auto"/>
            <w:right w:val="none" w:sz="0" w:space="0" w:color="auto"/>
          </w:divBdr>
        </w:div>
        <w:div w:id="651371084">
          <w:marLeft w:val="0"/>
          <w:marRight w:val="0"/>
          <w:marTop w:val="0"/>
          <w:marBottom w:val="0"/>
          <w:divBdr>
            <w:top w:val="none" w:sz="0" w:space="0" w:color="auto"/>
            <w:left w:val="none" w:sz="0" w:space="0" w:color="auto"/>
            <w:bottom w:val="none" w:sz="0" w:space="0" w:color="auto"/>
            <w:right w:val="none" w:sz="0" w:space="0" w:color="auto"/>
          </w:divBdr>
        </w:div>
        <w:div w:id="1606380583">
          <w:marLeft w:val="0"/>
          <w:marRight w:val="0"/>
          <w:marTop w:val="0"/>
          <w:marBottom w:val="0"/>
          <w:divBdr>
            <w:top w:val="none" w:sz="0" w:space="0" w:color="auto"/>
            <w:left w:val="none" w:sz="0" w:space="0" w:color="auto"/>
            <w:bottom w:val="none" w:sz="0" w:space="0" w:color="auto"/>
            <w:right w:val="none" w:sz="0" w:space="0" w:color="auto"/>
          </w:divBdr>
        </w:div>
        <w:div w:id="1230119880">
          <w:marLeft w:val="0"/>
          <w:marRight w:val="0"/>
          <w:marTop w:val="0"/>
          <w:marBottom w:val="0"/>
          <w:divBdr>
            <w:top w:val="none" w:sz="0" w:space="0" w:color="auto"/>
            <w:left w:val="none" w:sz="0" w:space="0" w:color="auto"/>
            <w:bottom w:val="none" w:sz="0" w:space="0" w:color="auto"/>
            <w:right w:val="none" w:sz="0" w:space="0" w:color="auto"/>
          </w:divBdr>
        </w:div>
        <w:div w:id="1111976664">
          <w:marLeft w:val="0"/>
          <w:marRight w:val="0"/>
          <w:marTop w:val="0"/>
          <w:marBottom w:val="0"/>
          <w:divBdr>
            <w:top w:val="none" w:sz="0" w:space="0" w:color="auto"/>
            <w:left w:val="none" w:sz="0" w:space="0" w:color="auto"/>
            <w:bottom w:val="none" w:sz="0" w:space="0" w:color="auto"/>
            <w:right w:val="none" w:sz="0" w:space="0" w:color="auto"/>
          </w:divBdr>
        </w:div>
        <w:div w:id="366413052">
          <w:marLeft w:val="0"/>
          <w:marRight w:val="0"/>
          <w:marTop w:val="0"/>
          <w:marBottom w:val="0"/>
          <w:divBdr>
            <w:top w:val="none" w:sz="0" w:space="0" w:color="auto"/>
            <w:left w:val="none" w:sz="0" w:space="0" w:color="auto"/>
            <w:bottom w:val="none" w:sz="0" w:space="0" w:color="auto"/>
            <w:right w:val="none" w:sz="0" w:space="0" w:color="auto"/>
          </w:divBdr>
        </w:div>
        <w:div w:id="1047417844">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237588128">
          <w:marLeft w:val="0"/>
          <w:marRight w:val="0"/>
          <w:marTop w:val="0"/>
          <w:marBottom w:val="0"/>
          <w:divBdr>
            <w:top w:val="none" w:sz="0" w:space="0" w:color="auto"/>
            <w:left w:val="none" w:sz="0" w:space="0" w:color="auto"/>
            <w:bottom w:val="none" w:sz="0" w:space="0" w:color="auto"/>
            <w:right w:val="none" w:sz="0" w:space="0" w:color="auto"/>
          </w:divBdr>
        </w:div>
        <w:div w:id="1117145362">
          <w:marLeft w:val="0"/>
          <w:marRight w:val="0"/>
          <w:marTop w:val="0"/>
          <w:marBottom w:val="0"/>
          <w:divBdr>
            <w:top w:val="none" w:sz="0" w:space="0" w:color="auto"/>
            <w:left w:val="none" w:sz="0" w:space="0" w:color="auto"/>
            <w:bottom w:val="none" w:sz="0" w:space="0" w:color="auto"/>
            <w:right w:val="none" w:sz="0" w:space="0" w:color="auto"/>
          </w:divBdr>
        </w:div>
        <w:div w:id="1110782246">
          <w:marLeft w:val="0"/>
          <w:marRight w:val="0"/>
          <w:marTop w:val="0"/>
          <w:marBottom w:val="0"/>
          <w:divBdr>
            <w:top w:val="none" w:sz="0" w:space="0" w:color="auto"/>
            <w:left w:val="none" w:sz="0" w:space="0" w:color="auto"/>
            <w:bottom w:val="none" w:sz="0" w:space="0" w:color="auto"/>
            <w:right w:val="none" w:sz="0" w:space="0" w:color="auto"/>
          </w:divBdr>
        </w:div>
        <w:div w:id="198668276">
          <w:marLeft w:val="0"/>
          <w:marRight w:val="0"/>
          <w:marTop w:val="0"/>
          <w:marBottom w:val="0"/>
          <w:divBdr>
            <w:top w:val="none" w:sz="0" w:space="0" w:color="auto"/>
            <w:left w:val="none" w:sz="0" w:space="0" w:color="auto"/>
            <w:bottom w:val="none" w:sz="0" w:space="0" w:color="auto"/>
            <w:right w:val="none" w:sz="0" w:space="0" w:color="auto"/>
          </w:divBdr>
        </w:div>
        <w:div w:id="2137334151">
          <w:marLeft w:val="0"/>
          <w:marRight w:val="0"/>
          <w:marTop w:val="0"/>
          <w:marBottom w:val="0"/>
          <w:divBdr>
            <w:top w:val="none" w:sz="0" w:space="0" w:color="auto"/>
            <w:left w:val="none" w:sz="0" w:space="0" w:color="auto"/>
            <w:bottom w:val="none" w:sz="0" w:space="0" w:color="auto"/>
            <w:right w:val="none" w:sz="0" w:space="0" w:color="auto"/>
          </w:divBdr>
        </w:div>
        <w:div w:id="1165319816">
          <w:marLeft w:val="0"/>
          <w:marRight w:val="0"/>
          <w:marTop w:val="0"/>
          <w:marBottom w:val="0"/>
          <w:divBdr>
            <w:top w:val="none" w:sz="0" w:space="0" w:color="auto"/>
            <w:left w:val="none" w:sz="0" w:space="0" w:color="auto"/>
            <w:bottom w:val="none" w:sz="0" w:space="0" w:color="auto"/>
            <w:right w:val="none" w:sz="0" w:space="0" w:color="auto"/>
          </w:divBdr>
        </w:div>
        <w:div w:id="690028820">
          <w:marLeft w:val="0"/>
          <w:marRight w:val="0"/>
          <w:marTop w:val="0"/>
          <w:marBottom w:val="0"/>
          <w:divBdr>
            <w:top w:val="none" w:sz="0" w:space="0" w:color="auto"/>
            <w:left w:val="none" w:sz="0" w:space="0" w:color="auto"/>
            <w:bottom w:val="none" w:sz="0" w:space="0" w:color="auto"/>
            <w:right w:val="none" w:sz="0" w:space="0" w:color="auto"/>
          </w:divBdr>
        </w:div>
        <w:div w:id="1799837022">
          <w:marLeft w:val="0"/>
          <w:marRight w:val="0"/>
          <w:marTop w:val="0"/>
          <w:marBottom w:val="0"/>
          <w:divBdr>
            <w:top w:val="none" w:sz="0" w:space="0" w:color="auto"/>
            <w:left w:val="none" w:sz="0" w:space="0" w:color="auto"/>
            <w:bottom w:val="none" w:sz="0" w:space="0" w:color="auto"/>
            <w:right w:val="none" w:sz="0" w:space="0" w:color="auto"/>
          </w:divBdr>
        </w:div>
        <w:div w:id="390538165">
          <w:marLeft w:val="0"/>
          <w:marRight w:val="0"/>
          <w:marTop w:val="0"/>
          <w:marBottom w:val="0"/>
          <w:divBdr>
            <w:top w:val="none" w:sz="0" w:space="0" w:color="auto"/>
            <w:left w:val="none" w:sz="0" w:space="0" w:color="auto"/>
            <w:bottom w:val="none" w:sz="0" w:space="0" w:color="auto"/>
            <w:right w:val="none" w:sz="0" w:space="0" w:color="auto"/>
          </w:divBdr>
        </w:div>
        <w:div w:id="1507208955">
          <w:marLeft w:val="0"/>
          <w:marRight w:val="0"/>
          <w:marTop w:val="0"/>
          <w:marBottom w:val="0"/>
          <w:divBdr>
            <w:top w:val="none" w:sz="0" w:space="0" w:color="auto"/>
            <w:left w:val="none" w:sz="0" w:space="0" w:color="auto"/>
            <w:bottom w:val="none" w:sz="0" w:space="0" w:color="auto"/>
            <w:right w:val="none" w:sz="0" w:space="0" w:color="auto"/>
          </w:divBdr>
        </w:div>
        <w:div w:id="1873228412">
          <w:marLeft w:val="0"/>
          <w:marRight w:val="0"/>
          <w:marTop w:val="0"/>
          <w:marBottom w:val="0"/>
          <w:divBdr>
            <w:top w:val="none" w:sz="0" w:space="0" w:color="auto"/>
            <w:left w:val="none" w:sz="0" w:space="0" w:color="auto"/>
            <w:bottom w:val="none" w:sz="0" w:space="0" w:color="auto"/>
            <w:right w:val="none" w:sz="0" w:space="0" w:color="auto"/>
          </w:divBdr>
        </w:div>
        <w:div w:id="1381392695">
          <w:marLeft w:val="0"/>
          <w:marRight w:val="0"/>
          <w:marTop w:val="0"/>
          <w:marBottom w:val="0"/>
          <w:divBdr>
            <w:top w:val="none" w:sz="0" w:space="0" w:color="auto"/>
            <w:left w:val="none" w:sz="0" w:space="0" w:color="auto"/>
            <w:bottom w:val="none" w:sz="0" w:space="0" w:color="auto"/>
            <w:right w:val="none" w:sz="0" w:space="0" w:color="auto"/>
          </w:divBdr>
        </w:div>
        <w:div w:id="398133229">
          <w:marLeft w:val="0"/>
          <w:marRight w:val="0"/>
          <w:marTop w:val="0"/>
          <w:marBottom w:val="0"/>
          <w:divBdr>
            <w:top w:val="none" w:sz="0" w:space="0" w:color="auto"/>
            <w:left w:val="none" w:sz="0" w:space="0" w:color="auto"/>
            <w:bottom w:val="none" w:sz="0" w:space="0" w:color="auto"/>
            <w:right w:val="none" w:sz="0" w:space="0" w:color="auto"/>
          </w:divBdr>
        </w:div>
        <w:div w:id="718475860">
          <w:marLeft w:val="0"/>
          <w:marRight w:val="0"/>
          <w:marTop w:val="0"/>
          <w:marBottom w:val="0"/>
          <w:divBdr>
            <w:top w:val="none" w:sz="0" w:space="0" w:color="auto"/>
            <w:left w:val="none" w:sz="0" w:space="0" w:color="auto"/>
            <w:bottom w:val="none" w:sz="0" w:space="0" w:color="auto"/>
            <w:right w:val="none" w:sz="0" w:space="0" w:color="auto"/>
          </w:divBdr>
        </w:div>
        <w:div w:id="676152720">
          <w:marLeft w:val="0"/>
          <w:marRight w:val="0"/>
          <w:marTop w:val="0"/>
          <w:marBottom w:val="0"/>
          <w:divBdr>
            <w:top w:val="none" w:sz="0" w:space="0" w:color="auto"/>
            <w:left w:val="none" w:sz="0" w:space="0" w:color="auto"/>
            <w:bottom w:val="none" w:sz="0" w:space="0" w:color="auto"/>
            <w:right w:val="none" w:sz="0" w:space="0" w:color="auto"/>
          </w:divBdr>
        </w:div>
        <w:div w:id="1316450924">
          <w:marLeft w:val="0"/>
          <w:marRight w:val="0"/>
          <w:marTop w:val="0"/>
          <w:marBottom w:val="0"/>
          <w:divBdr>
            <w:top w:val="none" w:sz="0" w:space="0" w:color="auto"/>
            <w:left w:val="none" w:sz="0" w:space="0" w:color="auto"/>
            <w:bottom w:val="none" w:sz="0" w:space="0" w:color="auto"/>
            <w:right w:val="none" w:sz="0" w:space="0" w:color="auto"/>
          </w:divBdr>
        </w:div>
        <w:div w:id="1381590795">
          <w:marLeft w:val="0"/>
          <w:marRight w:val="0"/>
          <w:marTop w:val="0"/>
          <w:marBottom w:val="0"/>
          <w:divBdr>
            <w:top w:val="none" w:sz="0" w:space="0" w:color="auto"/>
            <w:left w:val="none" w:sz="0" w:space="0" w:color="auto"/>
            <w:bottom w:val="none" w:sz="0" w:space="0" w:color="auto"/>
            <w:right w:val="none" w:sz="0" w:space="0" w:color="auto"/>
          </w:divBdr>
        </w:div>
        <w:div w:id="828330389">
          <w:marLeft w:val="0"/>
          <w:marRight w:val="0"/>
          <w:marTop w:val="0"/>
          <w:marBottom w:val="0"/>
          <w:divBdr>
            <w:top w:val="none" w:sz="0" w:space="0" w:color="auto"/>
            <w:left w:val="none" w:sz="0" w:space="0" w:color="auto"/>
            <w:bottom w:val="none" w:sz="0" w:space="0" w:color="auto"/>
            <w:right w:val="none" w:sz="0" w:space="0" w:color="auto"/>
          </w:divBdr>
        </w:div>
        <w:div w:id="1501895972">
          <w:marLeft w:val="0"/>
          <w:marRight w:val="0"/>
          <w:marTop w:val="0"/>
          <w:marBottom w:val="0"/>
          <w:divBdr>
            <w:top w:val="none" w:sz="0" w:space="0" w:color="auto"/>
            <w:left w:val="none" w:sz="0" w:space="0" w:color="auto"/>
            <w:bottom w:val="none" w:sz="0" w:space="0" w:color="auto"/>
            <w:right w:val="none" w:sz="0" w:space="0" w:color="auto"/>
          </w:divBdr>
        </w:div>
        <w:div w:id="35013864">
          <w:marLeft w:val="0"/>
          <w:marRight w:val="0"/>
          <w:marTop w:val="0"/>
          <w:marBottom w:val="0"/>
          <w:divBdr>
            <w:top w:val="none" w:sz="0" w:space="0" w:color="auto"/>
            <w:left w:val="none" w:sz="0" w:space="0" w:color="auto"/>
            <w:bottom w:val="none" w:sz="0" w:space="0" w:color="auto"/>
            <w:right w:val="none" w:sz="0" w:space="0" w:color="auto"/>
          </w:divBdr>
        </w:div>
        <w:div w:id="545609147">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527910090">
          <w:marLeft w:val="0"/>
          <w:marRight w:val="0"/>
          <w:marTop w:val="0"/>
          <w:marBottom w:val="0"/>
          <w:divBdr>
            <w:top w:val="none" w:sz="0" w:space="0" w:color="auto"/>
            <w:left w:val="none" w:sz="0" w:space="0" w:color="auto"/>
            <w:bottom w:val="none" w:sz="0" w:space="0" w:color="auto"/>
            <w:right w:val="none" w:sz="0" w:space="0" w:color="auto"/>
          </w:divBdr>
        </w:div>
        <w:div w:id="173805880">
          <w:marLeft w:val="0"/>
          <w:marRight w:val="0"/>
          <w:marTop w:val="0"/>
          <w:marBottom w:val="0"/>
          <w:divBdr>
            <w:top w:val="none" w:sz="0" w:space="0" w:color="auto"/>
            <w:left w:val="none" w:sz="0" w:space="0" w:color="auto"/>
            <w:bottom w:val="none" w:sz="0" w:space="0" w:color="auto"/>
            <w:right w:val="none" w:sz="0" w:space="0" w:color="auto"/>
          </w:divBdr>
        </w:div>
        <w:div w:id="565456494">
          <w:marLeft w:val="0"/>
          <w:marRight w:val="0"/>
          <w:marTop w:val="0"/>
          <w:marBottom w:val="0"/>
          <w:divBdr>
            <w:top w:val="none" w:sz="0" w:space="0" w:color="auto"/>
            <w:left w:val="none" w:sz="0" w:space="0" w:color="auto"/>
            <w:bottom w:val="none" w:sz="0" w:space="0" w:color="auto"/>
            <w:right w:val="none" w:sz="0" w:space="0" w:color="auto"/>
          </w:divBdr>
        </w:div>
        <w:div w:id="1522278415">
          <w:marLeft w:val="0"/>
          <w:marRight w:val="0"/>
          <w:marTop w:val="0"/>
          <w:marBottom w:val="0"/>
          <w:divBdr>
            <w:top w:val="none" w:sz="0" w:space="0" w:color="auto"/>
            <w:left w:val="none" w:sz="0" w:space="0" w:color="auto"/>
            <w:bottom w:val="none" w:sz="0" w:space="0" w:color="auto"/>
            <w:right w:val="none" w:sz="0" w:space="0" w:color="auto"/>
          </w:divBdr>
        </w:div>
        <w:div w:id="36272917">
          <w:marLeft w:val="0"/>
          <w:marRight w:val="0"/>
          <w:marTop w:val="0"/>
          <w:marBottom w:val="0"/>
          <w:divBdr>
            <w:top w:val="none" w:sz="0" w:space="0" w:color="auto"/>
            <w:left w:val="none" w:sz="0" w:space="0" w:color="auto"/>
            <w:bottom w:val="none" w:sz="0" w:space="0" w:color="auto"/>
            <w:right w:val="none" w:sz="0" w:space="0" w:color="auto"/>
          </w:divBdr>
        </w:div>
        <w:div w:id="2121297699">
          <w:marLeft w:val="0"/>
          <w:marRight w:val="0"/>
          <w:marTop w:val="0"/>
          <w:marBottom w:val="0"/>
          <w:divBdr>
            <w:top w:val="none" w:sz="0" w:space="0" w:color="auto"/>
            <w:left w:val="none" w:sz="0" w:space="0" w:color="auto"/>
            <w:bottom w:val="none" w:sz="0" w:space="0" w:color="auto"/>
            <w:right w:val="none" w:sz="0" w:space="0" w:color="auto"/>
          </w:divBdr>
        </w:div>
        <w:div w:id="763962351">
          <w:marLeft w:val="0"/>
          <w:marRight w:val="0"/>
          <w:marTop w:val="0"/>
          <w:marBottom w:val="0"/>
          <w:divBdr>
            <w:top w:val="none" w:sz="0" w:space="0" w:color="auto"/>
            <w:left w:val="none" w:sz="0" w:space="0" w:color="auto"/>
            <w:bottom w:val="none" w:sz="0" w:space="0" w:color="auto"/>
            <w:right w:val="none" w:sz="0" w:space="0" w:color="auto"/>
          </w:divBdr>
        </w:div>
        <w:div w:id="448276702">
          <w:marLeft w:val="0"/>
          <w:marRight w:val="0"/>
          <w:marTop w:val="0"/>
          <w:marBottom w:val="0"/>
          <w:divBdr>
            <w:top w:val="none" w:sz="0" w:space="0" w:color="auto"/>
            <w:left w:val="none" w:sz="0" w:space="0" w:color="auto"/>
            <w:bottom w:val="none" w:sz="0" w:space="0" w:color="auto"/>
            <w:right w:val="none" w:sz="0" w:space="0" w:color="auto"/>
          </w:divBdr>
        </w:div>
        <w:div w:id="1876455033">
          <w:marLeft w:val="0"/>
          <w:marRight w:val="0"/>
          <w:marTop w:val="0"/>
          <w:marBottom w:val="0"/>
          <w:divBdr>
            <w:top w:val="none" w:sz="0" w:space="0" w:color="auto"/>
            <w:left w:val="none" w:sz="0" w:space="0" w:color="auto"/>
            <w:bottom w:val="none" w:sz="0" w:space="0" w:color="auto"/>
            <w:right w:val="none" w:sz="0" w:space="0" w:color="auto"/>
          </w:divBdr>
        </w:div>
        <w:div w:id="1023091565">
          <w:marLeft w:val="0"/>
          <w:marRight w:val="0"/>
          <w:marTop w:val="0"/>
          <w:marBottom w:val="0"/>
          <w:divBdr>
            <w:top w:val="none" w:sz="0" w:space="0" w:color="auto"/>
            <w:left w:val="none" w:sz="0" w:space="0" w:color="auto"/>
            <w:bottom w:val="none" w:sz="0" w:space="0" w:color="auto"/>
            <w:right w:val="none" w:sz="0" w:space="0" w:color="auto"/>
          </w:divBdr>
        </w:div>
        <w:div w:id="822045859">
          <w:marLeft w:val="0"/>
          <w:marRight w:val="0"/>
          <w:marTop w:val="0"/>
          <w:marBottom w:val="0"/>
          <w:divBdr>
            <w:top w:val="none" w:sz="0" w:space="0" w:color="auto"/>
            <w:left w:val="none" w:sz="0" w:space="0" w:color="auto"/>
            <w:bottom w:val="none" w:sz="0" w:space="0" w:color="auto"/>
            <w:right w:val="none" w:sz="0" w:space="0" w:color="auto"/>
          </w:divBdr>
        </w:div>
        <w:div w:id="1144468782">
          <w:marLeft w:val="0"/>
          <w:marRight w:val="0"/>
          <w:marTop w:val="0"/>
          <w:marBottom w:val="0"/>
          <w:divBdr>
            <w:top w:val="none" w:sz="0" w:space="0" w:color="auto"/>
            <w:left w:val="none" w:sz="0" w:space="0" w:color="auto"/>
            <w:bottom w:val="none" w:sz="0" w:space="0" w:color="auto"/>
            <w:right w:val="none" w:sz="0" w:space="0" w:color="auto"/>
          </w:divBdr>
        </w:div>
        <w:div w:id="841627206">
          <w:marLeft w:val="0"/>
          <w:marRight w:val="0"/>
          <w:marTop w:val="0"/>
          <w:marBottom w:val="0"/>
          <w:divBdr>
            <w:top w:val="none" w:sz="0" w:space="0" w:color="auto"/>
            <w:left w:val="none" w:sz="0" w:space="0" w:color="auto"/>
            <w:bottom w:val="none" w:sz="0" w:space="0" w:color="auto"/>
            <w:right w:val="none" w:sz="0" w:space="0" w:color="auto"/>
          </w:divBdr>
        </w:div>
        <w:div w:id="961807546">
          <w:marLeft w:val="0"/>
          <w:marRight w:val="0"/>
          <w:marTop w:val="0"/>
          <w:marBottom w:val="0"/>
          <w:divBdr>
            <w:top w:val="none" w:sz="0" w:space="0" w:color="auto"/>
            <w:left w:val="none" w:sz="0" w:space="0" w:color="auto"/>
            <w:bottom w:val="none" w:sz="0" w:space="0" w:color="auto"/>
            <w:right w:val="none" w:sz="0" w:space="0" w:color="auto"/>
          </w:divBdr>
        </w:div>
        <w:div w:id="1778868138">
          <w:marLeft w:val="0"/>
          <w:marRight w:val="0"/>
          <w:marTop w:val="0"/>
          <w:marBottom w:val="0"/>
          <w:divBdr>
            <w:top w:val="none" w:sz="0" w:space="0" w:color="auto"/>
            <w:left w:val="none" w:sz="0" w:space="0" w:color="auto"/>
            <w:bottom w:val="none" w:sz="0" w:space="0" w:color="auto"/>
            <w:right w:val="none" w:sz="0" w:space="0" w:color="auto"/>
          </w:divBdr>
        </w:div>
        <w:div w:id="769860694">
          <w:marLeft w:val="0"/>
          <w:marRight w:val="0"/>
          <w:marTop w:val="0"/>
          <w:marBottom w:val="0"/>
          <w:divBdr>
            <w:top w:val="none" w:sz="0" w:space="0" w:color="auto"/>
            <w:left w:val="none" w:sz="0" w:space="0" w:color="auto"/>
            <w:bottom w:val="none" w:sz="0" w:space="0" w:color="auto"/>
            <w:right w:val="none" w:sz="0" w:space="0" w:color="auto"/>
          </w:divBdr>
        </w:div>
        <w:div w:id="107969512">
          <w:marLeft w:val="0"/>
          <w:marRight w:val="0"/>
          <w:marTop w:val="0"/>
          <w:marBottom w:val="0"/>
          <w:divBdr>
            <w:top w:val="none" w:sz="0" w:space="0" w:color="auto"/>
            <w:left w:val="none" w:sz="0" w:space="0" w:color="auto"/>
            <w:bottom w:val="none" w:sz="0" w:space="0" w:color="auto"/>
            <w:right w:val="none" w:sz="0" w:space="0" w:color="auto"/>
          </w:divBdr>
        </w:div>
        <w:div w:id="315031798">
          <w:marLeft w:val="0"/>
          <w:marRight w:val="0"/>
          <w:marTop w:val="0"/>
          <w:marBottom w:val="0"/>
          <w:divBdr>
            <w:top w:val="none" w:sz="0" w:space="0" w:color="auto"/>
            <w:left w:val="none" w:sz="0" w:space="0" w:color="auto"/>
            <w:bottom w:val="none" w:sz="0" w:space="0" w:color="auto"/>
            <w:right w:val="none" w:sz="0" w:space="0" w:color="auto"/>
          </w:divBdr>
        </w:div>
        <w:div w:id="1938173359">
          <w:marLeft w:val="0"/>
          <w:marRight w:val="0"/>
          <w:marTop w:val="0"/>
          <w:marBottom w:val="0"/>
          <w:divBdr>
            <w:top w:val="none" w:sz="0" w:space="0" w:color="auto"/>
            <w:left w:val="none" w:sz="0" w:space="0" w:color="auto"/>
            <w:bottom w:val="none" w:sz="0" w:space="0" w:color="auto"/>
            <w:right w:val="none" w:sz="0" w:space="0" w:color="auto"/>
          </w:divBdr>
        </w:div>
        <w:div w:id="403533587">
          <w:marLeft w:val="0"/>
          <w:marRight w:val="0"/>
          <w:marTop w:val="0"/>
          <w:marBottom w:val="0"/>
          <w:divBdr>
            <w:top w:val="none" w:sz="0" w:space="0" w:color="auto"/>
            <w:left w:val="none" w:sz="0" w:space="0" w:color="auto"/>
            <w:bottom w:val="none" w:sz="0" w:space="0" w:color="auto"/>
            <w:right w:val="none" w:sz="0" w:space="0" w:color="auto"/>
          </w:divBdr>
        </w:div>
        <w:div w:id="1465006953">
          <w:marLeft w:val="0"/>
          <w:marRight w:val="0"/>
          <w:marTop w:val="0"/>
          <w:marBottom w:val="0"/>
          <w:divBdr>
            <w:top w:val="none" w:sz="0" w:space="0" w:color="auto"/>
            <w:left w:val="none" w:sz="0" w:space="0" w:color="auto"/>
            <w:bottom w:val="none" w:sz="0" w:space="0" w:color="auto"/>
            <w:right w:val="none" w:sz="0" w:space="0" w:color="auto"/>
          </w:divBdr>
        </w:div>
        <w:div w:id="1024939719">
          <w:marLeft w:val="0"/>
          <w:marRight w:val="0"/>
          <w:marTop w:val="0"/>
          <w:marBottom w:val="0"/>
          <w:divBdr>
            <w:top w:val="none" w:sz="0" w:space="0" w:color="auto"/>
            <w:left w:val="none" w:sz="0" w:space="0" w:color="auto"/>
            <w:bottom w:val="none" w:sz="0" w:space="0" w:color="auto"/>
            <w:right w:val="none" w:sz="0" w:space="0" w:color="auto"/>
          </w:divBdr>
        </w:div>
        <w:div w:id="937326222">
          <w:marLeft w:val="0"/>
          <w:marRight w:val="0"/>
          <w:marTop w:val="0"/>
          <w:marBottom w:val="0"/>
          <w:divBdr>
            <w:top w:val="none" w:sz="0" w:space="0" w:color="auto"/>
            <w:left w:val="none" w:sz="0" w:space="0" w:color="auto"/>
            <w:bottom w:val="none" w:sz="0" w:space="0" w:color="auto"/>
            <w:right w:val="none" w:sz="0" w:space="0" w:color="auto"/>
          </w:divBdr>
        </w:div>
        <w:div w:id="1369842393">
          <w:marLeft w:val="0"/>
          <w:marRight w:val="0"/>
          <w:marTop w:val="0"/>
          <w:marBottom w:val="0"/>
          <w:divBdr>
            <w:top w:val="none" w:sz="0" w:space="0" w:color="auto"/>
            <w:left w:val="none" w:sz="0" w:space="0" w:color="auto"/>
            <w:bottom w:val="none" w:sz="0" w:space="0" w:color="auto"/>
            <w:right w:val="none" w:sz="0" w:space="0" w:color="auto"/>
          </w:divBdr>
        </w:div>
        <w:div w:id="1817380665">
          <w:marLeft w:val="0"/>
          <w:marRight w:val="0"/>
          <w:marTop w:val="0"/>
          <w:marBottom w:val="0"/>
          <w:divBdr>
            <w:top w:val="none" w:sz="0" w:space="0" w:color="auto"/>
            <w:left w:val="none" w:sz="0" w:space="0" w:color="auto"/>
            <w:bottom w:val="none" w:sz="0" w:space="0" w:color="auto"/>
            <w:right w:val="none" w:sz="0" w:space="0" w:color="auto"/>
          </w:divBdr>
        </w:div>
        <w:div w:id="681128676">
          <w:marLeft w:val="0"/>
          <w:marRight w:val="0"/>
          <w:marTop w:val="0"/>
          <w:marBottom w:val="0"/>
          <w:divBdr>
            <w:top w:val="none" w:sz="0" w:space="0" w:color="auto"/>
            <w:left w:val="none" w:sz="0" w:space="0" w:color="auto"/>
            <w:bottom w:val="none" w:sz="0" w:space="0" w:color="auto"/>
            <w:right w:val="none" w:sz="0" w:space="0" w:color="auto"/>
          </w:divBdr>
        </w:div>
        <w:div w:id="1507475866">
          <w:marLeft w:val="0"/>
          <w:marRight w:val="0"/>
          <w:marTop w:val="0"/>
          <w:marBottom w:val="0"/>
          <w:divBdr>
            <w:top w:val="none" w:sz="0" w:space="0" w:color="auto"/>
            <w:left w:val="none" w:sz="0" w:space="0" w:color="auto"/>
            <w:bottom w:val="none" w:sz="0" w:space="0" w:color="auto"/>
            <w:right w:val="none" w:sz="0" w:space="0" w:color="auto"/>
          </w:divBdr>
        </w:div>
        <w:div w:id="1451850821">
          <w:marLeft w:val="0"/>
          <w:marRight w:val="0"/>
          <w:marTop w:val="0"/>
          <w:marBottom w:val="0"/>
          <w:divBdr>
            <w:top w:val="none" w:sz="0" w:space="0" w:color="auto"/>
            <w:left w:val="none" w:sz="0" w:space="0" w:color="auto"/>
            <w:bottom w:val="none" w:sz="0" w:space="0" w:color="auto"/>
            <w:right w:val="none" w:sz="0" w:space="0" w:color="auto"/>
          </w:divBdr>
        </w:div>
        <w:div w:id="542787140">
          <w:marLeft w:val="0"/>
          <w:marRight w:val="0"/>
          <w:marTop w:val="0"/>
          <w:marBottom w:val="0"/>
          <w:divBdr>
            <w:top w:val="none" w:sz="0" w:space="0" w:color="auto"/>
            <w:left w:val="none" w:sz="0" w:space="0" w:color="auto"/>
            <w:bottom w:val="none" w:sz="0" w:space="0" w:color="auto"/>
            <w:right w:val="none" w:sz="0" w:space="0" w:color="auto"/>
          </w:divBdr>
        </w:div>
        <w:div w:id="1185750150">
          <w:marLeft w:val="0"/>
          <w:marRight w:val="0"/>
          <w:marTop w:val="0"/>
          <w:marBottom w:val="0"/>
          <w:divBdr>
            <w:top w:val="none" w:sz="0" w:space="0" w:color="auto"/>
            <w:left w:val="none" w:sz="0" w:space="0" w:color="auto"/>
            <w:bottom w:val="none" w:sz="0" w:space="0" w:color="auto"/>
            <w:right w:val="none" w:sz="0" w:space="0" w:color="auto"/>
          </w:divBdr>
        </w:div>
        <w:div w:id="1157693983">
          <w:marLeft w:val="0"/>
          <w:marRight w:val="0"/>
          <w:marTop w:val="0"/>
          <w:marBottom w:val="0"/>
          <w:divBdr>
            <w:top w:val="none" w:sz="0" w:space="0" w:color="auto"/>
            <w:left w:val="none" w:sz="0" w:space="0" w:color="auto"/>
            <w:bottom w:val="none" w:sz="0" w:space="0" w:color="auto"/>
            <w:right w:val="none" w:sz="0" w:space="0" w:color="auto"/>
          </w:divBdr>
        </w:div>
        <w:div w:id="1525752312">
          <w:marLeft w:val="0"/>
          <w:marRight w:val="0"/>
          <w:marTop w:val="0"/>
          <w:marBottom w:val="0"/>
          <w:divBdr>
            <w:top w:val="none" w:sz="0" w:space="0" w:color="auto"/>
            <w:left w:val="none" w:sz="0" w:space="0" w:color="auto"/>
            <w:bottom w:val="none" w:sz="0" w:space="0" w:color="auto"/>
            <w:right w:val="none" w:sz="0" w:space="0" w:color="auto"/>
          </w:divBdr>
        </w:div>
        <w:div w:id="1248224692">
          <w:marLeft w:val="0"/>
          <w:marRight w:val="0"/>
          <w:marTop w:val="0"/>
          <w:marBottom w:val="0"/>
          <w:divBdr>
            <w:top w:val="none" w:sz="0" w:space="0" w:color="auto"/>
            <w:left w:val="none" w:sz="0" w:space="0" w:color="auto"/>
            <w:bottom w:val="none" w:sz="0" w:space="0" w:color="auto"/>
            <w:right w:val="none" w:sz="0" w:space="0" w:color="auto"/>
          </w:divBdr>
        </w:div>
        <w:div w:id="1269971882">
          <w:marLeft w:val="0"/>
          <w:marRight w:val="0"/>
          <w:marTop w:val="0"/>
          <w:marBottom w:val="0"/>
          <w:divBdr>
            <w:top w:val="none" w:sz="0" w:space="0" w:color="auto"/>
            <w:left w:val="none" w:sz="0" w:space="0" w:color="auto"/>
            <w:bottom w:val="none" w:sz="0" w:space="0" w:color="auto"/>
            <w:right w:val="none" w:sz="0" w:space="0" w:color="auto"/>
          </w:divBdr>
        </w:div>
        <w:div w:id="1993873640">
          <w:marLeft w:val="0"/>
          <w:marRight w:val="0"/>
          <w:marTop w:val="0"/>
          <w:marBottom w:val="0"/>
          <w:divBdr>
            <w:top w:val="none" w:sz="0" w:space="0" w:color="auto"/>
            <w:left w:val="none" w:sz="0" w:space="0" w:color="auto"/>
            <w:bottom w:val="none" w:sz="0" w:space="0" w:color="auto"/>
            <w:right w:val="none" w:sz="0" w:space="0" w:color="auto"/>
          </w:divBdr>
        </w:div>
        <w:div w:id="230238581">
          <w:marLeft w:val="0"/>
          <w:marRight w:val="0"/>
          <w:marTop w:val="0"/>
          <w:marBottom w:val="0"/>
          <w:divBdr>
            <w:top w:val="none" w:sz="0" w:space="0" w:color="auto"/>
            <w:left w:val="none" w:sz="0" w:space="0" w:color="auto"/>
            <w:bottom w:val="none" w:sz="0" w:space="0" w:color="auto"/>
            <w:right w:val="none" w:sz="0" w:space="0" w:color="auto"/>
          </w:divBdr>
        </w:div>
        <w:div w:id="331837948">
          <w:marLeft w:val="0"/>
          <w:marRight w:val="0"/>
          <w:marTop w:val="0"/>
          <w:marBottom w:val="0"/>
          <w:divBdr>
            <w:top w:val="none" w:sz="0" w:space="0" w:color="auto"/>
            <w:left w:val="none" w:sz="0" w:space="0" w:color="auto"/>
            <w:bottom w:val="none" w:sz="0" w:space="0" w:color="auto"/>
            <w:right w:val="none" w:sz="0" w:space="0" w:color="auto"/>
          </w:divBdr>
        </w:div>
        <w:div w:id="1962614260">
          <w:marLeft w:val="0"/>
          <w:marRight w:val="0"/>
          <w:marTop w:val="0"/>
          <w:marBottom w:val="0"/>
          <w:divBdr>
            <w:top w:val="none" w:sz="0" w:space="0" w:color="auto"/>
            <w:left w:val="none" w:sz="0" w:space="0" w:color="auto"/>
            <w:bottom w:val="none" w:sz="0" w:space="0" w:color="auto"/>
            <w:right w:val="none" w:sz="0" w:space="0" w:color="auto"/>
          </w:divBdr>
        </w:div>
        <w:div w:id="443618559">
          <w:marLeft w:val="0"/>
          <w:marRight w:val="0"/>
          <w:marTop w:val="0"/>
          <w:marBottom w:val="0"/>
          <w:divBdr>
            <w:top w:val="none" w:sz="0" w:space="0" w:color="auto"/>
            <w:left w:val="none" w:sz="0" w:space="0" w:color="auto"/>
            <w:bottom w:val="none" w:sz="0" w:space="0" w:color="auto"/>
            <w:right w:val="none" w:sz="0" w:space="0" w:color="auto"/>
          </w:divBdr>
        </w:div>
        <w:div w:id="158812471">
          <w:marLeft w:val="0"/>
          <w:marRight w:val="0"/>
          <w:marTop w:val="0"/>
          <w:marBottom w:val="0"/>
          <w:divBdr>
            <w:top w:val="none" w:sz="0" w:space="0" w:color="auto"/>
            <w:left w:val="none" w:sz="0" w:space="0" w:color="auto"/>
            <w:bottom w:val="none" w:sz="0" w:space="0" w:color="auto"/>
            <w:right w:val="none" w:sz="0" w:space="0" w:color="auto"/>
          </w:divBdr>
        </w:div>
        <w:div w:id="1323586087">
          <w:marLeft w:val="0"/>
          <w:marRight w:val="0"/>
          <w:marTop w:val="0"/>
          <w:marBottom w:val="0"/>
          <w:divBdr>
            <w:top w:val="none" w:sz="0" w:space="0" w:color="auto"/>
            <w:left w:val="none" w:sz="0" w:space="0" w:color="auto"/>
            <w:bottom w:val="none" w:sz="0" w:space="0" w:color="auto"/>
            <w:right w:val="none" w:sz="0" w:space="0" w:color="auto"/>
          </w:divBdr>
        </w:div>
        <w:div w:id="1110008245">
          <w:marLeft w:val="0"/>
          <w:marRight w:val="0"/>
          <w:marTop w:val="0"/>
          <w:marBottom w:val="0"/>
          <w:divBdr>
            <w:top w:val="none" w:sz="0" w:space="0" w:color="auto"/>
            <w:left w:val="none" w:sz="0" w:space="0" w:color="auto"/>
            <w:bottom w:val="none" w:sz="0" w:space="0" w:color="auto"/>
            <w:right w:val="none" w:sz="0" w:space="0" w:color="auto"/>
          </w:divBdr>
        </w:div>
        <w:div w:id="2132092663">
          <w:marLeft w:val="0"/>
          <w:marRight w:val="0"/>
          <w:marTop w:val="0"/>
          <w:marBottom w:val="0"/>
          <w:divBdr>
            <w:top w:val="none" w:sz="0" w:space="0" w:color="auto"/>
            <w:left w:val="none" w:sz="0" w:space="0" w:color="auto"/>
            <w:bottom w:val="none" w:sz="0" w:space="0" w:color="auto"/>
            <w:right w:val="none" w:sz="0" w:space="0" w:color="auto"/>
          </w:divBdr>
        </w:div>
        <w:div w:id="1539510850">
          <w:marLeft w:val="0"/>
          <w:marRight w:val="0"/>
          <w:marTop w:val="0"/>
          <w:marBottom w:val="0"/>
          <w:divBdr>
            <w:top w:val="none" w:sz="0" w:space="0" w:color="auto"/>
            <w:left w:val="none" w:sz="0" w:space="0" w:color="auto"/>
            <w:bottom w:val="none" w:sz="0" w:space="0" w:color="auto"/>
            <w:right w:val="none" w:sz="0" w:space="0" w:color="auto"/>
          </w:divBdr>
        </w:div>
        <w:div w:id="2069377289">
          <w:marLeft w:val="0"/>
          <w:marRight w:val="0"/>
          <w:marTop w:val="0"/>
          <w:marBottom w:val="0"/>
          <w:divBdr>
            <w:top w:val="none" w:sz="0" w:space="0" w:color="auto"/>
            <w:left w:val="none" w:sz="0" w:space="0" w:color="auto"/>
            <w:bottom w:val="none" w:sz="0" w:space="0" w:color="auto"/>
            <w:right w:val="none" w:sz="0" w:space="0" w:color="auto"/>
          </w:divBdr>
        </w:div>
        <w:div w:id="1127549206">
          <w:marLeft w:val="0"/>
          <w:marRight w:val="0"/>
          <w:marTop w:val="0"/>
          <w:marBottom w:val="0"/>
          <w:divBdr>
            <w:top w:val="none" w:sz="0" w:space="0" w:color="auto"/>
            <w:left w:val="none" w:sz="0" w:space="0" w:color="auto"/>
            <w:bottom w:val="none" w:sz="0" w:space="0" w:color="auto"/>
            <w:right w:val="none" w:sz="0" w:space="0" w:color="auto"/>
          </w:divBdr>
        </w:div>
        <w:div w:id="582757889">
          <w:marLeft w:val="0"/>
          <w:marRight w:val="0"/>
          <w:marTop w:val="0"/>
          <w:marBottom w:val="0"/>
          <w:divBdr>
            <w:top w:val="none" w:sz="0" w:space="0" w:color="auto"/>
            <w:left w:val="none" w:sz="0" w:space="0" w:color="auto"/>
            <w:bottom w:val="none" w:sz="0" w:space="0" w:color="auto"/>
            <w:right w:val="none" w:sz="0" w:space="0" w:color="auto"/>
          </w:divBdr>
        </w:div>
        <w:div w:id="74939956">
          <w:marLeft w:val="0"/>
          <w:marRight w:val="0"/>
          <w:marTop w:val="0"/>
          <w:marBottom w:val="0"/>
          <w:divBdr>
            <w:top w:val="none" w:sz="0" w:space="0" w:color="auto"/>
            <w:left w:val="none" w:sz="0" w:space="0" w:color="auto"/>
            <w:bottom w:val="none" w:sz="0" w:space="0" w:color="auto"/>
            <w:right w:val="none" w:sz="0" w:space="0" w:color="auto"/>
          </w:divBdr>
        </w:div>
        <w:div w:id="1313946192">
          <w:marLeft w:val="0"/>
          <w:marRight w:val="0"/>
          <w:marTop w:val="0"/>
          <w:marBottom w:val="0"/>
          <w:divBdr>
            <w:top w:val="none" w:sz="0" w:space="0" w:color="auto"/>
            <w:left w:val="none" w:sz="0" w:space="0" w:color="auto"/>
            <w:bottom w:val="none" w:sz="0" w:space="0" w:color="auto"/>
            <w:right w:val="none" w:sz="0" w:space="0" w:color="auto"/>
          </w:divBdr>
        </w:div>
        <w:div w:id="643511309">
          <w:marLeft w:val="0"/>
          <w:marRight w:val="0"/>
          <w:marTop w:val="0"/>
          <w:marBottom w:val="0"/>
          <w:divBdr>
            <w:top w:val="none" w:sz="0" w:space="0" w:color="auto"/>
            <w:left w:val="none" w:sz="0" w:space="0" w:color="auto"/>
            <w:bottom w:val="none" w:sz="0" w:space="0" w:color="auto"/>
            <w:right w:val="none" w:sz="0" w:space="0" w:color="auto"/>
          </w:divBdr>
        </w:div>
        <w:div w:id="1972051026">
          <w:marLeft w:val="0"/>
          <w:marRight w:val="0"/>
          <w:marTop w:val="0"/>
          <w:marBottom w:val="0"/>
          <w:divBdr>
            <w:top w:val="none" w:sz="0" w:space="0" w:color="auto"/>
            <w:left w:val="none" w:sz="0" w:space="0" w:color="auto"/>
            <w:bottom w:val="none" w:sz="0" w:space="0" w:color="auto"/>
            <w:right w:val="none" w:sz="0" w:space="0" w:color="auto"/>
          </w:divBdr>
        </w:div>
        <w:div w:id="78524893">
          <w:marLeft w:val="0"/>
          <w:marRight w:val="0"/>
          <w:marTop w:val="0"/>
          <w:marBottom w:val="0"/>
          <w:divBdr>
            <w:top w:val="none" w:sz="0" w:space="0" w:color="auto"/>
            <w:left w:val="none" w:sz="0" w:space="0" w:color="auto"/>
            <w:bottom w:val="none" w:sz="0" w:space="0" w:color="auto"/>
            <w:right w:val="none" w:sz="0" w:space="0" w:color="auto"/>
          </w:divBdr>
        </w:div>
        <w:div w:id="224951991">
          <w:marLeft w:val="0"/>
          <w:marRight w:val="0"/>
          <w:marTop w:val="0"/>
          <w:marBottom w:val="0"/>
          <w:divBdr>
            <w:top w:val="none" w:sz="0" w:space="0" w:color="auto"/>
            <w:left w:val="none" w:sz="0" w:space="0" w:color="auto"/>
            <w:bottom w:val="none" w:sz="0" w:space="0" w:color="auto"/>
            <w:right w:val="none" w:sz="0" w:space="0" w:color="auto"/>
          </w:divBdr>
        </w:div>
        <w:div w:id="1700887402">
          <w:marLeft w:val="0"/>
          <w:marRight w:val="0"/>
          <w:marTop w:val="0"/>
          <w:marBottom w:val="0"/>
          <w:divBdr>
            <w:top w:val="none" w:sz="0" w:space="0" w:color="auto"/>
            <w:left w:val="none" w:sz="0" w:space="0" w:color="auto"/>
            <w:bottom w:val="none" w:sz="0" w:space="0" w:color="auto"/>
            <w:right w:val="none" w:sz="0" w:space="0" w:color="auto"/>
          </w:divBdr>
        </w:div>
        <w:div w:id="1034816545">
          <w:marLeft w:val="0"/>
          <w:marRight w:val="0"/>
          <w:marTop w:val="0"/>
          <w:marBottom w:val="0"/>
          <w:divBdr>
            <w:top w:val="none" w:sz="0" w:space="0" w:color="auto"/>
            <w:left w:val="none" w:sz="0" w:space="0" w:color="auto"/>
            <w:bottom w:val="none" w:sz="0" w:space="0" w:color="auto"/>
            <w:right w:val="none" w:sz="0" w:space="0" w:color="auto"/>
          </w:divBdr>
        </w:div>
        <w:div w:id="1808467739">
          <w:marLeft w:val="0"/>
          <w:marRight w:val="0"/>
          <w:marTop w:val="0"/>
          <w:marBottom w:val="0"/>
          <w:divBdr>
            <w:top w:val="none" w:sz="0" w:space="0" w:color="auto"/>
            <w:left w:val="none" w:sz="0" w:space="0" w:color="auto"/>
            <w:bottom w:val="none" w:sz="0" w:space="0" w:color="auto"/>
            <w:right w:val="none" w:sz="0" w:space="0" w:color="auto"/>
          </w:divBdr>
        </w:div>
        <w:div w:id="780225135">
          <w:marLeft w:val="0"/>
          <w:marRight w:val="0"/>
          <w:marTop w:val="0"/>
          <w:marBottom w:val="0"/>
          <w:divBdr>
            <w:top w:val="none" w:sz="0" w:space="0" w:color="auto"/>
            <w:left w:val="none" w:sz="0" w:space="0" w:color="auto"/>
            <w:bottom w:val="none" w:sz="0" w:space="0" w:color="auto"/>
            <w:right w:val="none" w:sz="0" w:space="0" w:color="auto"/>
          </w:divBdr>
        </w:div>
        <w:div w:id="429737748">
          <w:marLeft w:val="0"/>
          <w:marRight w:val="0"/>
          <w:marTop w:val="0"/>
          <w:marBottom w:val="0"/>
          <w:divBdr>
            <w:top w:val="none" w:sz="0" w:space="0" w:color="auto"/>
            <w:left w:val="none" w:sz="0" w:space="0" w:color="auto"/>
            <w:bottom w:val="none" w:sz="0" w:space="0" w:color="auto"/>
            <w:right w:val="none" w:sz="0" w:space="0" w:color="auto"/>
          </w:divBdr>
        </w:div>
        <w:div w:id="1530146113">
          <w:marLeft w:val="0"/>
          <w:marRight w:val="0"/>
          <w:marTop w:val="0"/>
          <w:marBottom w:val="0"/>
          <w:divBdr>
            <w:top w:val="none" w:sz="0" w:space="0" w:color="auto"/>
            <w:left w:val="none" w:sz="0" w:space="0" w:color="auto"/>
            <w:bottom w:val="none" w:sz="0" w:space="0" w:color="auto"/>
            <w:right w:val="none" w:sz="0" w:space="0" w:color="auto"/>
          </w:divBdr>
        </w:div>
        <w:div w:id="467169199">
          <w:marLeft w:val="0"/>
          <w:marRight w:val="0"/>
          <w:marTop w:val="0"/>
          <w:marBottom w:val="0"/>
          <w:divBdr>
            <w:top w:val="none" w:sz="0" w:space="0" w:color="auto"/>
            <w:left w:val="none" w:sz="0" w:space="0" w:color="auto"/>
            <w:bottom w:val="none" w:sz="0" w:space="0" w:color="auto"/>
            <w:right w:val="none" w:sz="0" w:space="0" w:color="auto"/>
          </w:divBdr>
        </w:div>
      </w:divsChild>
    </w:div>
    <w:div w:id="1155682133">
      <w:bodyDiv w:val="1"/>
      <w:marLeft w:val="0"/>
      <w:marRight w:val="0"/>
      <w:marTop w:val="0"/>
      <w:marBottom w:val="0"/>
      <w:divBdr>
        <w:top w:val="none" w:sz="0" w:space="0" w:color="auto"/>
        <w:left w:val="none" w:sz="0" w:space="0" w:color="auto"/>
        <w:bottom w:val="none" w:sz="0" w:space="0" w:color="auto"/>
        <w:right w:val="none" w:sz="0" w:space="0" w:color="auto"/>
      </w:divBdr>
    </w:div>
    <w:div w:id="1156607607">
      <w:bodyDiv w:val="1"/>
      <w:marLeft w:val="0"/>
      <w:marRight w:val="0"/>
      <w:marTop w:val="0"/>
      <w:marBottom w:val="0"/>
      <w:divBdr>
        <w:top w:val="none" w:sz="0" w:space="0" w:color="auto"/>
        <w:left w:val="none" w:sz="0" w:space="0" w:color="auto"/>
        <w:bottom w:val="none" w:sz="0" w:space="0" w:color="auto"/>
        <w:right w:val="none" w:sz="0" w:space="0" w:color="auto"/>
      </w:divBdr>
    </w:div>
    <w:div w:id="1158813931">
      <w:bodyDiv w:val="1"/>
      <w:marLeft w:val="0"/>
      <w:marRight w:val="0"/>
      <w:marTop w:val="0"/>
      <w:marBottom w:val="0"/>
      <w:divBdr>
        <w:top w:val="none" w:sz="0" w:space="0" w:color="auto"/>
        <w:left w:val="none" w:sz="0" w:space="0" w:color="auto"/>
        <w:bottom w:val="none" w:sz="0" w:space="0" w:color="auto"/>
        <w:right w:val="none" w:sz="0" w:space="0" w:color="auto"/>
      </w:divBdr>
    </w:div>
    <w:div w:id="1164590524">
      <w:bodyDiv w:val="1"/>
      <w:marLeft w:val="0"/>
      <w:marRight w:val="0"/>
      <w:marTop w:val="0"/>
      <w:marBottom w:val="0"/>
      <w:divBdr>
        <w:top w:val="none" w:sz="0" w:space="0" w:color="auto"/>
        <w:left w:val="none" w:sz="0" w:space="0" w:color="auto"/>
        <w:bottom w:val="none" w:sz="0" w:space="0" w:color="auto"/>
        <w:right w:val="none" w:sz="0" w:space="0" w:color="auto"/>
      </w:divBdr>
    </w:div>
    <w:div w:id="1165054514">
      <w:bodyDiv w:val="1"/>
      <w:marLeft w:val="0"/>
      <w:marRight w:val="0"/>
      <w:marTop w:val="0"/>
      <w:marBottom w:val="0"/>
      <w:divBdr>
        <w:top w:val="none" w:sz="0" w:space="0" w:color="auto"/>
        <w:left w:val="none" w:sz="0" w:space="0" w:color="auto"/>
        <w:bottom w:val="none" w:sz="0" w:space="0" w:color="auto"/>
        <w:right w:val="none" w:sz="0" w:space="0" w:color="auto"/>
      </w:divBdr>
    </w:div>
    <w:div w:id="1168442331">
      <w:bodyDiv w:val="1"/>
      <w:marLeft w:val="0"/>
      <w:marRight w:val="0"/>
      <w:marTop w:val="0"/>
      <w:marBottom w:val="0"/>
      <w:divBdr>
        <w:top w:val="none" w:sz="0" w:space="0" w:color="auto"/>
        <w:left w:val="none" w:sz="0" w:space="0" w:color="auto"/>
        <w:bottom w:val="none" w:sz="0" w:space="0" w:color="auto"/>
        <w:right w:val="none" w:sz="0" w:space="0" w:color="auto"/>
      </w:divBdr>
    </w:div>
    <w:div w:id="1170563825">
      <w:bodyDiv w:val="1"/>
      <w:marLeft w:val="0"/>
      <w:marRight w:val="0"/>
      <w:marTop w:val="0"/>
      <w:marBottom w:val="0"/>
      <w:divBdr>
        <w:top w:val="none" w:sz="0" w:space="0" w:color="auto"/>
        <w:left w:val="none" w:sz="0" w:space="0" w:color="auto"/>
        <w:bottom w:val="none" w:sz="0" w:space="0" w:color="auto"/>
        <w:right w:val="none" w:sz="0" w:space="0" w:color="auto"/>
      </w:divBdr>
    </w:div>
    <w:div w:id="1174609209">
      <w:bodyDiv w:val="1"/>
      <w:marLeft w:val="0"/>
      <w:marRight w:val="0"/>
      <w:marTop w:val="0"/>
      <w:marBottom w:val="0"/>
      <w:divBdr>
        <w:top w:val="none" w:sz="0" w:space="0" w:color="auto"/>
        <w:left w:val="none" w:sz="0" w:space="0" w:color="auto"/>
        <w:bottom w:val="none" w:sz="0" w:space="0" w:color="auto"/>
        <w:right w:val="none" w:sz="0" w:space="0" w:color="auto"/>
      </w:divBdr>
    </w:div>
    <w:div w:id="1182163720">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184369577">
      <w:bodyDiv w:val="1"/>
      <w:marLeft w:val="0"/>
      <w:marRight w:val="0"/>
      <w:marTop w:val="0"/>
      <w:marBottom w:val="0"/>
      <w:divBdr>
        <w:top w:val="none" w:sz="0" w:space="0" w:color="auto"/>
        <w:left w:val="none" w:sz="0" w:space="0" w:color="auto"/>
        <w:bottom w:val="none" w:sz="0" w:space="0" w:color="auto"/>
        <w:right w:val="none" w:sz="0" w:space="0" w:color="auto"/>
      </w:divBdr>
    </w:div>
    <w:div w:id="1186823194">
      <w:bodyDiv w:val="1"/>
      <w:marLeft w:val="0"/>
      <w:marRight w:val="0"/>
      <w:marTop w:val="0"/>
      <w:marBottom w:val="0"/>
      <w:divBdr>
        <w:top w:val="none" w:sz="0" w:space="0" w:color="auto"/>
        <w:left w:val="none" w:sz="0" w:space="0" w:color="auto"/>
        <w:bottom w:val="none" w:sz="0" w:space="0" w:color="auto"/>
        <w:right w:val="none" w:sz="0" w:space="0" w:color="auto"/>
      </w:divBdr>
    </w:div>
    <w:div w:id="1188375215">
      <w:bodyDiv w:val="1"/>
      <w:marLeft w:val="0"/>
      <w:marRight w:val="0"/>
      <w:marTop w:val="0"/>
      <w:marBottom w:val="0"/>
      <w:divBdr>
        <w:top w:val="none" w:sz="0" w:space="0" w:color="auto"/>
        <w:left w:val="none" w:sz="0" w:space="0" w:color="auto"/>
        <w:bottom w:val="none" w:sz="0" w:space="0" w:color="auto"/>
        <w:right w:val="none" w:sz="0" w:space="0" w:color="auto"/>
      </w:divBdr>
    </w:div>
    <w:div w:id="1189948251">
      <w:bodyDiv w:val="1"/>
      <w:marLeft w:val="0"/>
      <w:marRight w:val="0"/>
      <w:marTop w:val="0"/>
      <w:marBottom w:val="0"/>
      <w:divBdr>
        <w:top w:val="none" w:sz="0" w:space="0" w:color="auto"/>
        <w:left w:val="none" w:sz="0" w:space="0" w:color="auto"/>
        <w:bottom w:val="none" w:sz="0" w:space="0" w:color="auto"/>
        <w:right w:val="none" w:sz="0" w:space="0" w:color="auto"/>
      </w:divBdr>
    </w:div>
    <w:div w:id="1191531241">
      <w:bodyDiv w:val="1"/>
      <w:marLeft w:val="0"/>
      <w:marRight w:val="0"/>
      <w:marTop w:val="0"/>
      <w:marBottom w:val="0"/>
      <w:divBdr>
        <w:top w:val="none" w:sz="0" w:space="0" w:color="auto"/>
        <w:left w:val="none" w:sz="0" w:space="0" w:color="auto"/>
        <w:bottom w:val="none" w:sz="0" w:space="0" w:color="auto"/>
        <w:right w:val="none" w:sz="0" w:space="0" w:color="auto"/>
      </w:divBdr>
    </w:div>
    <w:div w:id="1192571851">
      <w:bodyDiv w:val="1"/>
      <w:marLeft w:val="0"/>
      <w:marRight w:val="0"/>
      <w:marTop w:val="0"/>
      <w:marBottom w:val="0"/>
      <w:divBdr>
        <w:top w:val="none" w:sz="0" w:space="0" w:color="auto"/>
        <w:left w:val="none" w:sz="0" w:space="0" w:color="auto"/>
        <w:bottom w:val="none" w:sz="0" w:space="0" w:color="auto"/>
        <w:right w:val="none" w:sz="0" w:space="0" w:color="auto"/>
      </w:divBdr>
      <w:divsChild>
        <w:div w:id="418252976">
          <w:marLeft w:val="0"/>
          <w:marRight w:val="0"/>
          <w:marTop w:val="0"/>
          <w:marBottom w:val="0"/>
          <w:divBdr>
            <w:top w:val="none" w:sz="0" w:space="0" w:color="auto"/>
            <w:left w:val="none" w:sz="0" w:space="0" w:color="auto"/>
            <w:bottom w:val="none" w:sz="0" w:space="0" w:color="auto"/>
            <w:right w:val="none" w:sz="0" w:space="0" w:color="auto"/>
          </w:divBdr>
        </w:div>
      </w:divsChild>
    </w:div>
    <w:div w:id="1193300954">
      <w:bodyDiv w:val="1"/>
      <w:marLeft w:val="0"/>
      <w:marRight w:val="0"/>
      <w:marTop w:val="0"/>
      <w:marBottom w:val="0"/>
      <w:divBdr>
        <w:top w:val="none" w:sz="0" w:space="0" w:color="auto"/>
        <w:left w:val="none" w:sz="0" w:space="0" w:color="auto"/>
        <w:bottom w:val="none" w:sz="0" w:space="0" w:color="auto"/>
        <w:right w:val="none" w:sz="0" w:space="0" w:color="auto"/>
      </w:divBdr>
    </w:div>
    <w:div w:id="1194270356">
      <w:bodyDiv w:val="1"/>
      <w:marLeft w:val="0"/>
      <w:marRight w:val="0"/>
      <w:marTop w:val="0"/>
      <w:marBottom w:val="0"/>
      <w:divBdr>
        <w:top w:val="none" w:sz="0" w:space="0" w:color="auto"/>
        <w:left w:val="none" w:sz="0" w:space="0" w:color="auto"/>
        <w:bottom w:val="none" w:sz="0" w:space="0" w:color="auto"/>
        <w:right w:val="none" w:sz="0" w:space="0" w:color="auto"/>
      </w:divBdr>
    </w:div>
    <w:div w:id="1194348225">
      <w:bodyDiv w:val="1"/>
      <w:marLeft w:val="0"/>
      <w:marRight w:val="0"/>
      <w:marTop w:val="0"/>
      <w:marBottom w:val="0"/>
      <w:divBdr>
        <w:top w:val="none" w:sz="0" w:space="0" w:color="auto"/>
        <w:left w:val="none" w:sz="0" w:space="0" w:color="auto"/>
        <w:bottom w:val="none" w:sz="0" w:space="0" w:color="auto"/>
        <w:right w:val="none" w:sz="0" w:space="0" w:color="auto"/>
      </w:divBdr>
    </w:div>
    <w:div w:id="1199197586">
      <w:bodyDiv w:val="1"/>
      <w:marLeft w:val="0"/>
      <w:marRight w:val="0"/>
      <w:marTop w:val="0"/>
      <w:marBottom w:val="0"/>
      <w:divBdr>
        <w:top w:val="none" w:sz="0" w:space="0" w:color="auto"/>
        <w:left w:val="none" w:sz="0" w:space="0" w:color="auto"/>
        <w:bottom w:val="none" w:sz="0" w:space="0" w:color="auto"/>
        <w:right w:val="none" w:sz="0" w:space="0" w:color="auto"/>
      </w:divBdr>
    </w:div>
    <w:div w:id="1204563013">
      <w:bodyDiv w:val="1"/>
      <w:marLeft w:val="0"/>
      <w:marRight w:val="0"/>
      <w:marTop w:val="0"/>
      <w:marBottom w:val="0"/>
      <w:divBdr>
        <w:top w:val="none" w:sz="0" w:space="0" w:color="auto"/>
        <w:left w:val="none" w:sz="0" w:space="0" w:color="auto"/>
        <w:bottom w:val="none" w:sz="0" w:space="0" w:color="auto"/>
        <w:right w:val="none" w:sz="0" w:space="0" w:color="auto"/>
      </w:divBdr>
    </w:div>
    <w:div w:id="1212301692">
      <w:bodyDiv w:val="1"/>
      <w:marLeft w:val="0"/>
      <w:marRight w:val="0"/>
      <w:marTop w:val="0"/>
      <w:marBottom w:val="0"/>
      <w:divBdr>
        <w:top w:val="none" w:sz="0" w:space="0" w:color="auto"/>
        <w:left w:val="none" w:sz="0" w:space="0" w:color="auto"/>
        <w:bottom w:val="none" w:sz="0" w:space="0" w:color="auto"/>
        <w:right w:val="none" w:sz="0" w:space="0" w:color="auto"/>
      </w:divBdr>
    </w:div>
    <w:div w:id="1214347845">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217744024">
      <w:bodyDiv w:val="1"/>
      <w:marLeft w:val="0"/>
      <w:marRight w:val="0"/>
      <w:marTop w:val="0"/>
      <w:marBottom w:val="0"/>
      <w:divBdr>
        <w:top w:val="none" w:sz="0" w:space="0" w:color="auto"/>
        <w:left w:val="none" w:sz="0" w:space="0" w:color="auto"/>
        <w:bottom w:val="none" w:sz="0" w:space="0" w:color="auto"/>
        <w:right w:val="none" w:sz="0" w:space="0" w:color="auto"/>
      </w:divBdr>
    </w:div>
    <w:div w:id="1218468714">
      <w:bodyDiv w:val="1"/>
      <w:marLeft w:val="0"/>
      <w:marRight w:val="0"/>
      <w:marTop w:val="0"/>
      <w:marBottom w:val="0"/>
      <w:divBdr>
        <w:top w:val="none" w:sz="0" w:space="0" w:color="auto"/>
        <w:left w:val="none" w:sz="0" w:space="0" w:color="auto"/>
        <w:bottom w:val="none" w:sz="0" w:space="0" w:color="auto"/>
        <w:right w:val="none" w:sz="0" w:space="0" w:color="auto"/>
      </w:divBdr>
    </w:div>
    <w:div w:id="1220287147">
      <w:bodyDiv w:val="1"/>
      <w:marLeft w:val="0"/>
      <w:marRight w:val="0"/>
      <w:marTop w:val="0"/>
      <w:marBottom w:val="0"/>
      <w:divBdr>
        <w:top w:val="none" w:sz="0" w:space="0" w:color="auto"/>
        <w:left w:val="none" w:sz="0" w:space="0" w:color="auto"/>
        <w:bottom w:val="none" w:sz="0" w:space="0" w:color="auto"/>
        <w:right w:val="none" w:sz="0" w:space="0" w:color="auto"/>
      </w:divBdr>
    </w:div>
    <w:div w:id="1220635160">
      <w:bodyDiv w:val="1"/>
      <w:marLeft w:val="0"/>
      <w:marRight w:val="0"/>
      <w:marTop w:val="0"/>
      <w:marBottom w:val="0"/>
      <w:divBdr>
        <w:top w:val="none" w:sz="0" w:space="0" w:color="auto"/>
        <w:left w:val="none" w:sz="0" w:space="0" w:color="auto"/>
        <w:bottom w:val="none" w:sz="0" w:space="0" w:color="auto"/>
        <w:right w:val="none" w:sz="0" w:space="0" w:color="auto"/>
      </w:divBdr>
    </w:div>
    <w:div w:id="1222444340">
      <w:bodyDiv w:val="1"/>
      <w:marLeft w:val="0"/>
      <w:marRight w:val="0"/>
      <w:marTop w:val="0"/>
      <w:marBottom w:val="0"/>
      <w:divBdr>
        <w:top w:val="none" w:sz="0" w:space="0" w:color="auto"/>
        <w:left w:val="none" w:sz="0" w:space="0" w:color="auto"/>
        <w:bottom w:val="none" w:sz="0" w:space="0" w:color="auto"/>
        <w:right w:val="none" w:sz="0" w:space="0" w:color="auto"/>
      </w:divBdr>
    </w:div>
    <w:div w:id="1227833732">
      <w:bodyDiv w:val="1"/>
      <w:marLeft w:val="0"/>
      <w:marRight w:val="0"/>
      <w:marTop w:val="0"/>
      <w:marBottom w:val="0"/>
      <w:divBdr>
        <w:top w:val="none" w:sz="0" w:space="0" w:color="auto"/>
        <w:left w:val="none" w:sz="0" w:space="0" w:color="auto"/>
        <w:bottom w:val="none" w:sz="0" w:space="0" w:color="auto"/>
        <w:right w:val="none" w:sz="0" w:space="0" w:color="auto"/>
      </w:divBdr>
    </w:div>
    <w:div w:id="1234895574">
      <w:bodyDiv w:val="1"/>
      <w:marLeft w:val="0"/>
      <w:marRight w:val="0"/>
      <w:marTop w:val="0"/>
      <w:marBottom w:val="0"/>
      <w:divBdr>
        <w:top w:val="none" w:sz="0" w:space="0" w:color="auto"/>
        <w:left w:val="none" w:sz="0" w:space="0" w:color="auto"/>
        <w:bottom w:val="none" w:sz="0" w:space="0" w:color="auto"/>
        <w:right w:val="none" w:sz="0" w:space="0" w:color="auto"/>
      </w:divBdr>
    </w:div>
    <w:div w:id="1240020420">
      <w:bodyDiv w:val="1"/>
      <w:marLeft w:val="0"/>
      <w:marRight w:val="0"/>
      <w:marTop w:val="0"/>
      <w:marBottom w:val="0"/>
      <w:divBdr>
        <w:top w:val="none" w:sz="0" w:space="0" w:color="auto"/>
        <w:left w:val="none" w:sz="0" w:space="0" w:color="auto"/>
        <w:bottom w:val="none" w:sz="0" w:space="0" w:color="auto"/>
        <w:right w:val="none" w:sz="0" w:space="0" w:color="auto"/>
      </w:divBdr>
    </w:div>
    <w:div w:id="1243878386">
      <w:bodyDiv w:val="1"/>
      <w:marLeft w:val="0"/>
      <w:marRight w:val="0"/>
      <w:marTop w:val="0"/>
      <w:marBottom w:val="0"/>
      <w:divBdr>
        <w:top w:val="none" w:sz="0" w:space="0" w:color="auto"/>
        <w:left w:val="none" w:sz="0" w:space="0" w:color="auto"/>
        <w:bottom w:val="none" w:sz="0" w:space="0" w:color="auto"/>
        <w:right w:val="none" w:sz="0" w:space="0" w:color="auto"/>
      </w:divBdr>
    </w:div>
    <w:div w:id="1246691337">
      <w:bodyDiv w:val="1"/>
      <w:marLeft w:val="0"/>
      <w:marRight w:val="0"/>
      <w:marTop w:val="0"/>
      <w:marBottom w:val="0"/>
      <w:divBdr>
        <w:top w:val="none" w:sz="0" w:space="0" w:color="auto"/>
        <w:left w:val="none" w:sz="0" w:space="0" w:color="auto"/>
        <w:bottom w:val="none" w:sz="0" w:space="0" w:color="auto"/>
        <w:right w:val="none" w:sz="0" w:space="0" w:color="auto"/>
      </w:divBdr>
    </w:div>
    <w:div w:id="1248467098">
      <w:bodyDiv w:val="1"/>
      <w:marLeft w:val="0"/>
      <w:marRight w:val="0"/>
      <w:marTop w:val="0"/>
      <w:marBottom w:val="0"/>
      <w:divBdr>
        <w:top w:val="none" w:sz="0" w:space="0" w:color="auto"/>
        <w:left w:val="none" w:sz="0" w:space="0" w:color="auto"/>
        <w:bottom w:val="none" w:sz="0" w:space="0" w:color="auto"/>
        <w:right w:val="none" w:sz="0" w:space="0" w:color="auto"/>
      </w:divBdr>
    </w:div>
    <w:div w:id="1252471348">
      <w:bodyDiv w:val="1"/>
      <w:marLeft w:val="0"/>
      <w:marRight w:val="0"/>
      <w:marTop w:val="0"/>
      <w:marBottom w:val="0"/>
      <w:divBdr>
        <w:top w:val="none" w:sz="0" w:space="0" w:color="auto"/>
        <w:left w:val="none" w:sz="0" w:space="0" w:color="auto"/>
        <w:bottom w:val="none" w:sz="0" w:space="0" w:color="auto"/>
        <w:right w:val="none" w:sz="0" w:space="0" w:color="auto"/>
      </w:divBdr>
    </w:div>
    <w:div w:id="1257711609">
      <w:bodyDiv w:val="1"/>
      <w:marLeft w:val="0"/>
      <w:marRight w:val="0"/>
      <w:marTop w:val="0"/>
      <w:marBottom w:val="0"/>
      <w:divBdr>
        <w:top w:val="none" w:sz="0" w:space="0" w:color="auto"/>
        <w:left w:val="none" w:sz="0" w:space="0" w:color="auto"/>
        <w:bottom w:val="none" w:sz="0" w:space="0" w:color="auto"/>
        <w:right w:val="none" w:sz="0" w:space="0" w:color="auto"/>
      </w:divBdr>
    </w:div>
    <w:div w:id="1259947874">
      <w:bodyDiv w:val="1"/>
      <w:marLeft w:val="0"/>
      <w:marRight w:val="0"/>
      <w:marTop w:val="0"/>
      <w:marBottom w:val="0"/>
      <w:divBdr>
        <w:top w:val="none" w:sz="0" w:space="0" w:color="auto"/>
        <w:left w:val="none" w:sz="0" w:space="0" w:color="auto"/>
        <w:bottom w:val="none" w:sz="0" w:space="0" w:color="auto"/>
        <w:right w:val="none" w:sz="0" w:space="0" w:color="auto"/>
      </w:divBdr>
    </w:div>
    <w:div w:id="1260262235">
      <w:bodyDiv w:val="1"/>
      <w:marLeft w:val="0"/>
      <w:marRight w:val="0"/>
      <w:marTop w:val="0"/>
      <w:marBottom w:val="0"/>
      <w:divBdr>
        <w:top w:val="none" w:sz="0" w:space="0" w:color="auto"/>
        <w:left w:val="none" w:sz="0" w:space="0" w:color="auto"/>
        <w:bottom w:val="none" w:sz="0" w:space="0" w:color="auto"/>
        <w:right w:val="none" w:sz="0" w:space="0" w:color="auto"/>
      </w:divBdr>
    </w:div>
    <w:div w:id="1261912074">
      <w:bodyDiv w:val="1"/>
      <w:marLeft w:val="0"/>
      <w:marRight w:val="0"/>
      <w:marTop w:val="0"/>
      <w:marBottom w:val="0"/>
      <w:divBdr>
        <w:top w:val="none" w:sz="0" w:space="0" w:color="auto"/>
        <w:left w:val="none" w:sz="0" w:space="0" w:color="auto"/>
        <w:bottom w:val="none" w:sz="0" w:space="0" w:color="auto"/>
        <w:right w:val="none" w:sz="0" w:space="0" w:color="auto"/>
      </w:divBdr>
    </w:div>
    <w:div w:id="1263028404">
      <w:bodyDiv w:val="1"/>
      <w:marLeft w:val="0"/>
      <w:marRight w:val="0"/>
      <w:marTop w:val="0"/>
      <w:marBottom w:val="0"/>
      <w:divBdr>
        <w:top w:val="none" w:sz="0" w:space="0" w:color="auto"/>
        <w:left w:val="none" w:sz="0" w:space="0" w:color="auto"/>
        <w:bottom w:val="none" w:sz="0" w:space="0" w:color="auto"/>
        <w:right w:val="none" w:sz="0" w:space="0" w:color="auto"/>
      </w:divBdr>
    </w:div>
    <w:div w:id="1275283786">
      <w:bodyDiv w:val="1"/>
      <w:marLeft w:val="0"/>
      <w:marRight w:val="0"/>
      <w:marTop w:val="0"/>
      <w:marBottom w:val="0"/>
      <w:divBdr>
        <w:top w:val="none" w:sz="0" w:space="0" w:color="auto"/>
        <w:left w:val="none" w:sz="0" w:space="0" w:color="auto"/>
        <w:bottom w:val="none" w:sz="0" w:space="0" w:color="auto"/>
        <w:right w:val="none" w:sz="0" w:space="0" w:color="auto"/>
      </w:divBdr>
    </w:div>
    <w:div w:id="1278296562">
      <w:bodyDiv w:val="1"/>
      <w:marLeft w:val="0"/>
      <w:marRight w:val="0"/>
      <w:marTop w:val="0"/>
      <w:marBottom w:val="0"/>
      <w:divBdr>
        <w:top w:val="none" w:sz="0" w:space="0" w:color="auto"/>
        <w:left w:val="none" w:sz="0" w:space="0" w:color="auto"/>
        <w:bottom w:val="none" w:sz="0" w:space="0" w:color="auto"/>
        <w:right w:val="none" w:sz="0" w:space="0" w:color="auto"/>
      </w:divBdr>
    </w:div>
    <w:div w:id="1278487167">
      <w:bodyDiv w:val="1"/>
      <w:marLeft w:val="0"/>
      <w:marRight w:val="0"/>
      <w:marTop w:val="0"/>
      <w:marBottom w:val="0"/>
      <w:divBdr>
        <w:top w:val="none" w:sz="0" w:space="0" w:color="auto"/>
        <w:left w:val="none" w:sz="0" w:space="0" w:color="auto"/>
        <w:bottom w:val="none" w:sz="0" w:space="0" w:color="auto"/>
        <w:right w:val="none" w:sz="0" w:space="0" w:color="auto"/>
      </w:divBdr>
    </w:div>
    <w:div w:id="1278636390">
      <w:bodyDiv w:val="1"/>
      <w:marLeft w:val="0"/>
      <w:marRight w:val="0"/>
      <w:marTop w:val="0"/>
      <w:marBottom w:val="0"/>
      <w:divBdr>
        <w:top w:val="none" w:sz="0" w:space="0" w:color="auto"/>
        <w:left w:val="none" w:sz="0" w:space="0" w:color="auto"/>
        <w:bottom w:val="none" w:sz="0" w:space="0" w:color="auto"/>
        <w:right w:val="none" w:sz="0" w:space="0" w:color="auto"/>
      </w:divBdr>
    </w:div>
    <w:div w:id="1280574942">
      <w:bodyDiv w:val="1"/>
      <w:marLeft w:val="0"/>
      <w:marRight w:val="0"/>
      <w:marTop w:val="0"/>
      <w:marBottom w:val="0"/>
      <w:divBdr>
        <w:top w:val="none" w:sz="0" w:space="0" w:color="auto"/>
        <w:left w:val="none" w:sz="0" w:space="0" w:color="auto"/>
        <w:bottom w:val="none" w:sz="0" w:space="0" w:color="auto"/>
        <w:right w:val="none" w:sz="0" w:space="0" w:color="auto"/>
      </w:divBdr>
    </w:div>
    <w:div w:id="1282305037">
      <w:bodyDiv w:val="1"/>
      <w:marLeft w:val="0"/>
      <w:marRight w:val="0"/>
      <w:marTop w:val="0"/>
      <w:marBottom w:val="0"/>
      <w:divBdr>
        <w:top w:val="none" w:sz="0" w:space="0" w:color="auto"/>
        <w:left w:val="none" w:sz="0" w:space="0" w:color="auto"/>
        <w:bottom w:val="none" w:sz="0" w:space="0" w:color="auto"/>
        <w:right w:val="none" w:sz="0" w:space="0" w:color="auto"/>
      </w:divBdr>
    </w:div>
    <w:div w:id="1283267117">
      <w:bodyDiv w:val="1"/>
      <w:marLeft w:val="0"/>
      <w:marRight w:val="0"/>
      <w:marTop w:val="0"/>
      <w:marBottom w:val="0"/>
      <w:divBdr>
        <w:top w:val="none" w:sz="0" w:space="0" w:color="auto"/>
        <w:left w:val="none" w:sz="0" w:space="0" w:color="auto"/>
        <w:bottom w:val="none" w:sz="0" w:space="0" w:color="auto"/>
        <w:right w:val="none" w:sz="0" w:space="0" w:color="auto"/>
      </w:divBdr>
    </w:div>
    <w:div w:id="1284463824">
      <w:bodyDiv w:val="1"/>
      <w:marLeft w:val="0"/>
      <w:marRight w:val="0"/>
      <w:marTop w:val="0"/>
      <w:marBottom w:val="0"/>
      <w:divBdr>
        <w:top w:val="none" w:sz="0" w:space="0" w:color="auto"/>
        <w:left w:val="none" w:sz="0" w:space="0" w:color="auto"/>
        <w:bottom w:val="none" w:sz="0" w:space="0" w:color="auto"/>
        <w:right w:val="none" w:sz="0" w:space="0" w:color="auto"/>
      </w:divBdr>
    </w:div>
    <w:div w:id="1291396815">
      <w:bodyDiv w:val="1"/>
      <w:marLeft w:val="0"/>
      <w:marRight w:val="0"/>
      <w:marTop w:val="0"/>
      <w:marBottom w:val="0"/>
      <w:divBdr>
        <w:top w:val="none" w:sz="0" w:space="0" w:color="auto"/>
        <w:left w:val="none" w:sz="0" w:space="0" w:color="auto"/>
        <w:bottom w:val="none" w:sz="0" w:space="0" w:color="auto"/>
        <w:right w:val="none" w:sz="0" w:space="0" w:color="auto"/>
      </w:divBdr>
    </w:div>
    <w:div w:id="1293173490">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5408154">
      <w:bodyDiv w:val="1"/>
      <w:marLeft w:val="0"/>
      <w:marRight w:val="0"/>
      <w:marTop w:val="0"/>
      <w:marBottom w:val="0"/>
      <w:divBdr>
        <w:top w:val="none" w:sz="0" w:space="0" w:color="auto"/>
        <w:left w:val="none" w:sz="0" w:space="0" w:color="auto"/>
        <w:bottom w:val="none" w:sz="0" w:space="0" w:color="auto"/>
        <w:right w:val="none" w:sz="0" w:space="0" w:color="auto"/>
      </w:divBdr>
    </w:div>
    <w:div w:id="1299187523">
      <w:bodyDiv w:val="1"/>
      <w:marLeft w:val="0"/>
      <w:marRight w:val="0"/>
      <w:marTop w:val="0"/>
      <w:marBottom w:val="0"/>
      <w:divBdr>
        <w:top w:val="none" w:sz="0" w:space="0" w:color="auto"/>
        <w:left w:val="none" w:sz="0" w:space="0" w:color="auto"/>
        <w:bottom w:val="none" w:sz="0" w:space="0" w:color="auto"/>
        <w:right w:val="none" w:sz="0" w:space="0" w:color="auto"/>
      </w:divBdr>
    </w:div>
    <w:div w:id="1301301470">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04890219">
      <w:bodyDiv w:val="1"/>
      <w:marLeft w:val="0"/>
      <w:marRight w:val="0"/>
      <w:marTop w:val="0"/>
      <w:marBottom w:val="0"/>
      <w:divBdr>
        <w:top w:val="none" w:sz="0" w:space="0" w:color="auto"/>
        <w:left w:val="none" w:sz="0" w:space="0" w:color="auto"/>
        <w:bottom w:val="none" w:sz="0" w:space="0" w:color="auto"/>
        <w:right w:val="none" w:sz="0" w:space="0" w:color="auto"/>
      </w:divBdr>
    </w:div>
    <w:div w:id="1308630886">
      <w:bodyDiv w:val="1"/>
      <w:marLeft w:val="0"/>
      <w:marRight w:val="0"/>
      <w:marTop w:val="0"/>
      <w:marBottom w:val="0"/>
      <w:divBdr>
        <w:top w:val="none" w:sz="0" w:space="0" w:color="auto"/>
        <w:left w:val="none" w:sz="0" w:space="0" w:color="auto"/>
        <w:bottom w:val="none" w:sz="0" w:space="0" w:color="auto"/>
        <w:right w:val="none" w:sz="0" w:space="0" w:color="auto"/>
      </w:divBdr>
    </w:div>
    <w:div w:id="1312708501">
      <w:bodyDiv w:val="1"/>
      <w:marLeft w:val="0"/>
      <w:marRight w:val="0"/>
      <w:marTop w:val="0"/>
      <w:marBottom w:val="0"/>
      <w:divBdr>
        <w:top w:val="none" w:sz="0" w:space="0" w:color="auto"/>
        <w:left w:val="none" w:sz="0" w:space="0" w:color="auto"/>
        <w:bottom w:val="none" w:sz="0" w:space="0" w:color="auto"/>
        <w:right w:val="none" w:sz="0" w:space="0" w:color="auto"/>
      </w:divBdr>
    </w:div>
    <w:div w:id="1315648119">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21542377">
      <w:bodyDiv w:val="1"/>
      <w:marLeft w:val="0"/>
      <w:marRight w:val="0"/>
      <w:marTop w:val="0"/>
      <w:marBottom w:val="0"/>
      <w:divBdr>
        <w:top w:val="none" w:sz="0" w:space="0" w:color="auto"/>
        <w:left w:val="none" w:sz="0" w:space="0" w:color="auto"/>
        <w:bottom w:val="none" w:sz="0" w:space="0" w:color="auto"/>
        <w:right w:val="none" w:sz="0" w:space="0" w:color="auto"/>
      </w:divBdr>
    </w:div>
    <w:div w:id="1321805828">
      <w:bodyDiv w:val="1"/>
      <w:marLeft w:val="0"/>
      <w:marRight w:val="0"/>
      <w:marTop w:val="0"/>
      <w:marBottom w:val="0"/>
      <w:divBdr>
        <w:top w:val="none" w:sz="0" w:space="0" w:color="auto"/>
        <w:left w:val="none" w:sz="0" w:space="0" w:color="auto"/>
        <w:bottom w:val="none" w:sz="0" w:space="0" w:color="auto"/>
        <w:right w:val="none" w:sz="0" w:space="0" w:color="auto"/>
      </w:divBdr>
    </w:div>
    <w:div w:id="1325011202">
      <w:bodyDiv w:val="1"/>
      <w:marLeft w:val="0"/>
      <w:marRight w:val="0"/>
      <w:marTop w:val="0"/>
      <w:marBottom w:val="0"/>
      <w:divBdr>
        <w:top w:val="none" w:sz="0" w:space="0" w:color="auto"/>
        <w:left w:val="none" w:sz="0" w:space="0" w:color="auto"/>
        <w:bottom w:val="none" w:sz="0" w:space="0" w:color="auto"/>
        <w:right w:val="none" w:sz="0" w:space="0" w:color="auto"/>
      </w:divBdr>
    </w:div>
    <w:div w:id="1326402269">
      <w:bodyDiv w:val="1"/>
      <w:marLeft w:val="0"/>
      <w:marRight w:val="0"/>
      <w:marTop w:val="0"/>
      <w:marBottom w:val="0"/>
      <w:divBdr>
        <w:top w:val="none" w:sz="0" w:space="0" w:color="auto"/>
        <w:left w:val="none" w:sz="0" w:space="0" w:color="auto"/>
        <w:bottom w:val="none" w:sz="0" w:space="0" w:color="auto"/>
        <w:right w:val="none" w:sz="0" w:space="0" w:color="auto"/>
      </w:divBdr>
    </w:div>
    <w:div w:id="1327972620">
      <w:bodyDiv w:val="1"/>
      <w:marLeft w:val="0"/>
      <w:marRight w:val="0"/>
      <w:marTop w:val="0"/>
      <w:marBottom w:val="0"/>
      <w:divBdr>
        <w:top w:val="none" w:sz="0" w:space="0" w:color="auto"/>
        <w:left w:val="none" w:sz="0" w:space="0" w:color="auto"/>
        <w:bottom w:val="none" w:sz="0" w:space="0" w:color="auto"/>
        <w:right w:val="none" w:sz="0" w:space="0" w:color="auto"/>
      </w:divBdr>
    </w:div>
    <w:div w:id="1331760012">
      <w:bodyDiv w:val="1"/>
      <w:marLeft w:val="0"/>
      <w:marRight w:val="0"/>
      <w:marTop w:val="0"/>
      <w:marBottom w:val="0"/>
      <w:divBdr>
        <w:top w:val="none" w:sz="0" w:space="0" w:color="auto"/>
        <w:left w:val="none" w:sz="0" w:space="0" w:color="auto"/>
        <w:bottom w:val="none" w:sz="0" w:space="0" w:color="auto"/>
        <w:right w:val="none" w:sz="0" w:space="0" w:color="auto"/>
      </w:divBdr>
    </w:div>
    <w:div w:id="1337147943">
      <w:bodyDiv w:val="1"/>
      <w:marLeft w:val="0"/>
      <w:marRight w:val="0"/>
      <w:marTop w:val="0"/>
      <w:marBottom w:val="0"/>
      <w:divBdr>
        <w:top w:val="none" w:sz="0" w:space="0" w:color="auto"/>
        <w:left w:val="none" w:sz="0" w:space="0" w:color="auto"/>
        <w:bottom w:val="none" w:sz="0" w:space="0" w:color="auto"/>
        <w:right w:val="none" w:sz="0" w:space="0" w:color="auto"/>
      </w:divBdr>
    </w:div>
    <w:div w:id="1341199824">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59043258">
      <w:bodyDiv w:val="1"/>
      <w:marLeft w:val="0"/>
      <w:marRight w:val="0"/>
      <w:marTop w:val="0"/>
      <w:marBottom w:val="0"/>
      <w:divBdr>
        <w:top w:val="none" w:sz="0" w:space="0" w:color="auto"/>
        <w:left w:val="none" w:sz="0" w:space="0" w:color="auto"/>
        <w:bottom w:val="none" w:sz="0" w:space="0" w:color="auto"/>
        <w:right w:val="none" w:sz="0" w:space="0" w:color="auto"/>
      </w:divBdr>
    </w:div>
    <w:div w:id="1364094628">
      <w:bodyDiv w:val="1"/>
      <w:marLeft w:val="0"/>
      <w:marRight w:val="0"/>
      <w:marTop w:val="0"/>
      <w:marBottom w:val="0"/>
      <w:divBdr>
        <w:top w:val="none" w:sz="0" w:space="0" w:color="auto"/>
        <w:left w:val="none" w:sz="0" w:space="0" w:color="auto"/>
        <w:bottom w:val="none" w:sz="0" w:space="0" w:color="auto"/>
        <w:right w:val="none" w:sz="0" w:space="0" w:color="auto"/>
      </w:divBdr>
    </w:div>
    <w:div w:id="1366561692">
      <w:bodyDiv w:val="1"/>
      <w:marLeft w:val="0"/>
      <w:marRight w:val="0"/>
      <w:marTop w:val="0"/>
      <w:marBottom w:val="0"/>
      <w:divBdr>
        <w:top w:val="none" w:sz="0" w:space="0" w:color="auto"/>
        <w:left w:val="none" w:sz="0" w:space="0" w:color="auto"/>
        <w:bottom w:val="none" w:sz="0" w:space="0" w:color="auto"/>
        <w:right w:val="none" w:sz="0" w:space="0" w:color="auto"/>
      </w:divBdr>
    </w:div>
    <w:div w:id="1367636315">
      <w:bodyDiv w:val="1"/>
      <w:marLeft w:val="0"/>
      <w:marRight w:val="0"/>
      <w:marTop w:val="0"/>
      <w:marBottom w:val="0"/>
      <w:divBdr>
        <w:top w:val="none" w:sz="0" w:space="0" w:color="auto"/>
        <w:left w:val="none" w:sz="0" w:space="0" w:color="auto"/>
        <w:bottom w:val="none" w:sz="0" w:space="0" w:color="auto"/>
        <w:right w:val="none" w:sz="0" w:space="0" w:color="auto"/>
      </w:divBdr>
    </w:div>
    <w:div w:id="1368677126">
      <w:bodyDiv w:val="1"/>
      <w:marLeft w:val="0"/>
      <w:marRight w:val="0"/>
      <w:marTop w:val="0"/>
      <w:marBottom w:val="0"/>
      <w:divBdr>
        <w:top w:val="none" w:sz="0" w:space="0" w:color="auto"/>
        <w:left w:val="none" w:sz="0" w:space="0" w:color="auto"/>
        <w:bottom w:val="none" w:sz="0" w:space="0" w:color="auto"/>
        <w:right w:val="none" w:sz="0" w:space="0" w:color="auto"/>
      </w:divBdr>
    </w:div>
    <w:div w:id="1374034137">
      <w:bodyDiv w:val="1"/>
      <w:marLeft w:val="0"/>
      <w:marRight w:val="0"/>
      <w:marTop w:val="0"/>
      <w:marBottom w:val="0"/>
      <w:divBdr>
        <w:top w:val="none" w:sz="0" w:space="0" w:color="auto"/>
        <w:left w:val="none" w:sz="0" w:space="0" w:color="auto"/>
        <w:bottom w:val="none" w:sz="0" w:space="0" w:color="auto"/>
        <w:right w:val="none" w:sz="0" w:space="0" w:color="auto"/>
      </w:divBdr>
    </w:div>
    <w:div w:id="1375737071">
      <w:bodyDiv w:val="1"/>
      <w:marLeft w:val="0"/>
      <w:marRight w:val="0"/>
      <w:marTop w:val="0"/>
      <w:marBottom w:val="0"/>
      <w:divBdr>
        <w:top w:val="none" w:sz="0" w:space="0" w:color="auto"/>
        <w:left w:val="none" w:sz="0" w:space="0" w:color="auto"/>
        <w:bottom w:val="none" w:sz="0" w:space="0" w:color="auto"/>
        <w:right w:val="none" w:sz="0" w:space="0" w:color="auto"/>
      </w:divBdr>
    </w:div>
    <w:div w:id="1375931981">
      <w:bodyDiv w:val="1"/>
      <w:marLeft w:val="0"/>
      <w:marRight w:val="0"/>
      <w:marTop w:val="0"/>
      <w:marBottom w:val="0"/>
      <w:divBdr>
        <w:top w:val="none" w:sz="0" w:space="0" w:color="auto"/>
        <w:left w:val="none" w:sz="0" w:space="0" w:color="auto"/>
        <w:bottom w:val="none" w:sz="0" w:space="0" w:color="auto"/>
        <w:right w:val="none" w:sz="0" w:space="0" w:color="auto"/>
      </w:divBdr>
    </w:div>
    <w:div w:id="1377774293">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85644281">
      <w:bodyDiv w:val="1"/>
      <w:marLeft w:val="0"/>
      <w:marRight w:val="0"/>
      <w:marTop w:val="0"/>
      <w:marBottom w:val="0"/>
      <w:divBdr>
        <w:top w:val="none" w:sz="0" w:space="0" w:color="auto"/>
        <w:left w:val="none" w:sz="0" w:space="0" w:color="auto"/>
        <w:bottom w:val="none" w:sz="0" w:space="0" w:color="auto"/>
        <w:right w:val="none" w:sz="0" w:space="0" w:color="auto"/>
      </w:divBdr>
    </w:div>
    <w:div w:id="1387338096">
      <w:bodyDiv w:val="1"/>
      <w:marLeft w:val="0"/>
      <w:marRight w:val="0"/>
      <w:marTop w:val="0"/>
      <w:marBottom w:val="0"/>
      <w:divBdr>
        <w:top w:val="none" w:sz="0" w:space="0" w:color="auto"/>
        <w:left w:val="none" w:sz="0" w:space="0" w:color="auto"/>
        <w:bottom w:val="none" w:sz="0" w:space="0" w:color="auto"/>
        <w:right w:val="none" w:sz="0" w:space="0" w:color="auto"/>
      </w:divBdr>
    </w:div>
    <w:div w:id="1389526002">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396784545">
      <w:bodyDiv w:val="1"/>
      <w:marLeft w:val="0"/>
      <w:marRight w:val="0"/>
      <w:marTop w:val="0"/>
      <w:marBottom w:val="0"/>
      <w:divBdr>
        <w:top w:val="none" w:sz="0" w:space="0" w:color="auto"/>
        <w:left w:val="none" w:sz="0" w:space="0" w:color="auto"/>
        <w:bottom w:val="none" w:sz="0" w:space="0" w:color="auto"/>
        <w:right w:val="none" w:sz="0" w:space="0" w:color="auto"/>
      </w:divBdr>
    </w:div>
    <w:div w:id="1398749032">
      <w:bodyDiv w:val="1"/>
      <w:marLeft w:val="0"/>
      <w:marRight w:val="0"/>
      <w:marTop w:val="0"/>
      <w:marBottom w:val="0"/>
      <w:divBdr>
        <w:top w:val="none" w:sz="0" w:space="0" w:color="auto"/>
        <w:left w:val="none" w:sz="0" w:space="0" w:color="auto"/>
        <w:bottom w:val="none" w:sz="0" w:space="0" w:color="auto"/>
        <w:right w:val="none" w:sz="0" w:space="0" w:color="auto"/>
      </w:divBdr>
    </w:div>
    <w:div w:id="1403404713">
      <w:bodyDiv w:val="1"/>
      <w:marLeft w:val="0"/>
      <w:marRight w:val="0"/>
      <w:marTop w:val="0"/>
      <w:marBottom w:val="0"/>
      <w:divBdr>
        <w:top w:val="none" w:sz="0" w:space="0" w:color="auto"/>
        <w:left w:val="none" w:sz="0" w:space="0" w:color="auto"/>
        <w:bottom w:val="none" w:sz="0" w:space="0" w:color="auto"/>
        <w:right w:val="none" w:sz="0" w:space="0" w:color="auto"/>
      </w:divBdr>
      <w:divsChild>
        <w:div w:id="348727737">
          <w:marLeft w:val="0"/>
          <w:marRight w:val="0"/>
          <w:marTop w:val="0"/>
          <w:marBottom w:val="0"/>
          <w:divBdr>
            <w:top w:val="none" w:sz="0" w:space="0" w:color="auto"/>
            <w:left w:val="none" w:sz="0" w:space="0" w:color="auto"/>
            <w:bottom w:val="none" w:sz="0" w:space="0" w:color="auto"/>
            <w:right w:val="none" w:sz="0" w:space="0" w:color="auto"/>
          </w:divBdr>
        </w:div>
        <w:div w:id="633875133">
          <w:marLeft w:val="0"/>
          <w:marRight w:val="0"/>
          <w:marTop w:val="0"/>
          <w:marBottom w:val="0"/>
          <w:divBdr>
            <w:top w:val="none" w:sz="0" w:space="0" w:color="auto"/>
            <w:left w:val="none" w:sz="0" w:space="0" w:color="auto"/>
            <w:bottom w:val="none" w:sz="0" w:space="0" w:color="auto"/>
            <w:right w:val="none" w:sz="0" w:space="0" w:color="auto"/>
          </w:divBdr>
        </w:div>
        <w:div w:id="697123293">
          <w:marLeft w:val="0"/>
          <w:marRight w:val="0"/>
          <w:marTop w:val="0"/>
          <w:marBottom w:val="0"/>
          <w:divBdr>
            <w:top w:val="none" w:sz="0" w:space="0" w:color="auto"/>
            <w:left w:val="none" w:sz="0" w:space="0" w:color="auto"/>
            <w:bottom w:val="none" w:sz="0" w:space="0" w:color="auto"/>
            <w:right w:val="none" w:sz="0" w:space="0" w:color="auto"/>
          </w:divBdr>
        </w:div>
        <w:div w:id="1394541870">
          <w:marLeft w:val="0"/>
          <w:marRight w:val="0"/>
          <w:marTop w:val="0"/>
          <w:marBottom w:val="0"/>
          <w:divBdr>
            <w:top w:val="none" w:sz="0" w:space="0" w:color="auto"/>
            <w:left w:val="none" w:sz="0" w:space="0" w:color="auto"/>
            <w:bottom w:val="none" w:sz="0" w:space="0" w:color="auto"/>
            <w:right w:val="none" w:sz="0" w:space="0" w:color="auto"/>
          </w:divBdr>
        </w:div>
        <w:div w:id="961299774">
          <w:marLeft w:val="0"/>
          <w:marRight w:val="0"/>
          <w:marTop w:val="0"/>
          <w:marBottom w:val="0"/>
          <w:divBdr>
            <w:top w:val="none" w:sz="0" w:space="0" w:color="auto"/>
            <w:left w:val="none" w:sz="0" w:space="0" w:color="auto"/>
            <w:bottom w:val="none" w:sz="0" w:space="0" w:color="auto"/>
            <w:right w:val="none" w:sz="0" w:space="0" w:color="auto"/>
          </w:divBdr>
        </w:div>
        <w:div w:id="3174887">
          <w:marLeft w:val="0"/>
          <w:marRight w:val="0"/>
          <w:marTop w:val="0"/>
          <w:marBottom w:val="0"/>
          <w:divBdr>
            <w:top w:val="none" w:sz="0" w:space="0" w:color="auto"/>
            <w:left w:val="none" w:sz="0" w:space="0" w:color="auto"/>
            <w:bottom w:val="none" w:sz="0" w:space="0" w:color="auto"/>
            <w:right w:val="none" w:sz="0" w:space="0" w:color="auto"/>
          </w:divBdr>
        </w:div>
        <w:div w:id="1418408407">
          <w:marLeft w:val="0"/>
          <w:marRight w:val="0"/>
          <w:marTop w:val="0"/>
          <w:marBottom w:val="0"/>
          <w:divBdr>
            <w:top w:val="none" w:sz="0" w:space="0" w:color="auto"/>
            <w:left w:val="none" w:sz="0" w:space="0" w:color="auto"/>
            <w:bottom w:val="none" w:sz="0" w:space="0" w:color="auto"/>
            <w:right w:val="none" w:sz="0" w:space="0" w:color="auto"/>
          </w:divBdr>
        </w:div>
        <w:div w:id="573516118">
          <w:marLeft w:val="0"/>
          <w:marRight w:val="0"/>
          <w:marTop w:val="0"/>
          <w:marBottom w:val="0"/>
          <w:divBdr>
            <w:top w:val="none" w:sz="0" w:space="0" w:color="auto"/>
            <w:left w:val="none" w:sz="0" w:space="0" w:color="auto"/>
            <w:bottom w:val="none" w:sz="0" w:space="0" w:color="auto"/>
            <w:right w:val="none" w:sz="0" w:space="0" w:color="auto"/>
          </w:divBdr>
        </w:div>
      </w:divsChild>
    </w:div>
    <w:div w:id="1404328211">
      <w:bodyDiv w:val="1"/>
      <w:marLeft w:val="0"/>
      <w:marRight w:val="0"/>
      <w:marTop w:val="0"/>
      <w:marBottom w:val="0"/>
      <w:divBdr>
        <w:top w:val="none" w:sz="0" w:space="0" w:color="auto"/>
        <w:left w:val="none" w:sz="0" w:space="0" w:color="auto"/>
        <w:bottom w:val="none" w:sz="0" w:space="0" w:color="auto"/>
        <w:right w:val="none" w:sz="0" w:space="0" w:color="auto"/>
      </w:divBdr>
    </w:div>
    <w:div w:id="1405180954">
      <w:bodyDiv w:val="1"/>
      <w:marLeft w:val="0"/>
      <w:marRight w:val="0"/>
      <w:marTop w:val="0"/>
      <w:marBottom w:val="0"/>
      <w:divBdr>
        <w:top w:val="none" w:sz="0" w:space="0" w:color="auto"/>
        <w:left w:val="none" w:sz="0" w:space="0" w:color="auto"/>
        <w:bottom w:val="none" w:sz="0" w:space="0" w:color="auto"/>
        <w:right w:val="none" w:sz="0" w:space="0" w:color="auto"/>
      </w:divBdr>
    </w:div>
    <w:div w:id="1410153417">
      <w:bodyDiv w:val="1"/>
      <w:marLeft w:val="0"/>
      <w:marRight w:val="0"/>
      <w:marTop w:val="0"/>
      <w:marBottom w:val="0"/>
      <w:divBdr>
        <w:top w:val="none" w:sz="0" w:space="0" w:color="auto"/>
        <w:left w:val="none" w:sz="0" w:space="0" w:color="auto"/>
        <w:bottom w:val="none" w:sz="0" w:space="0" w:color="auto"/>
        <w:right w:val="none" w:sz="0" w:space="0" w:color="auto"/>
      </w:divBdr>
    </w:div>
    <w:div w:id="1426802518">
      <w:bodyDiv w:val="1"/>
      <w:marLeft w:val="0"/>
      <w:marRight w:val="0"/>
      <w:marTop w:val="0"/>
      <w:marBottom w:val="0"/>
      <w:divBdr>
        <w:top w:val="none" w:sz="0" w:space="0" w:color="auto"/>
        <w:left w:val="none" w:sz="0" w:space="0" w:color="auto"/>
        <w:bottom w:val="none" w:sz="0" w:space="0" w:color="auto"/>
        <w:right w:val="none" w:sz="0" w:space="0" w:color="auto"/>
      </w:divBdr>
    </w:div>
    <w:div w:id="1426875865">
      <w:bodyDiv w:val="1"/>
      <w:marLeft w:val="0"/>
      <w:marRight w:val="0"/>
      <w:marTop w:val="0"/>
      <w:marBottom w:val="0"/>
      <w:divBdr>
        <w:top w:val="none" w:sz="0" w:space="0" w:color="auto"/>
        <w:left w:val="none" w:sz="0" w:space="0" w:color="auto"/>
        <w:bottom w:val="none" w:sz="0" w:space="0" w:color="auto"/>
        <w:right w:val="none" w:sz="0" w:space="0" w:color="auto"/>
      </w:divBdr>
    </w:div>
    <w:div w:id="1428767636">
      <w:bodyDiv w:val="1"/>
      <w:marLeft w:val="0"/>
      <w:marRight w:val="0"/>
      <w:marTop w:val="0"/>
      <w:marBottom w:val="0"/>
      <w:divBdr>
        <w:top w:val="none" w:sz="0" w:space="0" w:color="auto"/>
        <w:left w:val="none" w:sz="0" w:space="0" w:color="auto"/>
        <w:bottom w:val="none" w:sz="0" w:space="0" w:color="auto"/>
        <w:right w:val="none" w:sz="0" w:space="0" w:color="auto"/>
      </w:divBdr>
      <w:divsChild>
        <w:div w:id="1653368994">
          <w:marLeft w:val="0"/>
          <w:marRight w:val="0"/>
          <w:marTop w:val="0"/>
          <w:marBottom w:val="0"/>
          <w:divBdr>
            <w:top w:val="none" w:sz="0" w:space="0" w:color="auto"/>
            <w:left w:val="none" w:sz="0" w:space="0" w:color="auto"/>
            <w:bottom w:val="none" w:sz="0" w:space="0" w:color="auto"/>
            <w:right w:val="none" w:sz="0" w:space="0" w:color="auto"/>
          </w:divBdr>
        </w:div>
        <w:div w:id="1028071170">
          <w:marLeft w:val="0"/>
          <w:marRight w:val="0"/>
          <w:marTop w:val="0"/>
          <w:marBottom w:val="0"/>
          <w:divBdr>
            <w:top w:val="none" w:sz="0" w:space="0" w:color="auto"/>
            <w:left w:val="none" w:sz="0" w:space="0" w:color="auto"/>
            <w:bottom w:val="none" w:sz="0" w:space="0" w:color="auto"/>
            <w:right w:val="none" w:sz="0" w:space="0" w:color="auto"/>
          </w:divBdr>
        </w:div>
        <w:div w:id="842663257">
          <w:marLeft w:val="0"/>
          <w:marRight w:val="0"/>
          <w:marTop w:val="0"/>
          <w:marBottom w:val="0"/>
          <w:divBdr>
            <w:top w:val="none" w:sz="0" w:space="0" w:color="auto"/>
            <w:left w:val="none" w:sz="0" w:space="0" w:color="auto"/>
            <w:bottom w:val="none" w:sz="0" w:space="0" w:color="auto"/>
            <w:right w:val="none" w:sz="0" w:space="0" w:color="auto"/>
          </w:divBdr>
        </w:div>
        <w:div w:id="601954894">
          <w:marLeft w:val="0"/>
          <w:marRight w:val="0"/>
          <w:marTop w:val="0"/>
          <w:marBottom w:val="0"/>
          <w:divBdr>
            <w:top w:val="none" w:sz="0" w:space="0" w:color="auto"/>
            <w:left w:val="none" w:sz="0" w:space="0" w:color="auto"/>
            <w:bottom w:val="none" w:sz="0" w:space="0" w:color="auto"/>
            <w:right w:val="none" w:sz="0" w:space="0" w:color="auto"/>
          </w:divBdr>
        </w:div>
        <w:div w:id="815758759">
          <w:marLeft w:val="0"/>
          <w:marRight w:val="0"/>
          <w:marTop w:val="0"/>
          <w:marBottom w:val="0"/>
          <w:divBdr>
            <w:top w:val="none" w:sz="0" w:space="0" w:color="auto"/>
            <w:left w:val="none" w:sz="0" w:space="0" w:color="auto"/>
            <w:bottom w:val="none" w:sz="0" w:space="0" w:color="auto"/>
            <w:right w:val="none" w:sz="0" w:space="0" w:color="auto"/>
          </w:divBdr>
        </w:div>
        <w:div w:id="197861606">
          <w:marLeft w:val="0"/>
          <w:marRight w:val="0"/>
          <w:marTop w:val="0"/>
          <w:marBottom w:val="0"/>
          <w:divBdr>
            <w:top w:val="none" w:sz="0" w:space="0" w:color="auto"/>
            <w:left w:val="none" w:sz="0" w:space="0" w:color="auto"/>
            <w:bottom w:val="none" w:sz="0" w:space="0" w:color="auto"/>
            <w:right w:val="none" w:sz="0" w:space="0" w:color="auto"/>
          </w:divBdr>
        </w:div>
        <w:div w:id="685014777">
          <w:marLeft w:val="0"/>
          <w:marRight w:val="0"/>
          <w:marTop w:val="0"/>
          <w:marBottom w:val="0"/>
          <w:divBdr>
            <w:top w:val="none" w:sz="0" w:space="0" w:color="auto"/>
            <w:left w:val="none" w:sz="0" w:space="0" w:color="auto"/>
            <w:bottom w:val="none" w:sz="0" w:space="0" w:color="auto"/>
            <w:right w:val="none" w:sz="0" w:space="0" w:color="auto"/>
          </w:divBdr>
        </w:div>
        <w:div w:id="1392730127">
          <w:marLeft w:val="0"/>
          <w:marRight w:val="0"/>
          <w:marTop w:val="0"/>
          <w:marBottom w:val="0"/>
          <w:divBdr>
            <w:top w:val="none" w:sz="0" w:space="0" w:color="auto"/>
            <w:left w:val="none" w:sz="0" w:space="0" w:color="auto"/>
            <w:bottom w:val="none" w:sz="0" w:space="0" w:color="auto"/>
            <w:right w:val="none" w:sz="0" w:space="0" w:color="auto"/>
          </w:divBdr>
        </w:div>
      </w:divsChild>
    </w:div>
    <w:div w:id="1439906079">
      <w:bodyDiv w:val="1"/>
      <w:marLeft w:val="0"/>
      <w:marRight w:val="0"/>
      <w:marTop w:val="0"/>
      <w:marBottom w:val="0"/>
      <w:divBdr>
        <w:top w:val="none" w:sz="0" w:space="0" w:color="auto"/>
        <w:left w:val="none" w:sz="0" w:space="0" w:color="auto"/>
        <w:bottom w:val="none" w:sz="0" w:space="0" w:color="auto"/>
        <w:right w:val="none" w:sz="0" w:space="0" w:color="auto"/>
      </w:divBdr>
    </w:div>
    <w:div w:id="1446846428">
      <w:bodyDiv w:val="1"/>
      <w:marLeft w:val="0"/>
      <w:marRight w:val="0"/>
      <w:marTop w:val="0"/>
      <w:marBottom w:val="0"/>
      <w:divBdr>
        <w:top w:val="none" w:sz="0" w:space="0" w:color="auto"/>
        <w:left w:val="none" w:sz="0" w:space="0" w:color="auto"/>
        <w:bottom w:val="none" w:sz="0" w:space="0" w:color="auto"/>
        <w:right w:val="none" w:sz="0" w:space="0" w:color="auto"/>
      </w:divBdr>
    </w:div>
    <w:div w:id="1448114041">
      <w:bodyDiv w:val="1"/>
      <w:marLeft w:val="0"/>
      <w:marRight w:val="0"/>
      <w:marTop w:val="0"/>
      <w:marBottom w:val="0"/>
      <w:divBdr>
        <w:top w:val="none" w:sz="0" w:space="0" w:color="auto"/>
        <w:left w:val="none" w:sz="0" w:space="0" w:color="auto"/>
        <w:bottom w:val="none" w:sz="0" w:space="0" w:color="auto"/>
        <w:right w:val="none" w:sz="0" w:space="0" w:color="auto"/>
      </w:divBdr>
    </w:div>
    <w:div w:id="1450082127">
      <w:bodyDiv w:val="1"/>
      <w:marLeft w:val="0"/>
      <w:marRight w:val="0"/>
      <w:marTop w:val="0"/>
      <w:marBottom w:val="0"/>
      <w:divBdr>
        <w:top w:val="none" w:sz="0" w:space="0" w:color="auto"/>
        <w:left w:val="none" w:sz="0" w:space="0" w:color="auto"/>
        <w:bottom w:val="none" w:sz="0" w:space="0" w:color="auto"/>
        <w:right w:val="none" w:sz="0" w:space="0" w:color="auto"/>
      </w:divBdr>
    </w:div>
    <w:div w:id="1451972041">
      <w:bodyDiv w:val="1"/>
      <w:marLeft w:val="0"/>
      <w:marRight w:val="0"/>
      <w:marTop w:val="0"/>
      <w:marBottom w:val="0"/>
      <w:divBdr>
        <w:top w:val="none" w:sz="0" w:space="0" w:color="auto"/>
        <w:left w:val="none" w:sz="0" w:space="0" w:color="auto"/>
        <w:bottom w:val="none" w:sz="0" w:space="0" w:color="auto"/>
        <w:right w:val="none" w:sz="0" w:space="0" w:color="auto"/>
      </w:divBdr>
    </w:div>
    <w:div w:id="1453013995">
      <w:bodyDiv w:val="1"/>
      <w:marLeft w:val="0"/>
      <w:marRight w:val="0"/>
      <w:marTop w:val="0"/>
      <w:marBottom w:val="0"/>
      <w:divBdr>
        <w:top w:val="none" w:sz="0" w:space="0" w:color="auto"/>
        <w:left w:val="none" w:sz="0" w:space="0" w:color="auto"/>
        <w:bottom w:val="none" w:sz="0" w:space="0" w:color="auto"/>
        <w:right w:val="none" w:sz="0" w:space="0" w:color="auto"/>
      </w:divBdr>
    </w:div>
    <w:div w:id="1463496825">
      <w:bodyDiv w:val="1"/>
      <w:marLeft w:val="0"/>
      <w:marRight w:val="0"/>
      <w:marTop w:val="0"/>
      <w:marBottom w:val="0"/>
      <w:divBdr>
        <w:top w:val="none" w:sz="0" w:space="0" w:color="auto"/>
        <w:left w:val="none" w:sz="0" w:space="0" w:color="auto"/>
        <w:bottom w:val="none" w:sz="0" w:space="0" w:color="auto"/>
        <w:right w:val="none" w:sz="0" w:space="0" w:color="auto"/>
      </w:divBdr>
    </w:div>
    <w:div w:id="1481121118">
      <w:bodyDiv w:val="1"/>
      <w:marLeft w:val="0"/>
      <w:marRight w:val="0"/>
      <w:marTop w:val="0"/>
      <w:marBottom w:val="0"/>
      <w:divBdr>
        <w:top w:val="none" w:sz="0" w:space="0" w:color="auto"/>
        <w:left w:val="none" w:sz="0" w:space="0" w:color="auto"/>
        <w:bottom w:val="none" w:sz="0" w:space="0" w:color="auto"/>
        <w:right w:val="none" w:sz="0" w:space="0" w:color="auto"/>
      </w:divBdr>
    </w:div>
    <w:div w:id="1481573850">
      <w:bodyDiv w:val="1"/>
      <w:marLeft w:val="0"/>
      <w:marRight w:val="0"/>
      <w:marTop w:val="0"/>
      <w:marBottom w:val="0"/>
      <w:divBdr>
        <w:top w:val="none" w:sz="0" w:space="0" w:color="auto"/>
        <w:left w:val="none" w:sz="0" w:space="0" w:color="auto"/>
        <w:bottom w:val="none" w:sz="0" w:space="0" w:color="auto"/>
        <w:right w:val="none" w:sz="0" w:space="0" w:color="auto"/>
      </w:divBdr>
    </w:div>
    <w:div w:id="1490898204">
      <w:bodyDiv w:val="1"/>
      <w:marLeft w:val="0"/>
      <w:marRight w:val="0"/>
      <w:marTop w:val="0"/>
      <w:marBottom w:val="0"/>
      <w:divBdr>
        <w:top w:val="none" w:sz="0" w:space="0" w:color="auto"/>
        <w:left w:val="none" w:sz="0" w:space="0" w:color="auto"/>
        <w:bottom w:val="none" w:sz="0" w:space="0" w:color="auto"/>
        <w:right w:val="none" w:sz="0" w:space="0" w:color="auto"/>
      </w:divBdr>
    </w:div>
    <w:div w:id="1503012501">
      <w:bodyDiv w:val="1"/>
      <w:marLeft w:val="0"/>
      <w:marRight w:val="0"/>
      <w:marTop w:val="0"/>
      <w:marBottom w:val="0"/>
      <w:divBdr>
        <w:top w:val="none" w:sz="0" w:space="0" w:color="auto"/>
        <w:left w:val="none" w:sz="0" w:space="0" w:color="auto"/>
        <w:bottom w:val="none" w:sz="0" w:space="0" w:color="auto"/>
        <w:right w:val="none" w:sz="0" w:space="0" w:color="auto"/>
      </w:divBdr>
    </w:div>
    <w:div w:id="1508984476">
      <w:bodyDiv w:val="1"/>
      <w:marLeft w:val="0"/>
      <w:marRight w:val="0"/>
      <w:marTop w:val="0"/>
      <w:marBottom w:val="0"/>
      <w:divBdr>
        <w:top w:val="none" w:sz="0" w:space="0" w:color="auto"/>
        <w:left w:val="none" w:sz="0" w:space="0" w:color="auto"/>
        <w:bottom w:val="none" w:sz="0" w:space="0" w:color="auto"/>
        <w:right w:val="none" w:sz="0" w:space="0" w:color="auto"/>
      </w:divBdr>
    </w:div>
    <w:div w:id="1514488634">
      <w:bodyDiv w:val="1"/>
      <w:marLeft w:val="0"/>
      <w:marRight w:val="0"/>
      <w:marTop w:val="0"/>
      <w:marBottom w:val="0"/>
      <w:divBdr>
        <w:top w:val="none" w:sz="0" w:space="0" w:color="auto"/>
        <w:left w:val="none" w:sz="0" w:space="0" w:color="auto"/>
        <w:bottom w:val="none" w:sz="0" w:space="0" w:color="auto"/>
        <w:right w:val="none" w:sz="0" w:space="0" w:color="auto"/>
      </w:divBdr>
      <w:divsChild>
        <w:div w:id="1540163874">
          <w:marLeft w:val="0"/>
          <w:marRight w:val="0"/>
          <w:marTop w:val="0"/>
          <w:marBottom w:val="0"/>
          <w:divBdr>
            <w:top w:val="none" w:sz="0" w:space="0" w:color="auto"/>
            <w:left w:val="none" w:sz="0" w:space="0" w:color="auto"/>
            <w:bottom w:val="none" w:sz="0" w:space="0" w:color="auto"/>
            <w:right w:val="none" w:sz="0" w:space="0" w:color="auto"/>
          </w:divBdr>
        </w:div>
        <w:div w:id="1536314172">
          <w:marLeft w:val="0"/>
          <w:marRight w:val="0"/>
          <w:marTop w:val="0"/>
          <w:marBottom w:val="0"/>
          <w:divBdr>
            <w:top w:val="none" w:sz="0" w:space="0" w:color="auto"/>
            <w:left w:val="none" w:sz="0" w:space="0" w:color="auto"/>
            <w:bottom w:val="none" w:sz="0" w:space="0" w:color="auto"/>
            <w:right w:val="none" w:sz="0" w:space="0" w:color="auto"/>
          </w:divBdr>
        </w:div>
        <w:div w:id="1746224294">
          <w:marLeft w:val="0"/>
          <w:marRight w:val="0"/>
          <w:marTop w:val="0"/>
          <w:marBottom w:val="0"/>
          <w:divBdr>
            <w:top w:val="none" w:sz="0" w:space="0" w:color="auto"/>
            <w:left w:val="none" w:sz="0" w:space="0" w:color="auto"/>
            <w:bottom w:val="none" w:sz="0" w:space="0" w:color="auto"/>
            <w:right w:val="none" w:sz="0" w:space="0" w:color="auto"/>
          </w:divBdr>
        </w:div>
        <w:div w:id="506988560">
          <w:marLeft w:val="0"/>
          <w:marRight w:val="0"/>
          <w:marTop w:val="0"/>
          <w:marBottom w:val="0"/>
          <w:divBdr>
            <w:top w:val="none" w:sz="0" w:space="0" w:color="auto"/>
            <w:left w:val="none" w:sz="0" w:space="0" w:color="auto"/>
            <w:bottom w:val="none" w:sz="0" w:space="0" w:color="auto"/>
            <w:right w:val="none" w:sz="0" w:space="0" w:color="auto"/>
          </w:divBdr>
        </w:div>
      </w:divsChild>
    </w:div>
    <w:div w:id="1520925518">
      <w:bodyDiv w:val="1"/>
      <w:marLeft w:val="0"/>
      <w:marRight w:val="0"/>
      <w:marTop w:val="0"/>
      <w:marBottom w:val="0"/>
      <w:divBdr>
        <w:top w:val="none" w:sz="0" w:space="0" w:color="auto"/>
        <w:left w:val="none" w:sz="0" w:space="0" w:color="auto"/>
        <w:bottom w:val="none" w:sz="0" w:space="0" w:color="auto"/>
        <w:right w:val="none" w:sz="0" w:space="0" w:color="auto"/>
      </w:divBdr>
    </w:div>
    <w:div w:id="1522669843">
      <w:bodyDiv w:val="1"/>
      <w:marLeft w:val="0"/>
      <w:marRight w:val="0"/>
      <w:marTop w:val="0"/>
      <w:marBottom w:val="0"/>
      <w:divBdr>
        <w:top w:val="none" w:sz="0" w:space="0" w:color="auto"/>
        <w:left w:val="none" w:sz="0" w:space="0" w:color="auto"/>
        <w:bottom w:val="none" w:sz="0" w:space="0" w:color="auto"/>
        <w:right w:val="none" w:sz="0" w:space="0" w:color="auto"/>
      </w:divBdr>
    </w:div>
    <w:div w:id="1525095151">
      <w:bodyDiv w:val="1"/>
      <w:marLeft w:val="0"/>
      <w:marRight w:val="0"/>
      <w:marTop w:val="0"/>
      <w:marBottom w:val="0"/>
      <w:divBdr>
        <w:top w:val="none" w:sz="0" w:space="0" w:color="auto"/>
        <w:left w:val="none" w:sz="0" w:space="0" w:color="auto"/>
        <w:bottom w:val="none" w:sz="0" w:space="0" w:color="auto"/>
        <w:right w:val="none" w:sz="0" w:space="0" w:color="auto"/>
      </w:divBdr>
    </w:div>
    <w:div w:id="1531652241">
      <w:bodyDiv w:val="1"/>
      <w:marLeft w:val="0"/>
      <w:marRight w:val="0"/>
      <w:marTop w:val="0"/>
      <w:marBottom w:val="0"/>
      <w:divBdr>
        <w:top w:val="none" w:sz="0" w:space="0" w:color="auto"/>
        <w:left w:val="none" w:sz="0" w:space="0" w:color="auto"/>
        <w:bottom w:val="none" w:sz="0" w:space="0" w:color="auto"/>
        <w:right w:val="none" w:sz="0" w:space="0" w:color="auto"/>
      </w:divBdr>
    </w:div>
    <w:div w:id="1533492102">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688473">
      <w:bodyDiv w:val="1"/>
      <w:marLeft w:val="0"/>
      <w:marRight w:val="0"/>
      <w:marTop w:val="0"/>
      <w:marBottom w:val="0"/>
      <w:divBdr>
        <w:top w:val="none" w:sz="0" w:space="0" w:color="auto"/>
        <w:left w:val="none" w:sz="0" w:space="0" w:color="auto"/>
        <w:bottom w:val="none" w:sz="0" w:space="0" w:color="auto"/>
        <w:right w:val="none" w:sz="0" w:space="0" w:color="auto"/>
      </w:divBdr>
    </w:div>
    <w:div w:id="1535465556">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542010558">
      <w:bodyDiv w:val="1"/>
      <w:marLeft w:val="0"/>
      <w:marRight w:val="0"/>
      <w:marTop w:val="0"/>
      <w:marBottom w:val="0"/>
      <w:divBdr>
        <w:top w:val="none" w:sz="0" w:space="0" w:color="auto"/>
        <w:left w:val="none" w:sz="0" w:space="0" w:color="auto"/>
        <w:bottom w:val="none" w:sz="0" w:space="0" w:color="auto"/>
        <w:right w:val="none" w:sz="0" w:space="0" w:color="auto"/>
      </w:divBdr>
      <w:divsChild>
        <w:div w:id="828594131">
          <w:marLeft w:val="0"/>
          <w:marRight w:val="0"/>
          <w:marTop w:val="0"/>
          <w:marBottom w:val="0"/>
          <w:divBdr>
            <w:top w:val="none" w:sz="0" w:space="0" w:color="auto"/>
            <w:left w:val="none" w:sz="0" w:space="0" w:color="auto"/>
            <w:bottom w:val="none" w:sz="0" w:space="0" w:color="auto"/>
            <w:right w:val="none" w:sz="0" w:space="0" w:color="auto"/>
          </w:divBdr>
        </w:div>
      </w:divsChild>
    </w:div>
    <w:div w:id="1542087050">
      <w:bodyDiv w:val="1"/>
      <w:marLeft w:val="0"/>
      <w:marRight w:val="0"/>
      <w:marTop w:val="0"/>
      <w:marBottom w:val="0"/>
      <w:divBdr>
        <w:top w:val="none" w:sz="0" w:space="0" w:color="auto"/>
        <w:left w:val="none" w:sz="0" w:space="0" w:color="auto"/>
        <w:bottom w:val="none" w:sz="0" w:space="0" w:color="auto"/>
        <w:right w:val="none" w:sz="0" w:space="0" w:color="auto"/>
      </w:divBdr>
    </w:div>
    <w:div w:id="1551845969">
      <w:bodyDiv w:val="1"/>
      <w:marLeft w:val="0"/>
      <w:marRight w:val="0"/>
      <w:marTop w:val="0"/>
      <w:marBottom w:val="0"/>
      <w:divBdr>
        <w:top w:val="none" w:sz="0" w:space="0" w:color="auto"/>
        <w:left w:val="none" w:sz="0" w:space="0" w:color="auto"/>
        <w:bottom w:val="none" w:sz="0" w:space="0" w:color="auto"/>
        <w:right w:val="none" w:sz="0" w:space="0" w:color="auto"/>
      </w:divBdr>
    </w:div>
    <w:div w:id="1553301254">
      <w:bodyDiv w:val="1"/>
      <w:marLeft w:val="0"/>
      <w:marRight w:val="0"/>
      <w:marTop w:val="0"/>
      <w:marBottom w:val="0"/>
      <w:divBdr>
        <w:top w:val="none" w:sz="0" w:space="0" w:color="auto"/>
        <w:left w:val="none" w:sz="0" w:space="0" w:color="auto"/>
        <w:bottom w:val="none" w:sz="0" w:space="0" w:color="auto"/>
        <w:right w:val="none" w:sz="0" w:space="0" w:color="auto"/>
      </w:divBdr>
    </w:div>
    <w:div w:id="1559979205">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1213355">
      <w:bodyDiv w:val="1"/>
      <w:marLeft w:val="0"/>
      <w:marRight w:val="0"/>
      <w:marTop w:val="0"/>
      <w:marBottom w:val="0"/>
      <w:divBdr>
        <w:top w:val="none" w:sz="0" w:space="0" w:color="auto"/>
        <w:left w:val="none" w:sz="0" w:space="0" w:color="auto"/>
        <w:bottom w:val="none" w:sz="0" w:space="0" w:color="auto"/>
        <w:right w:val="none" w:sz="0" w:space="0" w:color="auto"/>
      </w:divBdr>
    </w:div>
    <w:div w:id="1562668245">
      <w:bodyDiv w:val="1"/>
      <w:marLeft w:val="0"/>
      <w:marRight w:val="0"/>
      <w:marTop w:val="0"/>
      <w:marBottom w:val="0"/>
      <w:divBdr>
        <w:top w:val="none" w:sz="0" w:space="0" w:color="auto"/>
        <w:left w:val="none" w:sz="0" w:space="0" w:color="auto"/>
        <w:bottom w:val="none" w:sz="0" w:space="0" w:color="auto"/>
        <w:right w:val="none" w:sz="0" w:space="0" w:color="auto"/>
      </w:divBdr>
    </w:div>
    <w:div w:id="1563053002">
      <w:bodyDiv w:val="1"/>
      <w:marLeft w:val="0"/>
      <w:marRight w:val="0"/>
      <w:marTop w:val="0"/>
      <w:marBottom w:val="0"/>
      <w:divBdr>
        <w:top w:val="none" w:sz="0" w:space="0" w:color="auto"/>
        <w:left w:val="none" w:sz="0" w:space="0" w:color="auto"/>
        <w:bottom w:val="none" w:sz="0" w:space="0" w:color="auto"/>
        <w:right w:val="none" w:sz="0" w:space="0" w:color="auto"/>
      </w:divBdr>
    </w:div>
    <w:div w:id="1570192880">
      <w:bodyDiv w:val="1"/>
      <w:marLeft w:val="0"/>
      <w:marRight w:val="0"/>
      <w:marTop w:val="0"/>
      <w:marBottom w:val="0"/>
      <w:divBdr>
        <w:top w:val="none" w:sz="0" w:space="0" w:color="auto"/>
        <w:left w:val="none" w:sz="0" w:space="0" w:color="auto"/>
        <w:bottom w:val="none" w:sz="0" w:space="0" w:color="auto"/>
        <w:right w:val="none" w:sz="0" w:space="0" w:color="auto"/>
      </w:divBdr>
      <w:divsChild>
        <w:div w:id="1418750425">
          <w:marLeft w:val="0"/>
          <w:marRight w:val="0"/>
          <w:marTop w:val="0"/>
          <w:marBottom w:val="0"/>
          <w:divBdr>
            <w:top w:val="none" w:sz="0" w:space="0" w:color="auto"/>
            <w:left w:val="none" w:sz="0" w:space="0" w:color="auto"/>
            <w:bottom w:val="none" w:sz="0" w:space="0" w:color="auto"/>
            <w:right w:val="none" w:sz="0" w:space="0" w:color="auto"/>
          </w:divBdr>
        </w:div>
        <w:div w:id="1516921554">
          <w:marLeft w:val="0"/>
          <w:marRight w:val="0"/>
          <w:marTop w:val="0"/>
          <w:marBottom w:val="0"/>
          <w:divBdr>
            <w:top w:val="none" w:sz="0" w:space="0" w:color="auto"/>
            <w:left w:val="none" w:sz="0" w:space="0" w:color="auto"/>
            <w:bottom w:val="none" w:sz="0" w:space="0" w:color="auto"/>
            <w:right w:val="none" w:sz="0" w:space="0" w:color="auto"/>
          </w:divBdr>
        </w:div>
        <w:div w:id="1159882779">
          <w:marLeft w:val="0"/>
          <w:marRight w:val="0"/>
          <w:marTop w:val="0"/>
          <w:marBottom w:val="0"/>
          <w:divBdr>
            <w:top w:val="none" w:sz="0" w:space="0" w:color="auto"/>
            <w:left w:val="none" w:sz="0" w:space="0" w:color="auto"/>
            <w:bottom w:val="none" w:sz="0" w:space="0" w:color="auto"/>
            <w:right w:val="none" w:sz="0" w:space="0" w:color="auto"/>
          </w:divBdr>
        </w:div>
        <w:div w:id="175190489">
          <w:marLeft w:val="0"/>
          <w:marRight w:val="0"/>
          <w:marTop w:val="0"/>
          <w:marBottom w:val="0"/>
          <w:divBdr>
            <w:top w:val="none" w:sz="0" w:space="0" w:color="auto"/>
            <w:left w:val="none" w:sz="0" w:space="0" w:color="auto"/>
            <w:bottom w:val="none" w:sz="0" w:space="0" w:color="auto"/>
            <w:right w:val="none" w:sz="0" w:space="0" w:color="auto"/>
          </w:divBdr>
        </w:div>
      </w:divsChild>
    </w:div>
    <w:div w:id="1574974611">
      <w:bodyDiv w:val="1"/>
      <w:marLeft w:val="0"/>
      <w:marRight w:val="0"/>
      <w:marTop w:val="0"/>
      <w:marBottom w:val="0"/>
      <w:divBdr>
        <w:top w:val="none" w:sz="0" w:space="0" w:color="auto"/>
        <w:left w:val="none" w:sz="0" w:space="0" w:color="auto"/>
        <w:bottom w:val="none" w:sz="0" w:space="0" w:color="auto"/>
        <w:right w:val="none" w:sz="0" w:space="0" w:color="auto"/>
      </w:divBdr>
    </w:div>
    <w:div w:id="1579367367">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88885373">
      <w:bodyDiv w:val="1"/>
      <w:marLeft w:val="0"/>
      <w:marRight w:val="0"/>
      <w:marTop w:val="0"/>
      <w:marBottom w:val="0"/>
      <w:divBdr>
        <w:top w:val="none" w:sz="0" w:space="0" w:color="auto"/>
        <w:left w:val="none" w:sz="0" w:space="0" w:color="auto"/>
        <w:bottom w:val="none" w:sz="0" w:space="0" w:color="auto"/>
        <w:right w:val="none" w:sz="0" w:space="0" w:color="auto"/>
      </w:divBdr>
    </w:div>
    <w:div w:id="1589803291">
      <w:bodyDiv w:val="1"/>
      <w:marLeft w:val="0"/>
      <w:marRight w:val="0"/>
      <w:marTop w:val="0"/>
      <w:marBottom w:val="0"/>
      <w:divBdr>
        <w:top w:val="none" w:sz="0" w:space="0" w:color="auto"/>
        <w:left w:val="none" w:sz="0" w:space="0" w:color="auto"/>
        <w:bottom w:val="none" w:sz="0" w:space="0" w:color="auto"/>
        <w:right w:val="none" w:sz="0" w:space="0" w:color="auto"/>
      </w:divBdr>
    </w:div>
    <w:div w:id="1593467049">
      <w:bodyDiv w:val="1"/>
      <w:marLeft w:val="0"/>
      <w:marRight w:val="0"/>
      <w:marTop w:val="0"/>
      <w:marBottom w:val="0"/>
      <w:divBdr>
        <w:top w:val="none" w:sz="0" w:space="0" w:color="auto"/>
        <w:left w:val="none" w:sz="0" w:space="0" w:color="auto"/>
        <w:bottom w:val="none" w:sz="0" w:space="0" w:color="auto"/>
        <w:right w:val="none" w:sz="0" w:space="0" w:color="auto"/>
      </w:divBdr>
    </w:div>
    <w:div w:id="1595280462">
      <w:bodyDiv w:val="1"/>
      <w:marLeft w:val="0"/>
      <w:marRight w:val="0"/>
      <w:marTop w:val="0"/>
      <w:marBottom w:val="0"/>
      <w:divBdr>
        <w:top w:val="none" w:sz="0" w:space="0" w:color="auto"/>
        <w:left w:val="none" w:sz="0" w:space="0" w:color="auto"/>
        <w:bottom w:val="none" w:sz="0" w:space="0" w:color="auto"/>
        <w:right w:val="none" w:sz="0" w:space="0" w:color="auto"/>
      </w:divBdr>
    </w:div>
    <w:div w:id="1597056786">
      <w:bodyDiv w:val="1"/>
      <w:marLeft w:val="0"/>
      <w:marRight w:val="0"/>
      <w:marTop w:val="0"/>
      <w:marBottom w:val="0"/>
      <w:divBdr>
        <w:top w:val="none" w:sz="0" w:space="0" w:color="auto"/>
        <w:left w:val="none" w:sz="0" w:space="0" w:color="auto"/>
        <w:bottom w:val="none" w:sz="0" w:space="0" w:color="auto"/>
        <w:right w:val="none" w:sz="0" w:space="0" w:color="auto"/>
      </w:divBdr>
    </w:div>
    <w:div w:id="1597981588">
      <w:bodyDiv w:val="1"/>
      <w:marLeft w:val="0"/>
      <w:marRight w:val="0"/>
      <w:marTop w:val="0"/>
      <w:marBottom w:val="0"/>
      <w:divBdr>
        <w:top w:val="none" w:sz="0" w:space="0" w:color="auto"/>
        <w:left w:val="none" w:sz="0" w:space="0" w:color="auto"/>
        <w:bottom w:val="none" w:sz="0" w:space="0" w:color="auto"/>
        <w:right w:val="none" w:sz="0" w:space="0" w:color="auto"/>
      </w:divBdr>
    </w:div>
    <w:div w:id="1601136643">
      <w:bodyDiv w:val="1"/>
      <w:marLeft w:val="0"/>
      <w:marRight w:val="0"/>
      <w:marTop w:val="0"/>
      <w:marBottom w:val="0"/>
      <w:divBdr>
        <w:top w:val="none" w:sz="0" w:space="0" w:color="auto"/>
        <w:left w:val="none" w:sz="0" w:space="0" w:color="auto"/>
        <w:bottom w:val="none" w:sz="0" w:space="0" w:color="auto"/>
        <w:right w:val="none" w:sz="0" w:space="0" w:color="auto"/>
      </w:divBdr>
    </w:div>
    <w:div w:id="1612735678">
      <w:bodyDiv w:val="1"/>
      <w:marLeft w:val="0"/>
      <w:marRight w:val="0"/>
      <w:marTop w:val="0"/>
      <w:marBottom w:val="0"/>
      <w:divBdr>
        <w:top w:val="none" w:sz="0" w:space="0" w:color="auto"/>
        <w:left w:val="none" w:sz="0" w:space="0" w:color="auto"/>
        <w:bottom w:val="none" w:sz="0" w:space="0" w:color="auto"/>
        <w:right w:val="none" w:sz="0" w:space="0" w:color="auto"/>
      </w:divBdr>
    </w:div>
    <w:div w:id="1614286783">
      <w:bodyDiv w:val="1"/>
      <w:marLeft w:val="0"/>
      <w:marRight w:val="0"/>
      <w:marTop w:val="0"/>
      <w:marBottom w:val="0"/>
      <w:divBdr>
        <w:top w:val="none" w:sz="0" w:space="0" w:color="auto"/>
        <w:left w:val="none" w:sz="0" w:space="0" w:color="auto"/>
        <w:bottom w:val="none" w:sz="0" w:space="0" w:color="auto"/>
        <w:right w:val="none" w:sz="0" w:space="0" w:color="auto"/>
      </w:divBdr>
    </w:div>
    <w:div w:id="1617254799">
      <w:bodyDiv w:val="1"/>
      <w:marLeft w:val="0"/>
      <w:marRight w:val="0"/>
      <w:marTop w:val="0"/>
      <w:marBottom w:val="0"/>
      <w:divBdr>
        <w:top w:val="none" w:sz="0" w:space="0" w:color="auto"/>
        <w:left w:val="none" w:sz="0" w:space="0" w:color="auto"/>
        <w:bottom w:val="none" w:sz="0" w:space="0" w:color="auto"/>
        <w:right w:val="none" w:sz="0" w:space="0" w:color="auto"/>
      </w:divBdr>
    </w:div>
    <w:div w:id="1627858380">
      <w:bodyDiv w:val="1"/>
      <w:marLeft w:val="0"/>
      <w:marRight w:val="0"/>
      <w:marTop w:val="0"/>
      <w:marBottom w:val="0"/>
      <w:divBdr>
        <w:top w:val="none" w:sz="0" w:space="0" w:color="auto"/>
        <w:left w:val="none" w:sz="0" w:space="0" w:color="auto"/>
        <w:bottom w:val="none" w:sz="0" w:space="0" w:color="auto"/>
        <w:right w:val="none" w:sz="0" w:space="0" w:color="auto"/>
      </w:divBdr>
    </w:div>
    <w:div w:id="1629893355">
      <w:bodyDiv w:val="1"/>
      <w:marLeft w:val="0"/>
      <w:marRight w:val="0"/>
      <w:marTop w:val="0"/>
      <w:marBottom w:val="0"/>
      <w:divBdr>
        <w:top w:val="none" w:sz="0" w:space="0" w:color="auto"/>
        <w:left w:val="none" w:sz="0" w:space="0" w:color="auto"/>
        <w:bottom w:val="none" w:sz="0" w:space="0" w:color="auto"/>
        <w:right w:val="none" w:sz="0" w:space="0" w:color="auto"/>
      </w:divBdr>
    </w:div>
    <w:div w:id="1629965741">
      <w:bodyDiv w:val="1"/>
      <w:marLeft w:val="0"/>
      <w:marRight w:val="0"/>
      <w:marTop w:val="0"/>
      <w:marBottom w:val="0"/>
      <w:divBdr>
        <w:top w:val="none" w:sz="0" w:space="0" w:color="auto"/>
        <w:left w:val="none" w:sz="0" w:space="0" w:color="auto"/>
        <w:bottom w:val="none" w:sz="0" w:space="0" w:color="auto"/>
        <w:right w:val="none" w:sz="0" w:space="0" w:color="auto"/>
      </w:divBdr>
    </w:div>
    <w:div w:id="1630739248">
      <w:bodyDiv w:val="1"/>
      <w:marLeft w:val="0"/>
      <w:marRight w:val="0"/>
      <w:marTop w:val="0"/>
      <w:marBottom w:val="0"/>
      <w:divBdr>
        <w:top w:val="none" w:sz="0" w:space="0" w:color="auto"/>
        <w:left w:val="none" w:sz="0" w:space="0" w:color="auto"/>
        <w:bottom w:val="none" w:sz="0" w:space="0" w:color="auto"/>
        <w:right w:val="none" w:sz="0" w:space="0" w:color="auto"/>
      </w:divBdr>
    </w:div>
    <w:div w:id="1640839055">
      <w:bodyDiv w:val="1"/>
      <w:marLeft w:val="0"/>
      <w:marRight w:val="0"/>
      <w:marTop w:val="0"/>
      <w:marBottom w:val="0"/>
      <w:divBdr>
        <w:top w:val="none" w:sz="0" w:space="0" w:color="auto"/>
        <w:left w:val="none" w:sz="0" w:space="0" w:color="auto"/>
        <w:bottom w:val="none" w:sz="0" w:space="0" w:color="auto"/>
        <w:right w:val="none" w:sz="0" w:space="0" w:color="auto"/>
      </w:divBdr>
    </w:div>
    <w:div w:id="1642729148">
      <w:bodyDiv w:val="1"/>
      <w:marLeft w:val="0"/>
      <w:marRight w:val="0"/>
      <w:marTop w:val="0"/>
      <w:marBottom w:val="0"/>
      <w:divBdr>
        <w:top w:val="none" w:sz="0" w:space="0" w:color="auto"/>
        <w:left w:val="none" w:sz="0" w:space="0" w:color="auto"/>
        <w:bottom w:val="none" w:sz="0" w:space="0" w:color="auto"/>
        <w:right w:val="none" w:sz="0" w:space="0" w:color="auto"/>
      </w:divBdr>
    </w:div>
    <w:div w:id="1643851384">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48124009">
      <w:bodyDiv w:val="1"/>
      <w:marLeft w:val="0"/>
      <w:marRight w:val="0"/>
      <w:marTop w:val="0"/>
      <w:marBottom w:val="0"/>
      <w:divBdr>
        <w:top w:val="none" w:sz="0" w:space="0" w:color="auto"/>
        <w:left w:val="none" w:sz="0" w:space="0" w:color="auto"/>
        <w:bottom w:val="none" w:sz="0" w:space="0" w:color="auto"/>
        <w:right w:val="none" w:sz="0" w:space="0" w:color="auto"/>
      </w:divBdr>
    </w:div>
    <w:div w:id="1649092599">
      <w:bodyDiv w:val="1"/>
      <w:marLeft w:val="0"/>
      <w:marRight w:val="0"/>
      <w:marTop w:val="0"/>
      <w:marBottom w:val="0"/>
      <w:divBdr>
        <w:top w:val="none" w:sz="0" w:space="0" w:color="auto"/>
        <w:left w:val="none" w:sz="0" w:space="0" w:color="auto"/>
        <w:bottom w:val="none" w:sz="0" w:space="0" w:color="auto"/>
        <w:right w:val="none" w:sz="0" w:space="0" w:color="auto"/>
      </w:divBdr>
    </w:div>
    <w:div w:id="1656254737">
      <w:bodyDiv w:val="1"/>
      <w:marLeft w:val="0"/>
      <w:marRight w:val="0"/>
      <w:marTop w:val="0"/>
      <w:marBottom w:val="0"/>
      <w:divBdr>
        <w:top w:val="none" w:sz="0" w:space="0" w:color="auto"/>
        <w:left w:val="none" w:sz="0" w:space="0" w:color="auto"/>
        <w:bottom w:val="none" w:sz="0" w:space="0" w:color="auto"/>
        <w:right w:val="none" w:sz="0" w:space="0" w:color="auto"/>
      </w:divBdr>
    </w:div>
    <w:div w:id="1659263838">
      <w:bodyDiv w:val="1"/>
      <w:marLeft w:val="0"/>
      <w:marRight w:val="0"/>
      <w:marTop w:val="0"/>
      <w:marBottom w:val="0"/>
      <w:divBdr>
        <w:top w:val="none" w:sz="0" w:space="0" w:color="auto"/>
        <w:left w:val="none" w:sz="0" w:space="0" w:color="auto"/>
        <w:bottom w:val="none" w:sz="0" w:space="0" w:color="auto"/>
        <w:right w:val="none" w:sz="0" w:space="0" w:color="auto"/>
      </w:divBdr>
    </w:div>
    <w:div w:id="1664118276">
      <w:bodyDiv w:val="1"/>
      <w:marLeft w:val="0"/>
      <w:marRight w:val="0"/>
      <w:marTop w:val="0"/>
      <w:marBottom w:val="0"/>
      <w:divBdr>
        <w:top w:val="none" w:sz="0" w:space="0" w:color="auto"/>
        <w:left w:val="none" w:sz="0" w:space="0" w:color="auto"/>
        <w:bottom w:val="none" w:sz="0" w:space="0" w:color="auto"/>
        <w:right w:val="none" w:sz="0" w:space="0" w:color="auto"/>
      </w:divBdr>
    </w:div>
    <w:div w:id="1667443475">
      <w:bodyDiv w:val="1"/>
      <w:marLeft w:val="0"/>
      <w:marRight w:val="0"/>
      <w:marTop w:val="0"/>
      <w:marBottom w:val="0"/>
      <w:divBdr>
        <w:top w:val="none" w:sz="0" w:space="0" w:color="auto"/>
        <w:left w:val="none" w:sz="0" w:space="0" w:color="auto"/>
        <w:bottom w:val="none" w:sz="0" w:space="0" w:color="auto"/>
        <w:right w:val="none" w:sz="0" w:space="0" w:color="auto"/>
      </w:divBdr>
    </w:div>
    <w:div w:id="1675646917">
      <w:bodyDiv w:val="1"/>
      <w:marLeft w:val="0"/>
      <w:marRight w:val="0"/>
      <w:marTop w:val="0"/>
      <w:marBottom w:val="0"/>
      <w:divBdr>
        <w:top w:val="none" w:sz="0" w:space="0" w:color="auto"/>
        <w:left w:val="none" w:sz="0" w:space="0" w:color="auto"/>
        <w:bottom w:val="none" w:sz="0" w:space="0" w:color="auto"/>
        <w:right w:val="none" w:sz="0" w:space="0" w:color="auto"/>
      </w:divBdr>
    </w:div>
    <w:div w:id="1676110717">
      <w:bodyDiv w:val="1"/>
      <w:marLeft w:val="0"/>
      <w:marRight w:val="0"/>
      <w:marTop w:val="0"/>
      <w:marBottom w:val="0"/>
      <w:divBdr>
        <w:top w:val="none" w:sz="0" w:space="0" w:color="auto"/>
        <w:left w:val="none" w:sz="0" w:space="0" w:color="auto"/>
        <w:bottom w:val="none" w:sz="0" w:space="0" w:color="auto"/>
        <w:right w:val="none" w:sz="0" w:space="0" w:color="auto"/>
      </w:divBdr>
    </w:div>
    <w:div w:id="1682274004">
      <w:bodyDiv w:val="1"/>
      <w:marLeft w:val="0"/>
      <w:marRight w:val="0"/>
      <w:marTop w:val="0"/>
      <w:marBottom w:val="0"/>
      <w:divBdr>
        <w:top w:val="none" w:sz="0" w:space="0" w:color="auto"/>
        <w:left w:val="none" w:sz="0" w:space="0" w:color="auto"/>
        <w:bottom w:val="none" w:sz="0" w:space="0" w:color="auto"/>
        <w:right w:val="none" w:sz="0" w:space="0" w:color="auto"/>
      </w:divBdr>
    </w:div>
    <w:div w:id="1683624524">
      <w:bodyDiv w:val="1"/>
      <w:marLeft w:val="0"/>
      <w:marRight w:val="0"/>
      <w:marTop w:val="0"/>
      <w:marBottom w:val="0"/>
      <w:divBdr>
        <w:top w:val="none" w:sz="0" w:space="0" w:color="auto"/>
        <w:left w:val="none" w:sz="0" w:space="0" w:color="auto"/>
        <w:bottom w:val="none" w:sz="0" w:space="0" w:color="auto"/>
        <w:right w:val="none" w:sz="0" w:space="0" w:color="auto"/>
      </w:divBdr>
    </w:div>
    <w:div w:id="1683706961">
      <w:bodyDiv w:val="1"/>
      <w:marLeft w:val="0"/>
      <w:marRight w:val="0"/>
      <w:marTop w:val="0"/>
      <w:marBottom w:val="0"/>
      <w:divBdr>
        <w:top w:val="none" w:sz="0" w:space="0" w:color="auto"/>
        <w:left w:val="none" w:sz="0" w:space="0" w:color="auto"/>
        <w:bottom w:val="none" w:sz="0" w:space="0" w:color="auto"/>
        <w:right w:val="none" w:sz="0" w:space="0" w:color="auto"/>
      </w:divBdr>
      <w:divsChild>
        <w:div w:id="1289579915">
          <w:marLeft w:val="0"/>
          <w:marRight w:val="0"/>
          <w:marTop w:val="0"/>
          <w:marBottom w:val="0"/>
          <w:divBdr>
            <w:top w:val="none" w:sz="0" w:space="0" w:color="auto"/>
            <w:left w:val="none" w:sz="0" w:space="0" w:color="auto"/>
            <w:bottom w:val="none" w:sz="0" w:space="0" w:color="auto"/>
            <w:right w:val="none" w:sz="0" w:space="0" w:color="auto"/>
          </w:divBdr>
        </w:div>
        <w:div w:id="602882082">
          <w:marLeft w:val="0"/>
          <w:marRight w:val="0"/>
          <w:marTop w:val="0"/>
          <w:marBottom w:val="0"/>
          <w:divBdr>
            <w:top w:val="none" w:sz="0" w:space="0" w:color="auto"/>
            <w:left w:val="none" w:sz="0" w:space="0" w:color="auto"/>
            <w:bottom w:val="none" w:sz="0" w:space="0" w:color="auto"/>
            <w:right w:val="none" w:sz="0" w:space="0" w:color="auto"/>
          </w:divBdr>
        </w:div>
        <w:div w:id="1835487398">
          <w:marLeft w:val="0"/>
          <w:marRight w:val="0"/>
          <w:marTop w:val="0"/>
          <w:marBottom w:val="0"/>
          <w:divBdr>
            <w:top w:val="none" w:sz="0" w:space="0" w:color="auto"/>
            <w:left w:val="none" w:sz="0" w:space="0" w:color="auto"/>
            <w:bottom w:val="none" w:sz="0" w:space="0" w:color="auto"/>
            <w:right w:val="none" w:sz="0" w:space="0" w:color="auto"/>
          </w:divBdr>
        </w:div>
        <w:div w:id="405422539">
          <w:marLeft w:val="0"/>
          <w:marRight w:val="0"/>
          <w:marTop w:val="0"/>
          <w:marBottom w:val="0"/>
          <w:divBdr>
            <w:top w:val="none" w:sz="0" w:space="0" w:color="auto"/>
            <w:left w:val="none" w:sz="0" w:space="0" w:color="auto"/>
            <w:bottom w:val="none" w:sz="0" w:space="0" w:color="auto"/>
            <w:right w:val="none" w:sz="0" w:space="0" w:color="auto"/>
          </w:divBdr>
        </w:div>
        <w:div w:id="425350075">
          <w:marLeft w:val="0"/>
          <w:marRight w:val="0"/>
          <w:marTop w:val="0"/>
          <w:marBottom w:val="0"/>
          <w:divBdr>
            <w:top w:val="none" w:sz="0" w:space="0" w:color="auto"/>
            <w:left w:val="none" w:sz="0" w:space="0" w:color="auto"/>
            <w:bottom w:val="none" w:sz="0" w:space="0" w:color="auto"/>
            <w:right w:val="none" w:sz="0" w:space="0" w:color="auto"/>
          </w:divBdr>
        </w:div>
        <w:div w:id="1317303027">
          <w:marLeft w:val="0"/>
          <w:marRight w:val="0"/>
          <w:marTop w:val="0"/>
          <w:marBottom w:val="0"/>
          <w:divBdr>
            <w:top w:val="none" w:sz="0" w:space="0" w:color="auto"/>
            <w:left w:val="none" w:sz="0" w:space="0" w:color="auto"/>
            <w:bottom w:val="none" w:sz="0" w:space="0" w:color="auto"/>
            <w:right w:val="none" w:sz="0" w:space="0" w:color="auto"/>
          </w:divBdr>
        </w:div>
        <w:div w:id="294070984">
          <w:marLeft w:val="0"/>
          <w:marRight w:val="0"/>
          <w:marTop w:val="0"/>
          <w:marBottom w:val="0"/>
          <w:divBdr>
            <w:top w:val="none" w:sz="0" w:space="0" w:color="auto"/>
            <w:left w:val="none" w:sz="0" w:space="0" w:color="auto"/>
            <w:bottom w:val="none" w:sz="0" w:space="0" w:color="auto"/>
            <w:right w:val="none" w:sz="0" w:space="0" w:color="auto"/>
          </w:divBdr>
        </w:div>
        <w:div w:id="1591426144">
          <w:marLeft w:val="0"/>
          <w:marRight w:val="0"/>
          <w:marTop w:val="0"/>
          <w:marBottom w:val="0"/>
          <w:divBdr>
            <w:top w:val="none" w:sz="0" w:space="0" w:color="auto"/>
            <w:left w:val="none" w:sz="0" w:space="0" w:color="auto"/>
            <w:bottom w:val="none" w:sz="0" w:space="0" w:color="auto"/>
            <w:right w:val="none" w:sz="0" w:space="0" w:color="auto"/>
          </w:divBdr>
        </w:div>
        <w:div w:id="1290280282">
          <w:marLeft w:val="0"/>
          <w:marRight w:val="0"/>
          <w:marTop w:val="0"/>
          <w:marBottom w:val="0"/>
          <w:divBdr>
            <w:top w:val="none" w:sz="0" w:space="0" w:color="auto"/>
            <w:left w:val="none" w:sz="0" w:space="0" w:color="auto"/>
            <w:bottom w:val="none" w:sz="0" w:space="0" w:color="auto"/>
            <w:right w:val="none" w:sz="0" w:space="0" w:color="auto"/>
          </w:divBdr>
        </w:div>
        <w:div w:id="242372553">
          <w:marLeft w:val="0"/>
          <w:marRight w:val="0"/>
          <w:marTop w:val="0"/>
          <w:marBottom w:val="0"/>
          <w:divBdr>
            <w:top w:val="none" w:sz="0" w:space="0" w:color="auto"/>
            <w:left w:val="none" w:sz="0" w:space="0" w:color="auto"/>
            <w:bottom w:val="none" w:sz="0" w:space="0" w:color="auto"/>
            <w:right w:val="none" w:sz="0" w:space="0" w:color="auto"/>
          </w:divBdr>
        </w:div>
        <w:div w:id="72747258">
          <w:marLeft w:val="0"/>
          <w:marRight w:val="0"/>
          <w:marTop w:val="0"/>
          <w:marBottom w:val="0"/>
          <w:divBdr>
            <w:top w:val="none" w:sz="0" w:space="0" w:color="auto"/>
            <w:left w:val="none" w:sz="0" w:space="0" w:color="auto"/>
            <w:bottom w:val="none" w:sz="0" w:space="0" w:color="auto"/>
            <w:right w:val="none" w:sz="0" w:space="0" w:color="auto"/>
          </w:divBdr>
        </w:div>
      </w:divsChild>
    </w:div>
    <w:div w:id="1686979553">
      <w:bodyDiv w:val="1"/>
      <w:marLeft w:val="0"/>
      <w:marRight w:val="0"/>
      <w:marTop w:val="0"/>
      <w:marBottom w:val="0"/>
      <w:divBdr>
        <w:top w:val="none" w:sz="0" w:space="0" w:color="auto"/>
        <w:left w:val="none" w:sz="0" w:space="0" w:color="auto"/>
        <w:bottom w:val="none" w:sz="0" w:space="0" w:color="auto"/>
        <w:right w:val="none" w:sz="0" w:space="0" w:color="auto"/>
      </w:divBdr>
    </w:div>
    <w:div w:id="1688557900">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692299848">
      <w:bodyDiv w:val="1"/>
      <w:marLeft w:val="0"/>
      <w:marRight w:val="0"/>
      <w:marTop w:val="0"/>
      <w:marBottom w:val="0"/>
      <w:divBdr>
        <w:top w:val="none" w:sz="0" w:space="0" w:color="auto"/>
        <w:left w:val="none" w:sz="0" w:space="0" w:color="auto"/>
        <w:bottom w:val="none" w:sz="0" w:space="0" w:color="auto"/>
        <w:right w:val="none" w:sz="0" w:space="0" w:color="auto"/>
      </w:divBdr>
    </w:div>
    <w:div w:id="1692759525">
      <w:bodyDiv w:val="1"/>
      <w:marLeft w:val="0"/>
      <w:marRight w:val="0"/>
      <w:marTop w:val="0"/>
      <w:marBottom w:val="0"/>
      <w:divBdr>
        <w:top w:val="none" w:sz="0" w:space="0" w:color="auto"/>
        <w:left w:val="none" w:sz="0" w:space="0" w:color="auto"/>
        <w:bottom w:val="none" w:sz="0" w:space="0" w:color="auto"/>
        <w:right w:val="none" w:sz="0" w:space="0" w:color="auto"/>
      </w:divBdr>
    </w:div>
    <w:div w:id="1695811543">
      <w:bodyDiv w:val="1"/>
      <w:marLeft w:val="0"/>
      <w:marRight w:val="0"/>
      <w:marTop w:val="0"/>
      <w:marBottom w:val="0"/>
      <w:divBdr>
        <w:top w:val="none" w:sz="0" w:space="0" w:color="auto"/>
        <w:left w:val="none" w:sz="0" w:space="0" w:color="auto"/>
        <w:bottom w:val="none" w:sz="0" w:space="0" w:color="auto"/>
        <w:right w:val="none" w:sz="0" w:space="0" w:color="auto"/>
      </w:divBdr>
    </w:div>
    <w:div w:id="1703742698">
      <w:bodyDiv w:val="1"/>
      <w:marLeft w:val="0"/>
      <w:marRight w:val="0"/>
      <w:marTop w:val="0"/>
      <w:marBottom w:val="0"/>
      <w:divBdr>
        <w:top w:val="none" w:sz="0" w:space="0" w:color="auto"/>
        <w:left w:val="none" w:sz="0" w:space="0" w:color="auto"/>
        <w:bottom w:val="none" w:sz="0" w:space="0" w:color="auto"/>
        <w:right w:val="none" w:sz="0" w:space="0" w:color="auto"/>
      </w:divBdr>
    </w:div>
    <w:div w:id="1712269582">
      <w:bodyDiv w:val="1"/>
      <w:marLeft w:val="0"/>
      <w:marRight w:val="0"/>
      <w:marTop w:val="0"/>
      <w:marBottom w:val="0"/>
      <w:divBdr>
        <w:top w:val="none" w:sz="0" w:space="0" w:color="auto"/>
        <w:left w:val="none" w:sz="0" w:space="0" w:color="auto"/>
        <w:bottom w:val="none" w:sz="0" w:space="0" w:color="auto"/>
        <w:right w:val="none" w:sz="0" w:space="0" w:color="auto"/>
      </w:divBdr>
    </w:div>
    <w:div w:id="1712921204">
      <w:bodyDiv w:val="1"/>
      <w:marLeft w:val="0"/>
      <w:marRight w:val="0"/>
      <w:marTop w:val="0"/>
      <w:marBottom w:val="0"/>
      <w:divBdr>
        <w:top w:val="none" w:sz="0" w:space="0" w:color="auto"/>
        <w:left w:val="none" w:sz="0" w:space="0" w:color="auto"/>
        <w:bottom w:val="none" w:sz="0" w:space="0" w:color="auto"/>
        <w:right w:val="none" w:sz="0" w:space="0" w:color="auto"/>
      </w:divBdr>
    </w:div>
    <w:div w:id="1717898531">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27337837">
      <w:bodyDiv w:val="1"/>
      <w:marLeft w:val="0"/>
      <w:marRight w:val="0"/>
      <w:marTop w:val="0"/>
      <w:marBottom w:val="0"/>
      <w:divBdr>
        <w:top w:val="none" w:sz="0" w:space="0" w:color="auto"/>
        <w:left w:val="none" w:sz="0" w:space="0" w:color="auto"/>
        <w:bottom w:val="none" w:sz="0" w:space="0" w:color="auto"/>
        <w:right w:val="none" w:sz="0" w:space="0" w:color="auto"/>
      </w:divBdr>
    </w:div>
    <w:div w:id="1729567886">
      <w:bodyDiv w:val="1"/>
      <w:marLeft w:val="0"/>
      <w:marRight w:val="0"/>
      <w:marTop w:val="0"/>
      <w:marBottom w:val="0"/>
      <w:divBdr>
        <w:top w:val="none" w:sz="0" w:space="0" w:color="auto"/>
        <w:left w:val="none" w:sz="0" w:space="0" w:color="auto"/>
        <w:bottom w:val="none" w:sz="0" w:space="0" w:color="auto"/>
        <w:right w:val="none" w:sz="0" w:space="0" w:color="auto"/>
      </w:divBdr>
      <w:divsChild>
        <w:div w:id="366370562">
          <w:marLeft w:val="0"/>
          <w:marRight w:val="0"/>
          <w:marTop w:val="0"/>
          <w:marBottom w:val="0"/>
          <w:divBdr>
            <w:top w:val="none" w:sz="0" w:space="0" w:color="auto"/>
            <w:left w:val="none" w:sz="0" w:space="0" w:color="auto"/>
            <w:bottom w:val="none" w:sz="0" w:space="0" w:color="auto"/>
            <w:right w:val="none" w:sz="0" w:space="0" w:color="auto"/>
          </w:divBdr>
        </w:div>
      </w:divsChild>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5619254">
      <w:bodyDiv w:val="1"/>
      <w:marLeft w:val="0"/>
      <w:marRight w:val="0"/>
      <w:marTop w:val="0"/>
      <w:marBottom w:val="0"/>
      <w:divBdr>
        <w:top w:val="none" w:sz="0" w:space="0" w:color="auto"/>
        <w:left w:val="none" w:sz="0" w:space="0" w:color="auto"/>
        <w:bottom w:val="none" w:sz="0" w:space="0" w:color="auto"/>
        <w:right w:val="none" w:sz="0" w:space="0" w:color="auto"/>
      </w:divBdr>
    </w:div>
    <w:div w:id="1739985167">
      <w:bodyDiv w:val="1"/>
      <w:marLeft w:val="0"/>
      <w:marRight w:val="0"/>
      <w:marTop w:val="0"/>
      <w:marBottom w:val="0"/>
      <w:divBdr>
        <w:top w:val="none" w:sz="0" w:space="0" w:color="auto"/>
        <w:left w:val="none" w:sz="0" w:space="0" w:color="auto"/>
        <w:bottom w:val="none" w:sz="0" w:space="0" w:color="auto"/>
        <w:right w:val="none" w:sz="0" w:space="0" w:color="auto"/>
      </w:divBdr>
    </w:div>
    <w:div w:id="1741950611">
      <w:bodyDiv w:val="1"/>
      <w:marLeft w:val="0"/>
      <w:marRight w:val="0"/>
      <w:marTop w:val="0"/>
      <w:marBottom w:val="0"/>
      <w:divBdr>
        <w:top w:val="none" w:sz="0" w:space="0" w:color="auto"/>
        <w:left w:val="none" w:sz="0" w:space="0" w:color="auto"/>
        <w:bottom w:val="none" w:sz="0" w:space="0" w:color="auto"/>
        <w:right w:val="none" w:sz="0" w:space="0" w:color="auto"/>
      </w:divBdr>
    </w:div>
    <w:div w:id="1743870907">
      <w:bodyDiv w:val="1"/>
      <w:marLeft w:val="0"/>
      <w:marRight w:val="0"/>
      <w:marTop w:val="0"/>
      <w:marBottom w:val="0"/>
      <w:divBdr>
        <w:top w:val="none" w:sz="0" w:space="0" w:color="auto"/>
        <w:left w:val="none" w:sz="0" w:space="0" w:color="auto"/>
        <w:bottom w:val="none" w:sz="0" w:space="0" w:color="auto"/>
        <w:right w:val="none" w:sz="0" w:space="0" w:color="auto"/>
      </w:divBdr>
    </w:div>
    <w:div w:id="1744789389">
      <w:bodyDiv w:val="1"/>
      <w:marLeft w:val="0"/>
      <w:marRight w:val="0"/>
      <w:marTop w:val="0"/>
      <w:marBottom w:val="0"/>
      <w:divBdr>
        <w:top w:val="none" w:sz="0" w:space="0" w:color="auto"/>
        <w:left w:val="none" w:sz="0" w:space="0" w:color="auto"/>
        <w:bottom w:val="none" w:sz="0" w:space="0" w:color="auto"/>
        <w:right w:val="none" w:sz="0" w:space="0" w:color="auto"/>
      </w:divBdr>
    </w:div>
    <w:div w:id="1744913398">
      <w:bodyDiv w:val="1"/>
      <w:marLeft w:val="0"/>
      <w:marRight w:val="0"/>
      <w:marTop w:val="0"/>
      <w:marBottom w:val="0"/>
      <w:divBdr>
        <w:top w:val="none" w:sz="0" w:space="0" w:color="auto"/>
        <w:left w:val="none" w:sz="0" w:space="0" w:color="auto"/>
        <w:bottom w:val="none" w:sz="0" w:space="0" w:color="auto"/>
        <w:right w:val="none" w:sz="0" w:space="0" w:color="auto"/>
      </w:divBdr>
    </w:div>
    <w:div w:id="1747996764">
      <w:bodyDiv w:val="1"/>
      <w:marLeft w:val="0"/>
      <w:marRight w:val="0"/>
      <w:marTop w:val="0"/>
      <w:marBottom w:val="0"/>
      <w:divBdr>
        <w:top w:val="none" w:sz="0" w:space="0" w:color="auto"/>
        <w:left w:val="none" w:sz="0" w:space="0" w:color="auto"/>
        <w:bottom w:val="none" w:sz="0" w:space="0" w:color="auto"/>
        <w:right w:val="none" w:sz="0" w:space="0" w:color="auto"/>
      </w:divBdr>
    </w:div>
    <w:div w:id="1750344870">
      <w:bodyDiv w:val="1"/>
      <w:marLeft w:val="0"/>
      <w:marRight w:val="0"/>
      <w:marTop w:val="0"/>
      <w:marBottom w:val="0"/>
      <w:divBdr>
        <w:top w:val="none" w:sz="0" w:space="0" w:color="auto"/>
        <w:left w:val="none" w:sz="0" w:space="0" w:color="auto"/>
        <w:bottom w:val="none" w:sz="0" w:space="0" w:color="auto"/>
        <w:right w:val="none" w:sz="0" w:space="0" w:color="auto"/>
      </w:divBdr>
    </w:div>
    <w:div w:id="1754624720">
      <w:bodyDiv w:val="1"/>
      <w:marLeft w:val="0"/>
      <w:marRight w:val="0"/>
      <w:marTop w:val="0"/>
      <w:marBottom w:val="0"/>
      <w:divBdr>
        <w:top w:val="none" w:sz="0" w:space="0" w:color="auto"/>
        <w:left w:val="none" w:sz="0" w:space="0" w:color="auto"/>
        <w:bottom w:val="none" w:sz="0" w:space="0" w:color="auto"/>
        <w:right w:val="none" w:sz="0" w:space="0" w:color="auto"/>
      </w:divBdr>
    </w:div>
    <w:div w:id="1766995016">
      <w:bodyDiv w:val="1"/>
      <w:marLeft w:val="0"/>
      <w:marRight w:val="0"/>
      <w:marTop w:val="0"/>
      <w:marBottom w:val="0"/>
      <w:divBdr>
        <w:top w:val="none" w:sz="0" w:space="0" w:color="auto"/>
        <w:left w:val="none" w:sz="0" w:space="0" w:color="auto"/>
        <w:bottom w:val="none" w:sz="0" w:space="0" w:color="auto"/>
        <w:right w:val="none" w:sz="0" w:space="0" w:color="auto"/>
      </w:divBdr>
    </w:div>
    <w:div w:id="1774396582">
      <w:bodyDiv w:val="1"/>
      <w:marLeft w:val="0"/>
      <w:marRight w:val="0"/>
      <w:marTop w:val="0"/>
      <w:marBottom w:val="0"/>
      <w:divBdr>
        <w:top w:val="none" w:sz="0" w:space="0" w:color="auto"/>
        <w:left w:val="none" w:sz="0" w:space="0" w:color="auto"/>
        <w:bottom w:val="none" w:sz="0" w:space="0" w:color="auto"/>
        <w:right w:val="none" w:sz="0" w:space="0" w:color="auto"/>
      </w:divBdr>
    </w:div>
    <w:div w:id="1775442486">
      <w:bodyDiv w:val="1"/>
      <w:marLeft w:val="0"/>
      <w:marRight w:val="0"/>
      <w:marTop w:val="0"/>
      <w:marBottom w:val="0"/>
      <w:divBdr>
        <w:top w:val="none" w:sz="0" w:space="0" w:color="auto"/>
        <w:left w:val="none" w:sz="0" w:space="0" w:color="auto"/>
        <w:bottom w:val="none" w:sz="0" w:space="0" w:color="auto"/>
        <w:right w:val="none" w:sz="0" w:space="0" w:color="auto"/>
      </w:divBdr>
    </w:div>
    <w:div w:id="1781412360">
      <w:bodyDiv w:val="1"/>
      <w:marLeft w:val="0"/>
      <w:marRight w:val="0"/>
      <w:marTop w:val="0"/>
      <w:marBottom w:val="0"/>
      <w:divBdr>
        <w:top w:val="none" w:sz="0" w:space="0" w:color="auto"/>
        <w:left w:val="none" w:sz="0" w:space="0" w:color="auto"/>
        <w:bottom w:val="none" w:sz="0" w:space="0" w:color="auto"/>
        <w:right w:val="none" w:sz="0" w:space="0" w:color="auto"/>
      </w:divBdr>
    </w:div>
    <w:div w:id="1785155151">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1790123191">
      <w:bodyDiv w:val="1"/>
      <w:marLeft w:val="0"/>
      <w:marRight w:val="0"/>
      <w:marTop w:val="0"/>
      <w:marBottom w:val="0"/>
      <w:divBdr>
        <w:top w:val="none" w:sz="0" w:space="0" w:color="auto"/>
        <w:left w:val="none" w:sz="0" w:space="0" w:color="auto"/>
        <w:bottom w:val="none" w:sz="0" w:space="0" w:color="auto"/>
        <w:right w:val="none" w:sz="0" w:space="0" w:color="auto"/>
      </w:divBdr>
    </w:div>
    <w:div w:id="1791513131">
      <w:bodyDiv w:val="1"/>
      <w:marLeft w:val="0"/>
      <w:marRight w:val="0"/>
      <w:marTop w:val="0"/>
      <w:marBottom w:val="0"/>
      <w:divBdr>
        <w:top w:val="none" w:sz="0" w:space="0" w:color="auto"/>
        <w:left w:val="none" w:sz="0" w:space="0" w:color="auto"/>
        <w:bottom w:val="none" w:sz="0" w:space="0" w:color="auto"/>
        <w:right w:val="none" w:sz="0" w:space="0" w:color="auto"/>
      </w:divBdr>
    </w:div>
    <w:div w:id="1797065029">
      <w:bodyDiv w:val="1"/>
      <w:marLeft w:val="0"/>
      <w:marRight w:val="0"/>
      <w:marTop w:val="0"/>
      <w:marBottom w:val="0"/>
      <w:divBdr>
        <w:top w:val="none" w:sz="0" w:space="0" w:color="auto"/>
        <w:left w:val="none" w:sz="0" w:space="0" w:color="auto"/>
        <w:bottom w:val="none" w:sz="0" w:space="0" w:color="auto"/>
        <w:right w:val="none" w:sz="0" w:space="0" w:color="auto"/>
      </w:divBdr>
    </w:div>
    <w:div w:id="1801730351">
      <w:bodyDiv w:val="1"/>
      <w:marLeft w:val="0"/>
      <w:marRight w:val="0"/>
      <w:marTop w:val="0"/>
      <w:marBottom w:val="0"/>
      <w:divBdr>
        <w:top w:val="none" w:sz="0" w:space="0" w:color="auto"/>
        <w:left w:val="none" w:sz="0" w:space="0" w:color="auto"/>
        <w:bottom w:val="none" w:sz="0" w:space="0" w:color="auto"/>
        <w:right w:val="none" w:sz="0" w:space="0" w:color="auto"/>
      </w:divBdr>
    </w:div>
    <w:div w:id="1807894764">
      <w:bodyDiv w:val="1"/>
      <w:marLeft w:val="0"/>
      <w:marRight w:val="0"/>
      <w:marTop w:val="0"/>
      <w:marBottom w:val="0"/>
      <w:divBdr>
        <w:top w:val="none" w:sz="0" w:space="0" w:color="auto"/>
        <w:left w:val="none" w:sz="0" w:space="0" w:color="auto"/>
        <w:bottom w:val="none" w:sz="0" w:space="0" w:color="auto"/>
        <w:right w:val="none" w:sz="0" w:space="0" w:color="auto"/>
      </w:divBdr>
    </w:div>
    <w:div w:id="1809974603">
      <w:bodyDiv w:val="1"/>
      <w:marLeft w:val="0"/>
      <w:marRight w:val="0"/>
      <w:marTop w:val="0"/>
      <w:marBottom w:val="0"/>
      <w:divBdr>
        <w:top w:val="none" w:sz="0" w:space="0" w:color="auto"/>
        <w:left w:val="none" w:sz="0" w:space="0" w:color="auto"/>
        <w:bottom w:val="none" w:sz="0" w:space="0" w:color="auto"/>
        <w:right w:val="none" w:sz="0" w:space="0" w:color="auto"/>
      </w:divBdr>
    </w:div>
    <w:div w:id="1810590292">
      <w:bodyDiv w:val="1"/>
      <w:marLeft w:val="0"/>
      <w:marRight w:val="0"/>
      <w:marTop w:val="0"/>
      <w:marBottom w:val="0"/>
      <w:divBdr>
        <w:top w:val="none" w:sz="0" w:space="0" w:color="auto"/>
        <w:left w:val="none" w:sz="0" w:space="0" w:color="auto"/>
        <w:bottom w:val="none" w:sz="0" w:space="0" w:color="auto"/>
        <w:right w:val="none" w:sz="0" w:space="0" w:color="auto"/>
      </w:divBdr>
    </w:div>
    <w:div w:id="1811363319">
      <w:bodyDiv w:val="1"/>
      <w:marLeft w:val="0"/>
      <w:marRight w:val="0"/>
      <w:marTop w:val="0"/>
      <w:marBottom w:val="0"/>
      <w:divBdr>
        <w:top w:val="none" w:sz="0" w:space="0" w:color="auto"/>
        <w:left w:val="none" w:sz="0" w:space="0" w:color="auto"/>
        <w:bottom w:val="none" w:sz="0" w:space="0" w:color="auto"/>
        <w:right w:val="none" w:sz="0" w:space="0" w:color="auto"/>
      </w:divBdr>
    </w:div>
    <w:div w:id="1829832315">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41919079">
      <w:bodyDiv w:val="1"/>
      <w:marLeft w:val="0"/>
      <w:marRight w:val="0"/>
      <w:marTop w:val="0"/>
      <w:marBottom w:val="0"/>
      <w:divBdr>
        <w:top w:val="none" w:sz="0" w:space="0" w:color="auto"/>
        <w:left w:val="none" w:sz="0" w:space="0" w:color="auto"/>
        <w:bottom w:val="none" w:sz="0" w:space="0" w:color="auto"/>
        <w:right w:val="none" w:sz="0" w:space="0" w:color="auto"/>
      </w:divBdr>
    </w:div>
    <w:div w:id="1842426474">
      <w:bodyDiv w:val="1"/>
      <w:marLeft w:val="0"/>
      <w:marRight w:val="0"/>
      <w:marTop w:val="0"/>
      <w:marBottom w:val="0"/>
      <w:divBdr>
        <w:top w:val="none" w:sz="0" w:space="0" w:color="auto"/>
        <w:left w:val="none" w:sz="0" w:space="0" w:color="auto"/>
        <w:bottom w:val="none" w:sz="0" w:space="0" w:color="auto"/>
        <w:right w:val="none" w:sz="0" w:space="0" w:color="auto"/>
      </w:divBdr>
    </w:div>
    <w:div w:id="1843810996">
      <w:bodyDiv w:val="1"/>
      <w:marLeft w:val="0"/>
      <w:marRight w:val="0"/>
      <w:marTop w:val="0"/>
      <w:marBottom w:val="0"/>
      <w:divBdr>
        <w:top w:val="none" w:sz="0" w:space="0" w:color="auto"/>
        <w:left w:val="none" w:sz="0" w:space="0" w:color="auto"/>
        <w:bottom w:val="none" w:sz="0" w:space="0" w:color="auto"/>
        <w:right w:val="none" w:sz="0" w:space="0" w:color="auto"/>
      </w:divBdr>
    </w:div>
    <w:div w:id="1843858143">
      <w:bodyDiv w:val="1"/>
      <w:marLeft w:val="0"/>
      <w:marRight w:val="0"/>
      <w:marTop w:val="0"/>
      <w:marBottom w:val="0"/>
      <w:divBdr>
        <w:top w:val="none" w:sz="0" w:space="0" w:color="auto"/>
        <w:left w:val="none" w:sz="0" w:space="0" w:color="auto"/>
        <w:bottom w:val="none" w:sz="0" w:space="0" w:color="auto"/>
        <w:right w:val="none" w:sz="0" w:space="0" w:color="auto"/>
      </w:divBdr>
    </w:div>
    <w:div w:id="1846243081">
      <w:bodyDiv w:val="1"/>
      <w:marLeft w:val="0"/>
      <w:marRight w:val="0"/>
      <w:marTop w:val="0"/>
      <w:marBottom w:val="0"/>
      <w:divBdr>
        <w:top w:val="none" w:sz="0" w:space="0" w:color="auto"/>
        <w:left w:val="none" w:sz="0" w:space="0" w:color="auto"/>
        <w:bottom w:val="none" w:sz="0" w:space="0" w:color="auto"/>
        <w:right w:val="none" w:sz="0" w:space="0" w:color="auto"/>
      </w:divBdr>
    </w:div>
    <w:div w:id="1856263302">
      <w:bodyDiv w:val="1"/>
      <w:marLeft w:val="0"/>
      <w:marRight w:val="0"/>
      <w:marTop w:val="0"/>
      <w:marBottom w:val="0"/>
      <w:divBdr>
        <w:top w:val="none" w:sz="0" w:space="0" w:color="auto"/>
        <w:left w:val="none" w:sz="0" w:space="0" w:color="auto"/>
        <w:bottom w:val="none" w:sz="0" w:space="0" w:color="auto"/>
        <w:right w:val="none" w:sz="0" w:space="0" w:color="auto"/>
      </w:divBdr>
    </w:div>
    <w:div w:id="1861434020">
      <w:bodyDiv w:val="1"/>
      <w:marLeft w:val="0"/>
      <w:marRight w:val="0"/>
      <w:marTop w:val="0"/>
      <w:marBottom w:val="0"/>
      <w:divBdr>
        <w:top w:val="none" w:sz="0" w:space="0" w:color="auto"/>
        <w:left w:val="none" w:sz="0" w:space="0" w:color="auto"/>
        <w:bottom w:val="none" w:sz="0" w:space="0" w:color="auto"/>
        <w:right w:val="none" w:sz="0" w:space="0" w:color="auto"/>
      </w:divBdr>
    </w:div>
    <w:div w:id="1871528885">
      <w:bodyDiv w:val="1"/>
      <w:marLeft w:val="0"/>
      <w:marRight w:val="0"/>
      <w:marTop w:val="0"/>
      <w:marBottom w:val="0"/>
      <w:divBdr>
        <w:top w:val="none" w:sz="0" w:space="0" w:color="auto"/>
        <w:left w:val="none" w:sz="0" w:space="0" w:color="auto"/>
        <w:bottom w:val="none" w:sz="0" w:space="0" w:color="auto"/>
        <w:right w:val="none" w:sz="0" w:space="0" w:color="auto"/>
      </w:divBdr>
    </w:div>
    <w:div w:id="1873759089">
      <w:bodyDiv w:val="1"/>
      <w:marLeft w:val="0"/>
      <w:marRight w:val="0"/>
      <w:marTop w:val="0"/>
      <w:marBottom w:val="0"/>
      <w:divBdr>
        <w:top w:val="none" w:sz="0" w:space="0" w:color="auto"/>
        <w:left w:val="none" w:sz="0" w:space="0" w:color="auto"/>
        <w:bottom w:val="none" w:sz="0" w:space="0" w:color="auto"/>
        <w:right w:val="none" w:sz="0" w:space="0" w:color="auto"/>
      </w:divBdr>
    </w:div>
    <w:div w:id="1877428495">
      <w:bodyDiv w:val="1"/>
      <w:marLeft w:val="0"/>
      <w:marRight w:val="0"/>
      <w:marTop w:val="0"/>
      <w:marBottom w:val="0"/>
      <w:divBdr>
        <w:top w:val="none" w:sz="0" w:space="0" w:color="auto"/>
        <w:left w:val="none" w:sz="0" w:space="0" w:color="auto"/>
        <w:bottom w:val="none" w:sz="0" w:space="0" w:color="auto"/>
        <w:right w:val="none" w:sz="0" w:space="0" w:color="auto"/>
      </w:divBdr>
    </w:div>
    <w:div w:id="1878854638">
      <w:bodyDiv w:val="1"/>
      <w:marLeft w:val="0"/>
      <w:marRight w:val="0"/>
      <w:marTop w:val="0"/>
      <w:marBottom w:val="0"/>
      <w:divBdr>
        <w:top w:val="none" w:sz="0" w:space="0" w:color="auto"/>
        <w:left w:val="none" w:sz="0" w:space="0" w:color="auto"/>
        <w:bottom w:val="none" w:sz="0" w:space="0" w:color="auto"/>
        <w:right w:val="none" w:sz="0" w:space="0" w:color="auto"/>
      </w:divBdr>
    </w:div>
    <w:div w:id="1881165041">
      <w:bodyDiv w:val="1"/>
      <w:marLeft w:val="0"/>
      <w:marRight w:val="0"/>
      <w:marTop w:val="0"/>
      <w:marBottom w:val="0"/>
      <w:divBdr>
        <w:top w:val="none" w:sz="0" w:space="0" w:color="auto"/>
        <w:left w:val="none" w:sz="0" w:space="0" w:color="auto"/>
        <w:bottom w:val="none" w:sz="0" w:space="0" w:color="auto"/>
        <w:right w:val="none" w:sz="0" w:space="0" w:color="auto"/>
      </w:divBdr>
    </w:div>
    <w:div w:id="1883008102">
      <w:bodyDiv w:val="1"/>
      <w:marLeft w:val="0"/>
      <w:marRight w:val="0"/>
      <w:marTop w:val="0"/>
      <w:marBottom w:val="0"/>
      <w:divBdr>
        <w:top w:val="none" w:sz="0" w:space="0" w:color="auto"/>
        <w:left w:val="none" w:sz="0" w:space="0" w:color="auto"/>
        <w:bottom w:val="none" w:sz="0" w:space="0" w:color="auto"/>
        <w:right w:val="none" w:sz="0" w:space="0" w:color="auto"/>
      </w:divBdr>
    </w:div>
    <w:div w:id="1883054559">
      <w:bodyDiv w:val="1"/>
      <w:marLeft w:val="0"/>
      <w:marRight w:val="0"/>
      <w:marTop w:val="0"/>
      <w:marBottom w:val="0"/>
      <w:divBdr>
        <w:top w:val="none" w:sz="0" w:space="0" w:color="auto"/>
        <w:left w:val="none" w:sz="0" w:space="0" w:color="auto"/>
        <w:bottom w:val="none" w:sz="0" w:space="0" w:color="auto"/>
        <w:right w:val="none" w:sz="0" w:space="0" w:color="auto"/>
      </w:divBdr>
    </w:div>
    <w:div w:id="1885369616">
      <w:bodyDiv w:val="1"/>
      <w:marLeft w:val="0"/>
      <w:marRight w:val="0"/>
      <w:marTop w:val="0"/>
      <w:marBottom w:val="0"/>
      <w:divBdr>
        <w:top w:val="none" w:sz="0" w:space="0" w:color="auto"/>
        <w:left w:val="none" w:sz="0" w:space="0" w:color="auto"/>
        <w:bottom w:val="none" w:sz="0" w:space="0" w:color="auto"/>
        <w:right w:val="none" w:sz="0" w:space="0" w:color="auto"/>
      </w:divBdr>
    </w:div>
    <w:div w:id="1886674576">
      <w:bodyDiv w:val="1"/>
      <w:marLeft w:val="0"/>
      <w:marRight w:val="0"/>
      <w:marTop w:val="0"/>
      <w:marBottom w:val="0"/>
      <w:divBdr>
        <w:top w:val="none" w:sz="0" w:space="0" w:color="auto"/>
        <w:left w:val="none" w:sz="0" w:space="0" w:color="auto"/>
        <w:bottom w:val="none" w:sz="0" w:space="0" w:color="auto"/>
        <w:right w:val="none" w:sz="0" w:space="0" w:color="auto"/>
      </w:divBdr>
    </w:div>
    <w:div w:id="1889102623">
      <w:bodyDiv w:val="1"/>
      <w:marLeft w:val="0"/>
      <w:marRight w:val="0"/>
      <w:marTop w:val="0"/>
      <w:marBottom w:val="0"/>
      <w:divBdr>
        <w:top w:val="none" w:sz="0" w:space="0" w:color="auto"/>
        <w:left w:val="none" w:sz="0" w:space="0" w:color="auto"/>
        <w:bottom w:val="none" w:sz="0" w:space="0" w:color="auto"/>
        <w:right w:val="none" w:sz="0" w:space="0" w:color="auto"/>
      </w:divBdr>
    </w:div>
    <w:div w:id="1893694269">
      <w:bodyDiv w:val="1"/>
      <w:marLeft w:val="0"/>
      <w:marRight w:val="0"/>
      <w:marTop w:val="0"/>
      <w:marBottom w:val="0"/>
      <w:divBdr>
        <w:top w:val="none" w:sz="0" w:space="0" w:color="auto"/>
        <w:left w:val="none" w:sz="0" w:space="0" w:color="auto"/>
        <w:bottom w:val="none" w:sz="0" w:space="0" w:color="auto"/>
        <w:right w:val="none" w:sz="0" w:space="0" w:color="auto"/>
      </w:divBdr>
    </w:div>
    <w:div w:id="1898008694">
      <w:bodyDiv w:val="1"/>
      <w:marLeft w:val="0"/>
      <w:marRight w:val="0"/>
      <w:marTop w:val="0"/>
      <w:marBottom w:val="0"/>
      <w:divBdr>
        <w:top w:val="none" w:sz="0" w:space="0" w:color="auto"/>
        <w:left w:val="none" w:sz="0" w:space="0" w:color="auto"/>
        <w:bottom w:val="none" w:sz="0" w:space="0" w:color="auto"/>
        <w:right w:val="none" w:sz="0" w:space="0" w:color="auto"/>
      </w:divBdr>
    </w:div>
    <w:div w:id="1903828986">
      <w:bodyDiv w:val="1"/>
      <w:marLeft w:val="0"/>
      <w:marRight w:val="0"/>
      <w:marTop w:val="0"/>
      <w:marBottom w:val="0"/>
      <w:divBdr>
        <w:top w:val="none" w:sz="0" w:space="0" w:color="auto"/>
        <w:left w:val="none" w:sz="0" w:space="0" w:color="auto"/>
        <w:bottom w:val="none" w:sz="0" w:space="0" w:color="auto"/>
        <w:right w:val="none" w:sz="0" w:space="0" w:color="auto"/>
      </w:divBdr>
    </w:div>
    <w:div w:id="1905139437">
      <w:bodyDiv w:val="1"/>
      <w:marLeft w:val="0"/>
      <w:marRight w:val="0"/>
      <w:marTop w:val="0"/>
      <w:marBottom w:val="0"/>
      <w:divBdr>
        <w:top w:val="none" w:sz="0" w:space="0" w:color="auto"/>
        <w:left w:val="none" w:sz="0" w:space="0" w:color="auto"/>
        <w:bottom w:val="none" w:sz="0" w:space="0" w:color="auto"/>
        <w:right w:val="none" w:sz="0" w:space="0" w:color="auto"/>
      </w:divBdr>
    </w:div>
    <w:div w:id="1905531075">
      <w:bodyDiv w:val="1"/>
      <w:marLeft w:val="0"/>
      <w:marRight w:val="0"/>
      <w:marTop w:val="0"/>
      <w:marBottom w:val="0"/>
      <w:divBdr>
        <w:top w:val="none" w:sz="0" w:space="0" w:color="auto"/>
        <w:left w:val="none" w:sz="0" w:space="0" w:color="auto"/>
        <w:bottom w:val="none" w:sz="0" w:space="0" w:color="auto"/>
        <w:right w:val="none" w:sz="0" w:space="0" w:color="auto"/>
      </w:divBdr>
    </w:div>
    <w:div w:id="1907952555">
      <w:bodyDiv w:val="1"/>
      <w:marLeft w:val="0"/>
      <w:marRight w:val="0"/>
      <w:marTop w:val="0"/>
      <w:marBottom w:val="0"/>
      <w:divBdr>
        <w:top w:val="none" w:sz="0" w:space="0" w:color="auto"/>
        <w:left w:val="none" w:sz="0" w:space="0" w:color="auto"/>
        <w:bottom w:val="none" w:sz="0" w:space="0" w:color="auto"/>
        <w:right w:val="none" w:sz="0" w:space="0" w:color="auto"/>
      </w:divBdr>
    </w:div>
    <w:div w:id="1910114900">
      <w:bodyDiv w:val="1"/>
      <w:marLeft w:val="0"/>
      <w:marRight w:val="0"/>
      <w:marTop w:val="0"/>
      <w:marBottom w:val="0"/>
      <w:divBdr>
        <w:top w:val="none" w:sz="0" w:space="0" w:color="auto"/>
        <w:left w:val="none" w:sz="0" w:space="0" w:color="auto"/>
        <w:bottom w:val="none" w:sz="0" w:space="0" w:color="auto"/>
        <w:right w:val="none" w:sz="0" w:space="0" w:color="auto"/>
      </w:divBdr>
    </w:div>
    <w:div w:id="1917204360">
      <w:bodyDiv w:val="1"/>
      <w:marLeft w:val="0"/>
      <w:marRight w:val="0"/>
      <w:marTop w:val="0"/>
      <w:marBottom w:val="0"/>
      <w:divBdr>
        <w:top w:val="none" w:sz="0" w:space="0" w:color="auto"/>
        <w:left w:val="none" w:sz="0" w:space="0" w:color="auto"/>
        <w:bottom w:val="none" w:sz="0" w:space="0" w:color="auto"/>
        <w:right w:val="none" w:sz="0" w:space="0" w:color="auto"/>
      </w:divBdr>
    </w:div>
    <w:div w:id="1918713188">
      <w:bodyDiv w:val="1"/>
      <w:marLeft w:val="0"/>
      <w:marRight w:val="0"/>
      <w:marTop w:val="0"/>
      <w:marBottom w:val="0"/>
      <w:divBdr>
        <w:top w:val="none" w:sz="0" w:space="0" w:color="auto"/>
        <w:left w:val="none" w:sz="0" w:space="0" w:color="auto"/>
        <w:bottom w:val="none" w:sz="0" w:space="0" w:color="auto"/>
        <w:right w:val="none" w:sz="0" w:space="0" w:color="auto"/>
      </w:divBdr>
    </w:div>
    <w:div w:id="1920559837">
      <w:bodyDiv w:val="1"/>
      <w:marLeft w:val="0"/>
      <w:marRight w:val="0"/>
      <w:marTop w:val="0"/>
      <w:marBottom w:val="0"/>
      <w:divBdr>
        <w:top w:val="none" w:sz="0" w:space="0" w:color="auto"/>
        <w:left w:val="none" w:sz="0" w:space="0" w:color="auto"/>
        <w:bottom w:val="none" w:sz="0" w:space="0" w:color="auto"/>
        <w:right w:val="none" w:sz="0" w:space="0" w:color="auto"/>
      </w:divBdr>
    </w:div>
    <w:div w:id="1921674102">
      <w:bodyDiv w:val="1"/>
      <w:marLeft w:val="0"/>
      <w:marRight w:val="0"/>
      <w:marTop w:val="0"/>
      <w:marBottom w:val="0"/>
      <w:divBdr>
        <w:top w:val="none" w:sz="0" w:space="0" w:color="auto"/>
        <w:left w:val="none" w:sz="0" w:space="0" w:color="auto"/>
        <w:bottom w:val="none" w:sz="0" w:space="0" w:color="auto"/>
        <w:right w:val="none" w:sz="0" w:space="0" w:color="auto"/>
      </w:divBdr>
    </w:div>
    <w:div w:id="1921796009">
      <w:bodyDiv w:val="1"/>
      <w:marLeft w:val="0"/>
      <w:marRight w:val="0"/>
      <w:marTop w:val="0"/>
      <w:marBottom w:val="0"/>
      <w:divBdr>
        <w:top w:val="none" w:sz="0" w:space="0" w:color="auto"/>
        <w:left w:val="none" w:sz="0" w:space="0" w:color="auto"/>
        <w:bottom w:val="none" w:sz="0" w:space="0" w:color="auto"/>
        <w:right w:val="none" w:sz="0" w:space="0" w:color="auto"/>
      </w:divBdr>
    </w:div>
    <w:div w:id="1925989675">
      <w:bodyDiv w:val="1"/>
      <w:marLeft w:val="0"/>
      <w:marRight w:val="0"/>
      <w:marTop w:val="0"/>
      <w:marBottom w:val="0"/>
      <w:divBdr>
        <w:top w:val="none" w:sz="0" w:space="0" w:color="auto"/>
        <w:left w:val="none" w:sz="0" w:space="0" w:color="auto"/>
        <w:bottom w:val="none" w:sz="0" w:space="0" w:color="auto"/>
        <w:right w:val="none" w:sz="0" w:space="0" w:color="auto"/>
      </w:divBdr>
    </w:div>
    <w:div w:id="1929343509">
      <w:bodyDiv w:val="1"/>
      <w:marLeft w:val="0"/>
      <w:marRight w:val="0"/>
      <w:marTop w:val="0"/>
      <w:marBottom w:val="0"/>
      <w:divBdr>
        <w:top w:val="none" w:sz="0" w:space="0" w:color="auto"/>
        <w:left w:val="none" w:sz="0" w:space="0" w:color="auto"/>
        <w:bottom w:val="none" w:sz="0" w:space="0" w:color="auto"/>
        <w:right w:val="none" w:sz="0" w:space="0" w:color="auto"/>
      </w:divBdr>
    </w:div>
    <w:div w:id="1930574579">
      <w:bodyDiv w:val="1"/>
      <w:marLeft w:val="0"/>
      <w:marRight w:val="0"/>
      <w:marTop w:val="0"/>
      <w:marBottom w:val="0"/>
      <w:divBdr>
        <w:top w:val="none" w:sz="0" w:space="0" w:color="auto"/>
        <w:left w:val="none" w:sz="0" w:space="0" w:color="auto"/>
        <w:bottom w:val="none" w:sz="0" w:space="0" w:color="auto"/>
        <w:right w:val="none" w:sz="0" w:space="0" w:color="auto"/>
      </w:divBdr>
    </w:div>
    <w:div w:id="1931546581">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35242712">
      <w:bodyDiv w:val="1"/>
      <w:marLeft w:val="0"/>
      <w:marRight w:val="0"/>
      <w:marTop w:val="0"/>
      <w:marBottom w:val="0"/>
      <w:divBdr>
        <w:top w:val="none" w:sz="0" w:space="0" w:color="auto"/>
        <w:left w:val="none" w:sz="0" w:space="0" w:color="auto"/>
        <w:bottom w:val="none" w:sz="0" w:space="0" w:color="auto"/>
        <w:right w:val="none" w:sz="0" w:space="0" w:color="auto"/>
      </w:divBdr>
    </w:div>
    <w:div w:id="1935942713">
      <w:bodyDiv w:val="1"/>
      <w:marLeft w:val="0"/>
      <w:marRight w:val="0"/>
      <w:marTop w:val="0"/>
      <w:marBottom w:val="0"/>
      <w:divBdr>
        <w:top w:val="none" w:sz="0" w:space="0" w:color="auto"/>
        <w:left w:val="none" w:sz="0" w:space="0" w:color="auto"/>
        <w:bottom w:val="none" w:sz="0" w:space="0" w:color="auto"/>
        <w:right w:val="none" w:sz="0" w:space="0" w:color="auto"/>
      </w:divBdr>
    </w:div>
    <w:div w:id="1936741993">
      <w:bodyDiv w:val="1"/>
      <w:marLeft w:val="0"/>
      <w:marRight w:val="0"/>
      <w:marTop w:val="0"/>
      <w:marBottom w:val="0"/>
      <w:divBdr>
        <w:top w:val="none" w:sz="0" w:space="0" w:color="auto"/>
        <w:left w:val="none" w:sz="0" w:space="0" w:color="auto"/>
        <w:bottom w:val="none" w:sz="0" w:space="0" w:color="auto"/>
        <w:right w:val="none" w:sz="0" w:space="0" w:color="auto"/>
      </w:divBdr>
      <w:divsChild>
        <w:div w:id="1704862743">
          <w:marLeft w:val="0"/>
          <w:marRight w:val="0"/>
          <w:marTop w:val="0"/>
          <w:marBottom w:val="0"/>
          <w:divBdr>
            <w:top w:val="none" w:sz="0" w:space="0" w:color="auto"/>
            <w:left w:val="none" w:sz="0" w:space="0" w:color="auto"/>
            <w:bottom w:val="none" w:sz="0" w:space="0" w:color="auto"/>
            <w:right w:val="none" w:sz="0" w:space="0" w:color="auto"/>
          </w:divBdr>
        </w:div>
        <w:div w:id="692727954">
          <w:marLeft w:val="0"/>
          <w:marRight w:val="0"/>
          <w:marTop w:val="0"/>
          <w:marBottom w:val="0"/>
          <w:divBdr>
            <w:top w:val="none" w:sz="0" w:space="0" w:color="auto"/>
            <w:left w:val="none" w:sz="0" w:space="0" w:color="auto"/>
            <w:bottom w:val="none" w:sz="0" w:space="0" w:color="auto"/>
            <w:right w:val="none" w:sz="0" w:space="0" w:color="auto"/>
          </w:divBdr>
        </w:div>
        <w:div w:id="1749615019">
          <w:marLeft w:val="0"/>
          <w:marRight w:val="0"/>
          <w:marTop w:val="0"/>
          <w:marBottom w:val="0"/>
          <w:divBdr>
            <w:top w:val="none" w:sz="0" w:space="0" w:color="auto"/>
            <w:left w:val="none" w:sz="0" w:space="0" w:color="auto"/>
            <w:bottom w:val="none" w:sz="0" w:space="0" w:color="auto"/>
            <w:right w:val="none" w:sz="0" w:space="0" w:color="auto"/>
          </w:divBdr>
        </w:div>
        <w:div w:id="346559183">
          <w:marLeft w:val="0"/>
          <w:marRight w:val="0"/>
          <w:marTop w:val="0"/>
          <w:marBottom w:val="0"/>
          <w:divBdr>
            <w:top w:val="none" w:sz="0" w:space="0" w:color="auto"/>
            <w:left w:val="none" w:sz="0" w:space="0" w:color="auto"/>
            <w:bottom w:val="none" w:sz="0" w:space="0" w:color="auto"/>
            <w:right w:val="none" w:sz="0" w:space="0" w:color="auto"/>
          </w:divBdr>
        </w:div>
        <w:div w:id="519662400">
          <w:marLeft w:val="0"/>
          <w:marRight w:val="0"/>
          <w:marTop w:val="0"/>
          <w:marBottom w:val="0"/>
          <w:divBdr>
            <w:top w:val="none" w:sz="0" w:space="0" w:color="auto"/>
            <w:left w:val="none" w:sz="0" w:space="0" w:color="auto"/>
            <w:bottom w:val="none" w:sz="0" w:space="0" w:color="auto"/>
            <w:right w:val="none" w:sz="0" w:space="0" w:color="auto"/>
          </w:divBdr>
        </w:div>
        <w:div w:id="791048584">
          <w:marLeft w:val="0"/>
          <w:marRight w:val="0"/>
          <w:marTop w:val="0"/>
          <w:marBottom w:val="0"/>
          <w:divBdr>
            <w:top w:val="none" w:sz="0" w:space="0" w:color="auto"/>
            <w:left w:val="none" w:sz="0" w:space="0" w:color="auto"/>
            <w:bottom w:val="none" w:sz="0" w:space="0" w:color="auto"/>
            <w:right w:val="none" w:sz="0" w:space="0" w:color="auto"/>
          </w:divBdr>
        </w:div>
        <w:div w:id="553153918">
          <w:marLeft w:val="0"/>
          <w:marRight w:val="0"/>
          <w:marTop w:val="0"/>
          <w:marBottom w:val="0"/>
          <w:divBdr>
            <w:top w:val="none" w:sz="0" w:space="0" w:color="auto"/>
            <w:left w:val="none" w:sz="0" w:space="0" w:color="auto"/>
            <w:bottom w:val="none" w:sz="0" w:space="0" w:color="auto"/>
            <w:right w:val="none" w:sz="0" w:space="0" w:color="auto"/>
          </w:divBdr>
        </w:div>
        <w:div w:id="437870911">
          <w:marLeft w:val="0"/>
          <w:marRight w:val="0"/>
          <w:marTop w:val="0"/>
          <w:marBottom w:val="0"/>
          <w:divBdr>
            <w:top w:val="none" w:sz="0" w:space="0" w:color="auto"/>
            <w:left w:val="none" w:sz="0" w:space="0" w:color="auto"/>
            <w:bottom w:val="none" w:sz="0" w:space="0" w:color="auto"/>
            <w:right w:val="none" w:sz="0" w:space="0" w:color="auto"/>
          </w:divBdr>
        </w:div>
        <w:div w:id="1245804051">
          <w:marLeft w:val="0"/>
          <w:marRight w:val="0"/>
          <w:marTop w:val="0"/>
          <w:marBottom w:val="0"/>
          <w:divBdr>
            <w:top w:val="none" w:sz="0" w:space="0" w:color="auto"/>
            <w:left w:val="none" w:sz="0" w:space="0" w:color="auto"/>
            <w:bottom w:val="none" w:sz="0" w:space="0" w:color="auto"/>
            <w:right w:val="none" w:sz="0" w:space="0" w:color="auto"/>
          </w:divBdr>
        </w:div>
        <w:div w:id="1956979890">
          <w:marLeft w:val="0"/>
          <w:marRight w:val="0"/>
          <w:marTop w:val="0"/>
          <w:marBottom w:val="0"/>
          <w:divBdr>
            <w:top w:val="none" w:sz="0" w:space="0" w:color="auto"/>
            <w:left w:val="none" w:sz="0" w:space="0" w:color="auto"/>
            <w:bottom w:val="none" w:sz="0" w:space="0" w:color="auto"/>
            <w:right w:val="none" w:sz="0" w:space="0" w:color="auto"/>
          </w:divBdr>
        </w:div>
        <w:div w:id="1189441998">
          <w:marLeft w:val="0"/>
          <w:marRight w:val="0"/>
          <w:marTop w:val="0"/>
          <w:marBottom w:val="0"/>
          <w:divBdr>
            <w:top w:val="none" w:sz="0" w:space="0" w:color="auto"/>
            <w:left w:val="none" w:sz="0" w:space="0" w:color="auto"/>
            <w:bottom w:val="none" w:sz="0" w:space="0" w:color="auto"/>
            <w:right w:val="none" w:sz="0" w:space="0" w:color="auto"/>
          </w:divBdr>
        </w:div>
        <w:div w:id="184908390">
          <w:marLeft w:val="0"/>
          <w:marRight w:val="0"/>
          <w:marTop w:val="0"/>
          <w:marBottom w:val="0"/>
          <w:divBdr>
            <w:top w:val="none" w:sz="0" w:space="0" w:color="auto"/>
            <w:left w:val="none" w:sz="0" w:space="0" w:color="auto"/>
            <w:bottom w:val="none" w:sz="0" w:space="0" w:color="auto"/>
            <w:right w:val="none" w:sz="0" w:space="0" w:color="auto"/>
          </w:divBdr>
        </w:div>
        <w:div w:id="1420254055">
          <w:marLeft w:val="0"/>
          <w:marRight w:val="0"/>
          <w:marTop w:val="0"/>
          <w:marBottom w:val="0"/>
          <w:divBdr>
            <w:top w:val="none" w:sz="0" w:space="0" w:color="auto"/>
            <w:left w:val="none" w:sz="0" w:space="0" w:color="auto"/>
            <w:bottom w:val="none" w:sz="0" w:space="0" w:color="auto"/>
            <w:right w:val="none" w:sz="0" w:space="0" w:color="auto"/>
          </w:divBdr>
        </w:div>
        <w:div w:id="291639181">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1896576846">
          <w:marLeft w:val="0"/>
          <w:marRight w:val="0"/>
          <w:marTop w:val="0"/>
          <w:marBottom w:val="0"/>
          <w:divBdr>
            <w:top w:val="none" w:sz="0" w:space="0" w:color="auto"/>
            <w:left w:val="none" w:sz="0" w:space="0" w:color="auto"/>
            <w:bottom w:val="none" w:sz="0" w:space="0" w:color="auto"/>
            <w:right w:val="none" w:sz="0" w:space="0" w:color="auto"/>
          </w:divBdr>
        </w:div>
        <w:div w:id="540747059">
          <w:marLeft w:val="0"/>
          <w:marRight w:val="0"/>
          <w:marTop w:val="0"/>
          <w:marBottom w:val="0"/>
          <w:divBdr>
            <w:top w:val="none" w:sz="0" w:space="0" w:color="auto"/>
            <w:left w:val="none" w:sz="0" w:space="0" w:color="auto"/>
            <w:bottom w:val="none" w:sz="0" w:space="0" w:color="auto"/>
            <w:right w:val="none" w:sz="0" w:space="0" w:color="auto"/>
          </w:divBdr>
        </w:div>
        <w:div w:id="870385822">
          <w:marLeft w:val="0"/>
          <w:marRight w:val="0"/>
          <w:marTop w:val="0"/>
          <w:marBottom w:val="0"/>
          <w:divBdr>
            <w:top w:val="none" w:sz="0" w:space="0" w:color="auto"/>
            <w:left w:val="none" w:sz="0" w:space="0" w:color="auto"/>
            <w:bottom w:val="none" w:sz="0" w:space="0" w:color="auto"/>
            <w:right w:val="none" w:sz="0" w:space="0" w:color="auto"/>
          </w:divBdr>
        </w:div>
        <w:div w:id="597252822">
          <w:marLeft w:val="0"/>
          <w:marRight w:val="0"/>
          <w:marTop w:val="0"/>
          <w:marBottom w:val="0"/>
          <w:divBdr>
            <w:top w:val="none" w:sz="0" w:space="0" w:color="auto"/>
            <w:left w:val="none" w:sz="0" w:space="0" w:color="auto"/>
            <w:bottom w:val="none" w:sz="0" w:space="0" w:color="auto"/>
            <w:right w:val="none" w:sz="0" w:space="0" w:color="auto"/>
          </w:divBdr>
        </w:div>
        <w:div w:id="1775982087">
          <w:marLeft w:val="0"/>
          <w:marRight w:val="0"/>
          <w:marTop w:val="0"/>
          <w:marBottom w:val="0"/>
          <w:divBdr>
            <w:top w:val="none" w:sz="0" w:space="0" w:color="auto"/>
            <w:left w:val="none" w:sz="0" w:space="0" w:color="auto"/>
            <w:bottom w:val="none" w:sz="0" w:space="0" w:color="auto"/>
            <w:right w:val="none" w:sz="0" w:space="0" w:color="auto"/>
          </w:divBdr>
        </w:div>
        <w:div w:id="2116830156">
          <w:marLeft w:val="0"/>
          <w:marRight w:val="0"/>
          <w:marTop w:val="0"/>
          <w:marBottom w:val="0"/>
          <w:divBdr>
            <w:top w:val="none" w:sz="0" w:space="0" w:color="auto"/>
            <w:left w:val="none" w:sz="0" w:space="0" w:color="auto"/>
            <w:bottom w:val="none" w:sz="0" w:space="0" w:color="auto"/>
            <w:right w:val="none" w:sz="0" w:space="0" w:color="auto"/>
          </w:divBdr>
        </w:div>
        <w:div w:id="173883491">
          <w:marLeft w:val="0"/>
          <w:marRight w:val="0"/>
          <w:marTop w:val="0"/>
          <w:marBottom w:val="0"/>
          <w:divBdr>
            <w:top w:val="none" w:sz="0" w:space="0" w:color="auto"/>
            <w:left w:val="none" w:sz="0" w:space="0" w:color="auto"/>
            <w:bottom w:val="none" w:sz="0" w:space="0" w:color="auto"/>
            <w:right w:val="none" w:sz="0" w:space="0" w:color="auto"/>
          </w:divBdr>
        </w:div>
        <w:div w:id="1049299353">
          <w:marLeft w:val="0"/>
          <w:marRight w:val="0"/>
          <w:marTop w:val="0"/>
          <w:marBottom w:val="0"/>
          <w:divBdr>
            <w:top w:val="none" w:sz="0" w:space="0" w:color="auto"/>
            <w:left w:val="none" w:sz="0" w:space="0" w:color="auto"/>
            <w:bottom w:val="none" w:sz="0" w:space="0" w:color="auto"/>
            <w:right w:val="none" w:sz="0" w:space="0" w:color="auto"/>
          </w:divBdr>
        </w:div>
        <w:div w:id="1198815090">
          <w:marLeft w:val="0"/>
          <w:marRight w:val="0"/>
          <w:marTop w:val="0"/>
          <w:marBottom w:val="0"/>
          <w:divBdr>
            <w:top w:val="none" w:sz="0" w:space="0" w:color="auto"/>
            <w:left w:val="none" w:sz="0" w:space="0" w:color="auto"/>
            <w:bottom w:val="none" w:sz="0" w:space="0" w:color="auto"/>
            <w:right w:val="none" w:sz="0" w:space="0" w:color="auto"/>
          </w:divBdr>
        </w:div>
        <w:div w:id="1810315439">
          <w:marLeft w:val="0"/>
          <w:marRight w:val="0"/>
          <w:marTop w:val="0"/>
          <w:marBottom w:val="0"/>
          <w:divBdr>
            <w:top w:val="none" w:sz="0" w:space="0" w:color="auto"/>
            <w:left w:val="none" w:sz="0" w:space="0" w:color="auto"/>
            <w:bottom w:val="none" w:sz="0" w:space="0" w:color="auto"/>
            <w:right w:val="none" w:sz="0" w:space="0" w:color="auto"/>
          </w:divBdr>
        </w:div>
        <w:div w:id="478302402">
          <w:marLeft w:val="0"/>
          <w:marRight w:val="0"/>
          <w:marTop w:val="0"/>
          <w:marBottom w:val="0"/>
          <w:divBdr>
            <w:top w:val="none" w:sz="0" w:space="0" w:color="auto"/>
            <w:left w:val="none" w:sz="0" w:space="0" w:color="auto"/>
            <w:bottom w:val="none" w:sz="0" w:space="0" w:color="auto"/>
            <w:right w:val="none" w:sz="0" w:space="0" w:color="auto"/>
          </w:divBdr>
        </w:div>
        <w:div w:id="1140347680">
          <w:marLeft w:val="0"/>
          <w:marRight w:val="0"/>
          <w:marTop w:val="0"/>
          <w:marBottom w:val="0"/>
          <w:divBdr>
            <w:top w:val="none" w:sz="0" w:space="0" w:color="auto"/>
            <w:left w:val="none" w:sz="0" w:space="0" w:color="auto"/>
            <w:bottom w:val="none" w:sz="0" w:space="0" w:color="auto"/>
            <w:right w:val="none" w:sz="0" w:space="0" w:color="auto"/>
          </w:divBdr>
        </w:div>
        <w:div w:id="533808281">
          <w:marLeft w:val="0"/>
          <w:marRight w:val="0"/>
          <w:marTop w:val="0"/>
          <w:marBottom w:val="0"/>
          <w:divBdr>
            <w:top w:val="none" w:sz="0" w:space="0" w:color="auto"/>
            <w:left w:val="none" w:sz="0" w:space="0" w:color="auto"/>
            <w:bottom w:val="none" w:sz="0" w:space="0" w:color="auto"/>
            <w:right w:val="none" w:sz="0" w:space="0" w:color="auto"/>
          </w:divBdr>
        </w:div>
        <w:div w:id="1282882582">
          <w:marLeft w:val="0"/>
          <w:marRight w:val="0"/>
          <w:marTop w:val="0"/>
          <w:marBottom w:val="0"/>
          <w:divBdr>
            <w:top w:val="none" w:sz="0" w:space="0" w:color="auto"/>
            <w:left w:val="none" w:sz="0" w:space="0" w:color="auto"/>
            <w:bottom w:val="none" w:sz="0" w:space="0" w:color="auto"/>
            <w:right w:val="none" w:sz="0" w:space="0" w:color="auto"/>
          </w:divBdr>
        </w:div>
        <w:div w:id="858348083">
          <w:marLeft w:val="0"/>
          <w:marRight w:val="0"/>
          <w:marTop w:val="0"/>
          <w:marBottom w:val="0"/>
          <w:divBdr>
            <w:top w:val="none" w:sz="0" w:space="0" w:color="auto"/>
            <w:left w:val="none" w:sz="0" w:space="0" w:color="auto"/>
            <w:bottom w:val="none" w:sz="0" w:space="0" w:color="auto"/>
            <w:right w:val="none" w:sz="0" w:space="0" w:color="auto"/>
          </w:divBdr>
        </w:div>
        <w:div w:id="1723209545">
          <w:marLeft w:val="0"/>
          <w:marRight w:val="0"/>
          <w:marTop w:val="0"/>
          <w:marBottom w:val="0"/>
          <w:divBdr>
            <w:top w:val="none" w:sz="0" w:space="0" w:color="auto"/>
            <w:left w:val="none" w:sz="0" w:space="0" w:color="auto"/>
            <w:bottom w:val="none" w:sz="0" w:space="0" w:color="auto"/>
            <w:right w:val="none" w:sz="0" w:space="0" w:color="auto"/>
          </w:divBdr>
        </w:div>
        <w:div w:id="1738093977">
          <w:marLeft w:val="0"/>
          <w:marRight w:val="0"/>
          <w:marTop w:val="0"/>
          <w:marBottom w:val="0"/>
          <w:divBdr>
            <w:top w:val="none" w:sz="0" w:space="0" w:color="auto"/>
            <w:left w:val="none" w:sz="0" w:space="0" w:color="auto"/>
            <w:bottom w:val="none" w:sz="0" w:space="0" w:color="auto"/>
            <w:right w:val="none" w:sz="0" w:space="0" w:color="auto"/>
          </w:divBdr>
        </w:div>
        <w:div w:id="1208487917">
          <w:marLeft w:val="0"/>
          <w:marRight w:val="0"/>
          <w:marTop w:val="0"/>
          <w:marBottom w:val="0"/>
          <w:divBdr>
            <w:top w:val="none" w:sz="0" w:space="0" w:color="auto"/>
            <w:left w:val="none" w:sz="0" w:space="0" w:color="auto"/>
            <w:bottom w:val="none" w:sz="0" w:space="0" w:color="auto"/>
            <w:right w:val="none" w:sz="0" w:space="0" w:color="auto"/>
          </w:divBdr>
        </w:div>
        <w:div w:id="370497378">
          <w:marLeft w:val="0"/>
          <w:marRight w:val="0"/>
          <w:marTop w:val="0"/>
          <w:marBottom w:val="0"/>
          <w:divBdr>
            <w:top w:val="none" w:sz="0" w:space="0" w:color="auto"/>
            <w:left w:val="none" w:sz="0" w:space="0" w:color="auto"/>
            <w:bottom w:val="none" w:sz="0" w:space="0" w:color="auto"/>
            <w:right w:val="none" w:sz="0" w:space="0" w:color="auto"/>
          </w:divBdr>
        </w:div>
        <w:div w:id="1817454295">
          <w:marLeft w:val="0"/>
          <w:marRight w:val="0"/>
          <w:marTop w:val="0"/>
          <w:marBottom w:val="0"/>
          <w:divBdr>
            <w:top w:val="none" w:sz="0" w:space="0" w:color="auto"/>
            <w:left w:val="none" w:sz="0" w:space="0" w:color="auto"/>
            <w:bottom w:val="none" w:sz="0" w:space="0" w:color="auto"/>
            <w:right w:val="none" w:sz="0" w:space="0" w:color="auto"/>
          </w:divBdr>
        </w:div>
        <w:div w:id="434056991">
          <w:marLeft w:val="0"/>
          <w:marRight w:val="0"/>
          <w:marTop w:val="0"/>
          <w:marBottom w:val="0"/>
          <w:divBdr>
            <w:top w:val="none" w:sz="0" w:space="0" w:color="auto"/>
            <w:left w:val="none" w:sz="0" w:space="0" w:color="auto"/>
            <w:bottom w:val="none" w:sz="0" w:space="0" w:color="auto"/>
            <w:right w:val="none" w:sz="0" w:space="0" w:color="auto"/>
          </w:divBdr>
        </w:div>
        <w:div w:id="1199315245">
          <w:marLeft w:val="0"/>
          <w:marRight w:val="0"/>
          <w:marTop w:val="0"/>
          <w:marBottom w:val="0"/>
          <w:divBdr>
            <w:top w:val="none" w:sz="0" w:space="0" w:color="auto"/>
            <w:left w:val="none" w:sz="0" w:space="0" w:color="auto"/>
            <w:bottom w:val="none" w:sz="0" w:space="0" w:color="auto"/>
            <w:right w:val="none" w:sz="0" w:space="0" w:color="auto"/>
          </w:divBdr>
        </w:div>
        <w:div w:id="1416780416">
          <w:marLeft w:val="0"/>
          <w:marRight w:val="0"/>
          <w:marTop w:val="0"/>
          <w:marBottom w:val="0"/>
          <w:divBdr>
            <w:top w:val="none" w:sz="0" w:space="0" w:color="auto"/>
            <w:left w:val="none" w:sz="0" w:space="0" w:color="auto"/>
            <w:bottom w:val="none" w:sz="0" w:space="0" w:color="auto"/>
            <w:right w:val="none" w:sz="0" w:space="0" w:color="auto"/>
          </w:divBdr>
        </w:div>
        <w:div w:id="2017733492">
          <w:marLeft w:val="0"/>
          <w:marRight w:val="0"/>
          <w:marTop w:val="0"/>
          <w:marBottom w:val="0"/>
          <w:divBdr>
            <w:top w:val="none" w:sz="0" w:space="0" w:color="auto"/>
            <w:left w:val="none" w:sz="0" w:space="0" w:color="auto"/>
            <w:bottom w:val="none" w:sz="0" w:space="0" w:color="auto"/>
            <w:right w:val="none" w:sz="0" w:space="0" w:color="auto"/>
          </w:divBdr>
        </w:div>
        <w:div w:id="601107010">
          <w:marLeft w:val="0"/>
          <w:marRight w:val="0"/>
          <w:marTop w:val="0"/>
          <w:marBottom w:val="0"/>
          <w:divBdr>
            <w:top w:val="none" w:sz="0" w:space="0" w:color="auto"/>
            <w:left w:val="none" w:sz="0" w:space="0" w:color="auto"/>
            <w:bottom w:val="none" w:sz="0" w:space="0" w:color="auto"/>
            <w:right w:val="none" w:sz="0" w:space="0" w:color="auto"/>
          </w:divBdr>
        </w:div>
        <w:div w:id="723287017">
          <w:marLeft w:val="0"/>
          <w:marRight w:val="0"/>
          <w:marTop w:val="0"/>
          <w:marBottom w:val="0"/>
          <w:divBdr>
            <w:top w:val="none" w:sz="0" w:space="0" w:color="auto"/>
            <w:left w:val="none" w:sz="0" w:space="0" w:color="auto"/>
            <w:bottom w:val="none" w:sz="0" w:space="0" w:color="auto"/>
            <w:right w:val="none" w:sz="0" w:space="0" w:color="auto"/>
          </w:divBdr>
        </w:div>
        <w:div w:id="1023555527">
          <w:marLeft w:val="0"/>
          <w:marRight w:val="0"/>
          <w:marTop w:val="0"/>
          <w:marBottom w:val="0"/>
          <w:divBdr>
            <w:top w:val="none" w:sz="0" w:space="0" w:color="auto"/>
            <w:left w:val="none" w:sz="0" w:space="0" w:color="auto"/>
            <w:bottom w:val="none" w:sz="0" w:space="0" w:color="auto"/>
            <w:right w:val="none" w:sz="0" w:space="0" w:color="auto"/>
          </w:divBdr>
        </w:div>
        <w:div w:id="1390496871">
          <w:marLeft w:val="0"/>
          <w:marRight w:val="0"/>
          <w:marTop w:val="0"/>
          <w:marBottom w:val="0"/>
          <w:divBdr>
            <w:top w:val="none" w:sz="0" w:space="0" w:color="auto"/>
            <w:left w:val="none" w:sz="0" w:space="0" w:color="auto"/>
            <w:bottom w:val="none" w:sz="0" w:space="0" w:color="auto"/>
            <w:right w:val="none" w:sz="0" w:space="0" w:color="auto"/>
          </w:divBdr>
        </w:div>
        <w:div w:id="928536360">
          <w:marLeft w:val="0"/>
          <w:marRight w:val="0"/>
          <w:marTop w:val="0"/>
          <w:marBottom w:val="0"/>
          <w:divBdr>
            <w:top w:val="none" w:sz="0" w:space="0" w:color="auto"/>
            <w:left w:val="none" w:sz="0" w:space="0" w:color="auto"/>
            <w:bottom w:val="none" w:sz="0" w:space="0" w:color="auto"/>
            <w:right w:val="none" w:sz="0" w:space="0" w:color="auto"/>
          </w:divBdr>
        </w:div>
        <w:div w:id="828793736">
          <w:marLeft w:val="0"/>
          <w:marRight w:val="0"/>
          <w:marTop w:val="0"/>
          <w:marBottom w:val="0"/>
          <w:divBdr>
            <w:top w:val="none" w:sz="0" w:space="0" w:color="auto"/>
            <w:left w:val="none" w:sz="0" w:space="0" w:color="auto"/>
            <w:bottom w:val="none" w:sz="0" w:space="0" w:color="auto"/>
            <w:right w:val="none" w:sz="0" w:space="0" w:color="auto"/>
          </w:divBdr>
        </w:div>
        <w:div w:id="2036928058">
          <w:marLeft w:val="0"/>
          <w:marRight w:val="0"/>
          <w:marTop w:val="0"/>
          <w:marBottom w:val="0"/>
          <w:divBdr>
            <w:top w:val="none" w:sz="0" w:space="0" w:color="auto"/>
            <w:left w:val="none" w:sz="0" w:space="0" w:color="auto"/>
            <w:bottom w:val="none" w:sz="0" w:space="0" w:color="auto"/>
            <w:right w:val="none" w:sz="0" w:space="0" w:color="auto"/>
          </w:divBdr>
        </w:div>
        <w:div w:id="1710643211">
          <w:marLeft w:val="0"/>
          <w:marRight w:val="0"/>
          <w:marTop w:val="0"/>
          <w:marBottom w:val="0"/>
          <w:divBdr>
            <w:top w:val="none" w:sz="0" w:space="0" w:color="auto"/>
            <w:left w:val="none" w:sz="0" w:space="0" w:color="auto"/>
            <w:bottom w:val="none" w:sz="0" w:space="0" w:color="auto"/>
            <w:right w:val="none" w:sz="0" w:space="0" w:color="auto"/>
          </w:divBdr>
        </w:div>
        <w:div w:id="1189904150">
          <w:marLeft w:val="0"/>
          <w:marRight w:val="0"/>
          <w:marTop w:val="0"/>
          <w:marBottom w:val="0"/>
          <w:divBdr>
            <w:top w:val="none" w:sz="0" w:space="0" w:color="auto"/>
            <w:left w:val="none" w:sz="0" w:space="0" w:color="auto"/>
            <w:bottom w:val="none" w:sz="0" w:space="0" w:color="auto"/>
            <w:right w:val="none" w:sz="0" w:space="0" w:color="auto"/>
          </w:divBdr>
        </w:div>
        <w:div w:id="190463378">
          <w:marLeft w:val="0"/>
          <w:marRight w:val="0"/>
          <w:marTop w:val="0"/>
          <w:marBottom w:val="0"/>
          <w:divBdr>
            <w:top w:val="none" w:sz="0" w:space="0" w:color="auto"/>
            <w:left w:val="none" w:sz="0" w:space="0" w:color="auto"/>
            <w:bottom w:val="none" w:sz="0" w:space="0" w:color="auto"/>
            <w:right w:val="none" w:sz="0" w:space="0" w:color="auto"/>
          </w:divBdr>
        </w:div>
        <w:div w:id="402147296">
          <w:marLeft w:val="0"/>
          <w:marRight w:val="0"/>
          <w:marTop w:val="0"/>
          <w:marBottom w:val="0"/>
          <w:divBdr>
            <w:top w:val="none" w:sz="0" w:space="0" w:color="auto"/>
            <w:left w:val="none" w:sz="0" w:space="0" w:color="auto"/>
            <w:bottom w:val="none" w:sz="0" w:space="0" w:color="auto"/>
            <w:right w:val="none" w:sz="0" w:space="0" w:color="auto"/>
          </w:divBdr>
        </w:div>
        <w:div w:id="1725985872">
          <w:marLeft w:val="0"/>
          <w:marRight w:val="0"/>
          <w:marTop w:val="0"/>
          <w:marBottom w:val="0"/>
          <w:divBdr>
            <w:top w:val="none" w:sz="0" w:space="0" w:color="auto"/>
            <w:left w:val="none" w:sz="0" w:space="0" w:color="auto"/>
            <w:bottom w:val="none" w:sz="0" w:space="0" w:color="auto"/>
            <w:right w:val="none" w:sz="0" w:space="0" w:color="auto"/>
          </w:divBdr>
        </w:div>
        <w:div w:id="960651955">
          <w:marLeft w:val="0"/>
          <w:marRight w:val="0"/>
          <w:marTop w:val="0"/>
          <w:marBottom w:val="0"/>
          <w:divBdr>
            <w:top w:val="none" w:sz="0" w:space="0" w:color="auto"/>
            <w:left w:val="none" w:sz="0" w:space="0" w:color="auto"/>
            <w:bottom w:val="none" w:sz="0" w:space="0" w:color="auto"/>
            <w:right w:val="none" w:sz="0" w:space="0" w:color="auto"/>
          </w:divBdr>
        </w:div>
        <w:div w:id="33384815">
          <w:marLeft w:val="0"/>
          <w:marRight w:val="0"/>
          <w:marTop w:val="0"/>
          <w:marBottom w:val="0"/>
          <w:divBdr>
            <w:top w:val="none" w:sz="0" w:space="0" w:color="auto"/>
            <w:left w:val="none" w:sz="0" w:space="0" w:color="auto"/>
            <w:bottom w:val="none" w:sz="0" w:space="0" w:color="auto"/>
            <w:right w:val="none" w:sz="0" w:space="0" w:color="auto"/>
          </w:divBdr>
        </w:div>
        <w:div w:id="1797335794">
          <w:marLeft w:val="0"/>
          <w:marRight w:val="0"/>
          <w:marTop w:val="0"/>
          <w:marBottom w:val="0"/>
          <w:divBdr>
            <w:top w:val="none" w:sz="0" w:space="0" w:color="auto"/>
            <w:left w:val="none" w:sz="0" w:space="0" w:color="auto"/>
            <w:bottom w:val="none" w:sz="0" w:space="0" w:color="auto"/>
            <w:right w:val="none" w:sz="0" w:space="0" w:color="auto"/>
          </w:divBdr>
        </w:div>
        <w:div w:id="419185519">
          <w:marLeft w:val="0"/>
          <w:marRight w:val="0"/>
          <w:marTop w:val="0"/>
          <w:marBottom w:val="0"/>
          <w:divBdr>
            <w:top w:val="none" w:sz="0" w:space="0" w:color="auto"/>
            <w:left w:val="none" w:sz="0" w:space="0" w:color="auto"/>
            <w:bottom w:val="none" w:sz="0" w:space="0" w:color="auto"/>
            <w:right w:val="none" w:sz="0" w:space="0" w:color="auto"/>
          </w:divBdr>
        </w:div>
        <w:div w:id="537478105">
          <w:marLeft w:val="0"/>
          <w:marRight w:val="0"/>
          <w:marTop w:val="0"/>
          <w:marBottom w:val="0"/>
          <w:divBdr>
            <w:top w:val="none" w:sz="0" w:space="0" w:color="auto"/>
            <w:left w:val="none" w:sz="0" w:space="0" w:color="auto"/>
            <w:bottom w:val="none" w:sz="0" w:space="0" w:color="auto"/>
            <w:right w:val="none" w:sz="0" w:space="0" w:color="auto"/>
          </w:divBdr>
        </w:div>
        <w:div w:id="1755467292">
          <w:marLeft w:val="0"/>
          <w:marRight w:val="0"/>
          <w:marTop w:val="0"/>
          <w:marBottom w:val="0"/>
          <w:divBdr>
            <w:top w:val="none" w:sz="0" w:space="0" w:color="auto"/>
            <w:left w:val="none" w:sz="0" w:space="0" w:color="auto"/>
            <w:bottom w:val="none" w:sz="0" w:space="0" w:color="auto"/>
            <w:right w:val="none" w:sz="0" w:space="0" w:color="auto"/>
          </w:divBdr>
        </w:div>
        <w:div w:id="857818321">
          <w:marLeft w:val="0"/>
          <w:marRight w:val="0"/>
          <w:marTop w:val="0"/>
          <w:marBottom w:val="0"/>
          <w:divBdr>
            <w:top w:val="none" w:sz="0" w:space="0" w:color="auto"/>
            <w:left w:val="none" w:sz="0" w:space="0" w:color="auto"/>
            <w:bottom w:val="none" w:sz="0" w:space="0" w:color="auto"/>
            <w:right w:val="none" w:sz="0" w:space="0" w:color="auto"/>
          </w:divBdr>
        </w:div>
        <w:div w:id="498811434">
          <w:marLeft w:val="0"/>
          <w:marRight w:val="0"/>
          <w:marTop w:val="0"/>
          <w:marBottom w:val="0"/>
          <w:divBdr>
            <w:top w:val="none" w:sz="0" w:space="0" w:color="auto"/>
            <w:left w:val="none" w:sz="0" w:space="0" w:color="auto"/>
            <w:bottom w:val="none" w:sz="0" w:space="0" w:color="auto"/>
            <w:right w:val="none" w:sz="0" w:space="0" w:color="auto"/>
          </w:divBdr>
        </w:div>
        <w:div w:id="1826239149">
          <w:marLeft w:val="0"/>
          <w:marRight w:val="0"/>
          <w:marTop w:val="0"/>
          <w:marBottom w:val="0"/>
          <w:divBdr>
            <w:top w:val="none" w:sz="0" w:space="0" w:color="auto"/>
            <w:left w:val="none" w:sz="0" w:space="0" w:color="auto"/>
            <w:bottom w:val="none" w:sz="0" w:space="0" w:color="auto"/>
            <w:right w:val="none" w:sz="0" w:space="0" w:color="auto"/>
          </w:divBdr>
        </w:div>
        <w:div w:id="523785013">
          <w:marLeft w:val="0"/>
          <w:marRight w:val="0"/>
          <w:marTop w:val="0"/>
          <w:marBottom w:val="0"/>
          <w:divBdr>
            <w:top w:val="none" w:sz="0" w:space="0" w:color="auto"/>
            <w:left w:val="none" w:sz="0" w:space="0" w:color="auto"/>
            <w:bottom w:val="none" w:sz="0" w:space="0" w:color="auto"/>
            <w:right w:val="none" w:sz="0" w:space="0" w:color="auto"/>
          </w:divBdr>
        </w:div>
        <w:div w:id="1225019301">
          <w:marLeft w:val="0"/>
          <w:marRight w:val="0"/>
          <w:marTop w:val="0"/>
          <w:marBottom w:val="0"/>
          <w:divBdr>
            <w:top w:val="none" w:sz="0" w:space="0" w:color="auto"/>
            <w:left w:val="none" w:sz="0" w:space="0" w:color="auto"/>
            <w:bottom w:val="none" w:sz="0" w:space="0" w:color="auto"/>
            <w:right w:val="none" w:sz="0" w:space="0" w:color="auto"/>
          </w:divBdr>
        </w:div>
        <w:div w:id="317344601">
          <w:marLeft w:val="0"/>
          <w:marRight w:val="0"/>
          <w:marTop w:val="0"/>
          <w:marBottom w:val="0"/>
          <w:divBdr>
            <w:top w:val="none" w:sz="0" w:space="0" w:color="auto"/>
            <w:left w:val="none" w:sz="0" w:space="0" w:color="auto"/>
            <w:bottom w:val="none" w:sz="0" w:space="0" w:color="auto"/>
            <w:right w:val="none" w:sz="0" w:space="0" w:color="auto"/>
          </w:divBdr>
        </w:div>
        <w:div w:id="986856478">
          <w:marLeft w:val="0"/>
          <w:marRight w:val="0"/>
          <w:marTop w:val="0"/>
          <w:marBottom w:val="0"/>
          <w:divBdr>
            <w:top w:val="none" w:sz="0" w:space="0" w:color="auto"/>
            <w:left w:val="none" w:sz="0" w:space="0" w:color="auto"/>
            <w:bottom w:val="none" w:sz="0" w:space="0" w:color="auto"/>
            <w:right w:val="none" w:sz="0" w:space="0" w:color="auto"/>
          </w:divBdr>
        </w:div>
        <w:div w:id="1696614267">
          <w:marLeft w:val="0"/>
          <w:marRight w:val="0"/>
          <w:marTop w:val="0"/>
          <w:marBottom w:val="0"/>
          <w:divBdr>
            <w:top w:val="none" w:sz="0" w:space="0" w:color="auto"/>
            <w:left w:val="none" w:sz="0" w:space="0" w:color="auto"/>
            <w:bottom w:val="none" w:sz="0" w:space="0" w:color="auto"/>
            <w:right w:val="none" w:sz="0" w:space="0" w:color="auto"/>
          </w:divBdr>
        </w:div>
        <w:div w:id="1194462985">
          <w:marLeft w:val="0"/>
          <w:marRight w:val="0"/>
          <w:marTop w:val="0"/>
          <w:marBottom w:val="0"/>
          <w:divBdr>
            <w:top w:val="none" w:sz="0" w:space="0" w:color="auto"/>
            <w:left w:val="none" w:sz="0" w:space="0" w:color="auto"/>
            <w:bottom w:val="none" w:sz="0" w:space="0" w:color="auto"/>
            <w:right w:val="none" w:sz="0" w:space="0" w:color="auto"/>
          </w:divBdr>
        </w:div>
        <w:div w:id="1563560895">
          <w:marLeft w:val="0"/>
          <w:marRight w:val="0"/>
          <w:marTop w:val="0"/>
          <w:marBottom w:val="0"/>
          <w:divBdr>
            <w:top w:val="none" w:sz="0" w:space="0" w:color="auto"/>
            <w:left w:val="none" w:sz="0" w:space="0" w:color="auto"/>
            <w:bottom w:val="none" w:sz="0" w:space="0" w:color="auto"/>
            <w:right w:val="none" w:sz="0" w:space="0" w:color="auto"/>
          </w:divBdr>
        </w:div>
        <w:div w:id="979189733">
          <w:marLeft w:val="0"/>
          <w:marRight w:val="0"/>
          <w:marTop w:val="0"/>
          <w:marBottom w:val="0"/>
          <w:divBdr>
            <w:top w:val="none" w:sz="0" w:space="0" w:color="auto"/>
            <w:left w:val="none" w:sz="0" w:space="0" w:color="auto"/>
            <w:bottom w:val="none" w:sz="0" w:space="0" w:color="auto"/>
            <w:right w:val="none" w:sz="0" w:space="0" w:color="auto"/>
          </w:divBdr>
        </w:div>
        <w:div w:id="1473984815">
          <w:marLeft w:val="0"/>
          <w:marRight w:val="0"/>
          <w:marTop w:val="0"/>
          <w:marBottom w:val="0"/>
          <w:divBdr>
            <w:top w:val="none" w:sz="0" w:space="0" w:color="auto"/>
            <w:left w:val="none" w:sz="0" w:space="0" w:color="auto"/>
            <w:bottom w:val="none" w:sz="0" w:space="0" w:color="auto"/>
            <w:right w:val="none" w:sz="0" w:space="0" w:color="auto"/>
          </w:divBdr>
        </w:div>
        <w:div w:id="1247424233">
          <w:marLeft w:val="0"/>
          <w:marRight w:val="0"/>
          <w:marTop w:val="0"/>
          <w:marBottom w:val="0"/>
          <w:divBdr>
            <w:top w:val="none" w:sz="0" w:space="0" w:color="auto"/>
            <w:left w:val="none" w:sz="0" w:space="0" w:color="auto"/>
            <w:bottom w:val="none" w:sz="0" w:space="0" w:color="auto"/>
            <w:right w:val="none" w:sz="0" w:space="0" w:color="auto"/>
          </w:divBdr>
        </w:div>
        <w:div w:id="612060453">
          <w:marLeft w:val="0"/>
          <w:marRight w:val="0"/>
          <w:marTop w:val="0"/>
          <w:marBottom w:val="0"/>
          <w:divBdr>
            <w:top w:val="none" w:sz="0" w:space="0" w:color="auto"/>
            <w:left w:val="none" w:sz="0" w:space="0" w:color="auto"/>
            <w:bottom w:val="none" w:sz="0" w:space="0" w:color="auto"/>
            <w:right w:val="none" w:sz="0" w:space="0" w:color="auto"/>
          </w:divBdr>
        </w:div>
        <w:div w:id="895093888">
          <w:marLeft w:val="0"/>
          <w:marRight w:val="0"/>
          <w:marTop w:val="0"/>
          <w:marBottom w:val="0"/>
          <w:divBdr>
            <w:top w:val="none" w:sz="0" w:space="0" w:color="auto"/>
            <w:left w:val="none" w:sz="0" w:space="0" w:color="auto"/>
            <w:bottom w:val="none" w:sz="0" w:space="0" w:color="auto"/>
            <w:right w:val="none" w:sz="0" w:space="0" w:color="auto"/>
          </w:divBdr>
        </w:div>
        <w:div w:id="542835927">
          <w:marLeft w:val="0"/>
          <w:marRight w:val="0"/>
          <w:marTop w:val="0"/>
          <w:marBottom w:val="0"/>
          <w:divBdr>
            <w:top w:val="none" w:sz="0" w:space="0" w:color="auto"/>
            <w:left w:val="none" w:sz="0" w:space="0" w:color="auto"/>
            <w:bottom w:val="none" w:sz="0" w:space="0" w:color="auto"/>
            <w:right w:val="none" w:sz="0" w:space="0" w:color="auto"/>
          </w:divBdr>
        </w:div>
        <w:div w:id="836073474">
          <w:marLeft w:val="0"/>
          <w:marRight w:val="0"/>
          <w:marTop w:val="0"/>
          <w:marBottom w:val="0"/>
          <w:divBdr>
            <w:top w:val="none" w:sz="0" w:space="0" w:color="auto"/>
            <w:left w:val="none" w:sz="0" w:space="0" w:color="auto"/>
            <w:bottom w:val="none" w:sz="0" w:space="0" w:color="auto"/>
            <w:right w:val="none" w:sz="0" w:space="0" w:color="auto"/>
          </w:divBdr>
        </w:div>
        <w:div w:id="591864510">
          <w:marLeft w:val="0"/>
          <w:marRight w:val="0"/>
          <w:marTop w:val="0"/>
          <w:marBottom w:val="0"/>
          <w:divBdr>
            <w:top w:val="none" w:sz="0" w:space="0" w:color="auto"/>
            <w:left w:val="none" w:sz="0" w:space="0" w:color="auto"/>
            <w:bottom w:val="none" w:sz="0" w:space="0" w:color="auto"/>
            <w:right w:val="none" w:sz="0" w:space="0" w:color="auto"/>
          </w:divBdr>
        </w:div>
        <w:div w:id="2006086729">
          <w:marLeft w:val="0"/>
          <w:marRight w:val="0"/>
          <w:marTop w:val="0"/>
          <w:marBottom w:val="0"/>
          <w:divBdr>
            <w:top w:val="none" w:sz="0" w:space="0" w:color="auto"/>
            <w:left w:val="none" w:sz="0" w:space="0" w:color="auto"/>
            <w:bottom w:val="none" w:sz="0" w:space="0" w:color="auto"/>
            <w:right w:val="none" w:sz="0" w:space="0" w:color="auto"/>
          </w:divBdr>
        </w:div>
        <w:div w:id="1177767985">
          <w:marLeft w:val="0"/>
          <w:marRight w:val="0"/>
          <w:marTop w:val="0"/>
          <w:marBottom w:val="0"/>
          <w:divBdr>
            <w:top w:val="none" w:sz="0" w:space="0" w:color="auto"/>
            <w:left w:val="none" w:sz="0" w:space="0" w:color="auto"/>
            <w:bottom w:val="none" w:sz="0" w:space="0" w:color="auto"/>
            <w:right w:val="none" w:sz="0" w:space="0" w:color="auto"/>
          </w:divBdr>
        </w:div>
        <w:div w:id="443614711">
          <w:marLeft w:val="0"/>
          <w:marRight w:val="0"/>
          <w:marTop w:val="0"/>
          <w:marBottom w:val="0"/>
          <w:divBdr>
            <w:top w:val="none" w:sz="0" w:space="0" w:color="auto"/>
            <w:left w:val="none" w:sz="0" w:space="0" w:color="auto"/>
            <w:bottom w:val="none" w:sz="0" w:space="0" w:color="auto"/>
            <w:right w:val="none" w:sz="0" w:space="0" w:color="auto"/>
          </w:divBdr>
        </w:div>
        <w:div w:id="1398091534">
          <w:marLeft w:val="0"/>
          <w:marRight w:val="0"/>
          <w:marTop w:val="0"/>
          <w:marBottom w:val="0"/>
          <w:divBdr>
            <w:top w:val="none" w:sz="0" w:space="0" w:color="auto"/>
            <w:left w:val="none" w:sz="0" w:space="0" w:color="auto"/>
            <w:bottom w:val="none" w:sz="0" w:space="0" w:color="auto"/>
            <w:right w:val="none" w:sz="0" w:space="0" w:color="auto"/>
          </w:divBdr>
        </w:div>
        <w:div w:id="1191257006">
          <w:marLeft w:val="0"/>
          <w:marRight w:val="0"/>
          <w:marTop w:val="0"/>
          <w:marBottom w:val="0"/>
          <w:divBdr>
            <w:top w:val="none" w:sz="0" w:space="0" w:color="auto"/>
            <w:left w:val="none" w:sz="0" w:space="0" w:color="auto"/>
            <w:bottom w:val="none" w:sz="0" w:space="0" w:color="auto"/>
            <w:right w:val="none" w:sz="0" w:space="0" w:color="auto"/>
          </w:divBdr>
        </w:div>
        <w:div w:id="1779254348">
          <w:marLeft w:val="0"/>
          <w:marRight w:val="0"/>
          <w:marTop w:val="0"/>
          <w:marBottom w:val="0"/>
          <w:divBdr>
            <w:top w:val="none" w:sz="0" w:space="0" w:color="auto"/>
            <w:left w:val="none" w:sz="0" w:space="0" w:color="auto"/>
            <w:bottom w:val="none" w:sz="0" w:space="0" w:color="auto"/>
            <w:right w:val="none" w:sz="0" w:space="0" w:color="auto"/>
          </w:divBdr>
        </w:div>
        <w:div w:id="724108301">
          <w:marLeft w:val="0"/>
          <w:marRight w:val="0"/>
          <w:marTop w:val="0"/>
          <w:marBottom w:val="0"/>
          <w:divBdr>
            <w:top w:val="none" w:sz="0" w:space="0" w:color="auto"/>
            <w:left w:val="none" w:sz="0" w:space="0" w:color="auto"/>
            <w:bottom w:val="none" w:sz="0" w:space="0" w:color="auto"/>
            <w:right w:val="none" w:sz="0" w:space="0" w:color="auto"/>
          </w:divBdr>
        </w:div>
        <w:div w:id="1681349521">
          <w:marLeft w:val="0"/>
          <w:marRight w:val="0"/>
          <w:marTop w:val="0"/>
          <w:marBottom w:val="0"/>
          <w:divBdr>
            <w:top w:val="none" w:sz="0" w:space="0" w:color="auto"/>
            <w:left w:val="none" w:sz="0" w:space="0" w:color="auto"/>
            <w:bottom w:val="none" w:sz="0" w:space="0" w:color="auto"/>
            <w:right w:val="none" w:sz="0" w:space="0" w:color="auto"/>
          </w:divBdr>
        </w:div>
        <w:div w:id="1851218400">
          <w:marLeft w:val="0"/>
          <w:marRight w:val="0"/>
          <w:marTop w:val="0"/>
          <w:marBottom w:val="0"/>
          <w:divBdr>
            <w:top w:val="none" w:sz="0" w:space="0" w:color="auto"/>
            <w:left w:val="none" w:sz="0" w:space="0" w:color="auto"/>
            <w:bottom w:val="none" w:sz="0" w:space="0" w:color="auto"/>
            <w:right w:val="none" w:sz="0" w:space="0" w:color="auto"/>
          </w:divBdr>
        </w:div>
        <w:div w:id="4090788">
          <w:marLeft w:val="0"/>
          <w:marRight w:val="0"/>
          <w:marTop w:val="0"/>
          <w:marBottom w:val="0"/>
          <w:divBdr>
            <w:top w:val="none" w:sz="0" w:space="0" w:color="auto"/>
            <w:left w:val="none" w:sz="0" w:space="0" w:color="auto"/>
            <w:bottom w:val="none" w:sz="0" w:space="0" w:color="auto"/>
            <w:right w:val="none" w:sz="0" w:space="0" w:color="auto"/>
          </w:divBdr>
        </w:div>
        <w:div w:id="754088930">
          <w:marLeft w:val="0"/>
          <w:marRight w:val="0"/>
          <w:marTop w:val="0"/>
          <w:marBottom w:val="0"/>
          <w:divBdr>
            <w:top w:val="none" w:sz="0" w:space="0" w:color="auto"/>
            <w:left w:val="none" w:sz="0" w:space="0" w:color="auto"/>
            <w:bottom w:val="none" w:sz="0" w:space="0" w:color="auto"/>
            <w:right w:val="none" w:sz="0" w:space="0" w:color="auto"/>
          </w:divBdr>
        </w:div>
        <w:div w:id="759763309">
          <w:marLeft w:val="0"/>
          <w:marRight w:val="0"/>
          <w:marTop w:val="0"/>
          <w:marBottom w:val="0"/>
          <w:divBdr>
            <w:top w:val="none" w:sz="0" w:space="0" w:color="auto"/>
            <w:left w:val="none" w:sz="0" w:space="0" w:color="auto"/>
            <w:bottom w:val="none" w:sz="0" w:space="0" w:color="auto"/>
            <w:right w:val="none" w:sz="0" w:space="0" w:color="auto"/>
          </w:divBdr>
        </w:div>
        <w:div w:id="505094037">
          <w:marLeft w:val="0"/>
          <w:marRight w:val="0"/>
          <w:marTop w:val="0"/>
          <w:marBottom w:val="0"/>
          <w:divBdr>
            <w:top w:val="none" w:sz="0" w:space="0" w:color="auto"/>
            <w:left w:val="none" w:sz="0" w:space="0" w:color="auto"/>
            <w:bottom w:val="none" w:sz="0" w:space="0" w:color="auto"/>
            <w:right w:val="none" w:sz="0" w:space="0" w:color="auto"/>
          </w:divBdr>
        </w:div>
        <w:div w:id="812260706">
          <w:marLeft w:val="0"/>
          <w:marRight w:val="0"/>
          <w:marTop w:val="0"/>
          <w:marBottom w:val="0"/>
          <w:divBdr>
            <w:top w:val="none" w:sz="0" w:space="0" w:color="auto"/>
            <w:left w:val="none" w:sz="0" w:space="0" w:color="auto"/>
            <w:bottom w:val="none" w:sz="0" w:space="0" w:color="auto"/>
            <w:right w:val="none" w:sz="0" w:space="0" w:color="auto"/>
          </w:divBdr>
        </w:div>
        <w:div w:id="1072701680">
          <w:marLeft w:val="0"/>
          <w:marRight w:val="0"/>
          <w:marTop w:val="0"/>
          <w:marBottom w:val="0"/>
          <w:divBdr>
            <w:top w:val="none" w:sz="0" w:space="0" w:color="auto"/>
            <w:left w:val="none" w:sz="0" w:space="0" w:color="auto"/>
            <w:bottom w:val="none" w:sz="0" w:space="0" w:color="auto"/>
            <w:right w:val="none" w:sz="0" w:space="0" w:color="auto"/>
          </w:divBdr>
        </w:div>
        <w:div w:id="437528758">
          <w:marLeft w:val="0"/>
          <w:marRight w:val="0"/>
          <w:marTop w:val="0"/>
          <w:marBottom w:val="0"/>
          <w:divBdr>
            <w:top w:val="none" w:sz="0" w:space="0" w:color="auto"/>
            <w:left w:val="none" w:sz="0" w:space="0" w:color="auto"/>
            <w:bottom w:val="none" w:sz="0" w:space="0" w:color="auto"/>
            <w:right w:val="none" w:sz="0" w:space="0" w:color="auto"/>
          </w:divBdr>
        </w:div>
        <w:div w:id="1758860821">
          <w:marLeft w:val="0"/>
          <w:marRight w:val="0"/>
          <w:marTop w:val="0"/>
          <w:marBottom w:val="0"/>
          <w:divBdr>
            <w:top w:val="none" w:sz="0" w:space="0" w:color="auto"/>
            <w:left w:val="none" w:sz="0" w:space="0" w:color="auto"/>
            <w:bottom w:val="none" w:sz="0" w:space="0" w:color="auto"/>
            <w:right w:val="none" w:sz="0" w:space="0" w:color="auto"/>
          </w:divBdr>
        </w:div>
        <w:div w:id="1019237333">
          <w:marLeft w:val="0"/>
          <w:marRight w:val="0"/>
          <w:marTop w:val="0"/>
          <w:marBottom w:val="0"/>
          <w:divBdr>
            <w:top w:val="none" w:sz="0" w:space="0" w:color="auto"/>
            <w:left w:val="none" w:sz="0" w:space="0" w:color="auto"/>
            <w:bottom w:val="none" w:sz="0" w:space="0" w:color="auto"/>
            <w:right w:val="none" w:sz="0" w:space="0" w:color="auto"/>
          </w:divBdr>
        </w:div>
        <w:div w:id="1002509758">
          <w:marLeft w:val="0"/>
          <w:marRight w:val="0"/>
          <w:marTop w:val="0"/>
          <w:marBottom w:val="0"/>
          <w:divBdr>
            <w:top w:val="none" w:sz="0" w:space="0" w:color="auto"/>
            <w:left w:val="none" w:sz="0" w:space="0" w:color="auto"/>
            <w:bottom w:val="none" w:sz="0" w:space="0" w:color="auto"/>
            <w:right w:val="none" w:sz="0" w:space="0" w:color="auto"/>
          </w:divBdr>
        </w:div>
        <w:div w:id="628054362">
          <w:marLeft w:val="0"/>
          <w:marRight w:val="0"/>
          <w:marTop w:val="0"/>
          <w:marBottom w:val="0"/>
          <w:divBdr>
            <w:top w:val="none" w:sz="0" w:space="0" w:color="auto"/>
            <w:left w:val="none" w:sz="0" w:space="0" w:color="auto"/>
            <w:bottom w:val="none" w:sz="0" w:space="0" w:color="auto"/>
            <w:right w:val="none" w:sz="0" w:space="0" w:color="auto"/>
          </w:divBdr>
        </w:div>
        <w:div w:id="1785467387">
          <w:marLeft w:val="0"/>
          <w:marRight w:val="0"/>
          <w:marTop w:val="0"/>
          <w:marBottom w:val="0"/>
          <w:divBdr>
            <w:top w:val="none" w:sz="0" w:space="0" w:color="auto"/>
            <w:left w:val="none" w:sz="0" w:space="0" w:color="auto"/>
            <w:bottom w:val="none" w:sz="0" w:space="0" w:color="auto"/>
            <w:right w:val="none" w:sz="0" w:space="0" w:color="auto"/>
          </w:divBdr>
        </w:div>
        <w:div w:id="1421295908">
          <w:marLeft w:val="0"/>
          <w:marRight w:val="0"/>
          <w:marTop w:val="0"/>
          <w:marBottom w:val="0"/>
          <w:divBdr>
            <w:top w:val="none" w:sz="0" w:space="0" w:color="auto"/>
            <w:left w:val="none" w:sz="0" w:space="0" w:color="auto"/>
            <w:bottom w:val="none" w:sz="0" w:space="0" w:color="auto"/>
            <w:right w:val="none" w:sz="0" w:space="0" w:color="auto"/>
          </w:divBdr>
        </w:div>
        <w:div w:id="688290329">
          <w:marLeft w:val="0"/>
          <w:marRight w:val="0"/>
          <w:marTop w:val="0"/>
          <w:marBottom w:val="0"/>
          <w:divBdr>
            <w:top w:val="none" w:sz="0" w:space="0" w:color="auto"/>
            <w:left w:val="none" w:sz="0" w:space="0" w:color="auto"/>
            <w:bottom w:val="none" w:sz="0" w:space="0" w:color="auto"/>
            <w:right w:val="none" w:sz="0" w:space="0" w:color="auto"/>
          </w:divBdr>
        </w:div>
        <w:div w:id="1183319994">
          <w:marLeft w:val="0"/>
          <w:marRight w:val="0"/>
          <w:marTop w:val="0"/>
          <w:marBottom w:val="0"/>
          <w:divBdr>
            <w:top w:val="none" w:sz="0" w:space="0" w:color="auto"/>
            <w:left w:val="none" w:sz="0" w:space="0" w:color="auto"/>
            <w:bottom w:val="none" w:sz="0" w:space="0" w:color="auto"/>
            <w:right w:val="none" w:sz="0" w:space="0" w:color="auto"/>
          </w:divBdr>
        </w:div>
        <w:div w:id="1852181249">
          <w:marLeft w:val="0"/>
          <w:marRight w:val="0"/>
          <w:marTop w:val="0"/>
          <w:marBottom w:val="0"/>
          <w:divBdr>
            <w:top w:val="none" w:sz="0" w:space="0" w:color="auto"/>
            <w:left w:val="none" w:sz="0" w:space="0" w:color="auto"/>
            <w:bottom w:val="none" w:sz="0" w:space="0" w:color="auto"/>
            <w:right w:val="none" w:sz="0" w:space="0" w:color="auto"/>
          </w:divBdr>
        </w:div>
        <w:div w:id="810439060">
          <w:marLeft w:val="0"/>
          <w:marRight w:val="0"/>
          <w:marTop w:val="0"/>
          <w:marBottom w:val="0"/>
          <w:divBdr>
            <w:top w:val="none" w:sz="0" w:space="0" w:color="auto"/>
            <w:left w:val="none" w:sz="0" w:space="0" w:color="auto"/>
            <w:bottom w:val="none" w:sz="0" w:space="0" w:color="auto"/>
            <w:right w:val="none" w:sz="0" w:space="0" w:color="auto"/>
          </w:divBdr>
        </w:div>
        <w:div w:id="1140418502">
          <w:marLeft w:val="0"/>
          <w:marRight w:val="0"/>
          <w:marTop w:val="0"/>
          <w:marBottom w:val="0"/>
          <w:divBdr>
            <w:top w:val="none" w:sz="0" w:space="0" w:color="auto"/>
            <w:left w:val="none" w:sz="0" w:space="0" w:color="auto"/>
            <w:bottom w:val="none" w:sz="0" w:space="0" w:color="auto"/>
            <w:right w:val="none" w:sz="0" w:space="0" w:color="auto"/>
          </w:divBdr>
        </w:div>
        <w:div w:id="1114712713">
          <w:marLeft w:val="0"/>
          <w:marRight w:val="0"/>
          <w:marTop w:val="0"/>
          <w:marBottom w:val="0"/>
          <w:divBdr>
            <w:top w:val="none" w:sz="0" w:space="0" w:color="auto"/>
            <w:left w:val="none" w:sz="0" w:space="0" w:color="auto"/>
            <w:bottom w:val="none" w:sz="0" w:space="0" w:color="auto"/>
            <w:right w:val="none" w:sz="0" w:space="0" w:color="auto"/>
          </w:divBdr>
        </w:div>
        <w:div w:id="1555963424">
          <w:marLeft w:val="0"/>
          <w:marRight w:val="0"/>
          <w:marTop w:val="0"/>
          <w:marBottom w:val="0"/>
          <w:divBdr>
            <w:top w:val="none" w:sz="0" w:space="0" w:color="auto"/>
            <w:left w:val="none" w:sz="0" w:space="0" w:color="auto"/>
            <w:bottom w:val="none" w:sz="0" w:space="0" w:color="auto"/>
            <w:right w:val="none" w:sz="0" w:space="0" w:color="auto"/>
          </w:divBdr>
        </w:div>
        <w:div w:id="1041321067">
          <w:marLeft w:val="0"/>
          <w:marRight w:val="0"/>
          <w:marTop w:val="0"/>
          <w:marBottom w:val="0"/>
          <w:divBdr>
            <w:top w:val="none" w:sz="0" w:space="0" w:color="auto"/>
            <w:left w:val="none" w:sz="0" w:space="0" w:color="auto"/>
            <w:bottom w:val="none" w:sz="0" w:space="0" w:color="auto"/>
            <w:right w:val="none" w:sz="0" w:space="0" w:color="auto"/>
          </w:divBdr>
        </w:div>
        <w:div w:id="1189559816">
          <w:marLeft w:val="0"/>
          <w:marRight w:val="0"/>
          <w:marTop w:val="0"/>
          <w:marBottom w:val="0"/>
          <w:divBdr>
            <w:top w:val="none" w:sz="0" w:space="0" w:color="auto"/>
            <w:left w:val="none" w:sz="0" w:space="0" w:color="auto"/>
            <w:bottom w:val="none" w:sz="0" w:space="0" w:color="auto"/>
            <w:right w:val="none" w:sz="0" w:space="0" w:color="auto"/>
          </w:divBdr>
        </w:div>
        <w:div w:id="1229416442">
          <w:marLeft w:val="0"/>
          <w:marRight w:val="0"/>
          <w:marTop w:val="0"/>
          <w:marBottom w:val="0"/>
          <w:divBdr>
            <w:top w:val="none" w:sz="0" w:space="0" w:color="auto"/>
            <w:left w:val="none" w:sz="0" w:space="0" w:color="auto"/>
            <w:bottom w:val="none" w:sz="0" w:space="0" w:color="auto"/>
            <w:right w:val="none" w:sz="0" w:space="0" w:color="auto"/>
          </w:divBdr>
        </w:div>
        <w:div w:id="17245434">
          <w:marLeft w:val="0"/>
          <w:marRight w:val="0"/>
          <w:marTop w:val="0"/>
          <w:marBottom w:val="0"/>
          <w:divBdr>
            <w:top w:val="none" w:sz="0" w:space="0" w:color="auto"/>
            <w:left w:val="none" w:sz="0" w:space="0" w:color="auto"/>
            <w:bottom w:val="none" w:sz="0" w:space="0" w:color="auto"/>
            <w:right w:val="none" w:sz="0" w:space="0" w:color="auto"/>
          </w:divBdr>
        </w:div>
        <w:div w:id="440338407">
          <w:marLeft w:val="0"/>
          <w:marRight w:val="0"/>
          <w:marTop w:val="0"/>
          <w:marBottom w:val="0"/>
          <w:divBdr>
            <w:top w:val="none" w:sz="0" w:space="0" w:color="auto"/>
            <w:left w:val="none" w:sz="0" w:space="0" w:color="auto"/>
            <w:bottom w:val="none" w:sz="0" w:space="0" w:color="auto"/>
            <w:right w:val="none" w:sz="0" w:space="0" w:color="auto"/>
          </w:divBdr>
        </w:div>
        <w:div w:id="832379327">
          <w:marLeft w:val="0"/>
          <w:marRight w:val="0"/>
          <w:marTop w:val="0"/>
          <w:marBottom w:val="0"/>
          <w:divBdr>
            <w:top w:val="none" w:sz="0" w:space="0" w:color="auto"/>
            <w:left w:val="none" w:sz="0" w:space="0" w:color="auto"/>
            <w:bottom w:val="none" w:sz="0" w:space="0" w:color="auto"/>
            <w:right w:val="none" w:sz="0" w:space="0" w:color="auto"/>
          </w:divBdr>
        </w:div>
        <w:div w:id="1144784086">
          <w:marLeft w:val="0"/>
          <w:marRight w:val="0"/>
          <w:marTop w:val="0"/>
          <w:marBottom w:val="0"/>
          <w:divBdr>
            <w:top w:val="none" w:sz="0" w:space="0" w:color="auto"/>
            <w:left w:val="none" w:sz="0" w:space="0" w:color="auto"/>
            <w:bottom w:val="none" w:sz="0" w:space="0" w:color="auto"/>
            <w:right w:val="none" w:sz="0" w:space="0" w:color="auto"/>
          </w:divBdr>
        </w:div>
        <w:div w:id="2093313786">
          <w:marLeft w:val="0"/>
          <w:marRight w:val="0"/>
          <w:marTop w:val="0"/>
          <w:marBottom w:val="0"/>
          <w:divBdr>
            <w:top w:val="none" w:sz="0" w:space="0" w:color="auto"/>
            <w:left w:val="none" w:sz="0" w:space="0" w:color="auto"/>
            <w:bottom w:val="none" w:sz="0" w:space="0" w:color="auto"/>
            <w:right w:val="none" w:sz="0" w:space="0" w:color="auto"/>
          </w:divBdr>
        </w:div>
        <w:div w:id="377317255">
          <w:marLeft w:val="0"/>
          <w:marRight w:val="0"/>
          <w:marTop w:val="0"/>
          <w:marBottom w:val="0"/>
          <w:divBdr>
            <w:top w:val="none" w:sz="0" w:space="0" w:color="auto"/>
            <w:left w:val="none" w:sz="0" w:space="0" w:color="auto"/>
            <w:bottom w:val="none" w:sz="0" w:space="0" w:color="auto"/>
            <w:right w:val="none" w:sz="0" w:space="0" w:color="auto"/>
          </w:divBdr>
        </w:div>
        <w:div w:id="1304967956">
          <w:marLeft w:val="0"/>
          <w:marRight w:val="0"/>
          <w:marTop w:val="0"/>
          <w:marBottom w:val="0"/>
          <w:divBdr>
            <w:top w:val="none" w:sz="0" w:space="0" w:color="auto"/>
            <w:left w:val="none" w:sz="0" w:space="0" w:color="auto"/>
            <w:bottom w:val="none" w:sz="0" w:space="0" w:color="auto"/>
            <w:right w:val="none" w:sz="0" w:space="0" w:color="auto"/>
          </w:divBdr>
        </w:div>
        <w:div w:id="71893362">
          <w:marLeft w:val="0"/>
          <w:marRight w:val="0"/>
          <w:marTop w:val="0"/>
          <w:marBottom w:val="0"/>
          <w:divBdr>
            <w:top w:val="none" w:sz="0" w:space="0" w:color="auto"/>
            <w:left w:val="none" w:sz="0" w:space="0" w:color="auto"/>
            <w:bottom w:val="none" w:sz="0" w:space="0" w:color="auto"/>
            <w:right w:val="none" w:sz="0" w:space="0" w:color="auto"/>
          </w:divBdr>
        </w:div>
        <w:div w:id="55670211">
          <w:marLeft w:val="0"/>
          <w:marRight w:val="0"/>
          <w:marTop w:val="0"/>
          <w:marBottom w:val="0"/>
          <w:divBdr>
            <w:top w:val="none" w:sz="0" w:space="0" w:color="auto"/>
            <w:left w:val="none" w:sz="0" w:space="0" w:color="auto"/>
            <w:bottom w:val="none" w:sz="0" w:space="0" w:color="auto"/>
            <w:right w:val="none" w:sz="0" w:space="0" w:color="auto"/>
          </w:divBdr>
        </w:div>
        <w:div w:id="1534341883">
          <w:marLeft w:val="0"/>
          <w:marRight w:val="0"/>
          <w:marTop w:val="0"/>
          <w:marBottom w:val="0"/>
          <w:divBdr>
            <w:top w:val="none" w:sz="0" w:space="0" w:color="auto"/>
            <w:left w:val="none" w:sz="0" w:space="0" w:color="auto"/>
            <w:bottom w:val="none" w:sz="0" w:space="0" w:color="auto"/>
            <w:right w:val="none" w:sz="0" w:space="0" w:color="auto"/>
          </w:divBdr>
        </w:div>
        <w:div w:id="1676179715">
          <w:marLeft w:val="0"/>
          <w:marRight w:val="0"/>
          <w:marTop w:val="0"/>
          <w:marBottom w:val="0"/>
          <w:divBdr>
            <w:top w:val="none" w:sz="0" w:space="0" w:color="auto"/>
            <w:left w:val="none" w:sz="0" w:space="0" w:color="auto"/>
            <w:bottom w:val="none" w:sz="0" w:space="0" w:color="auto"/>
            <w:right w:val="none" w:sz="0" w:space="0" w:color="auto"/>
          </w:divBdr>
        </w:div>
        <w:div w:id="343287977">
          <w:marLeft w:val="0"/>
          <w:marRight w:val="0"/>
          <w:marTop w:val="0"/>
          <w:marBottom w:val="0"/>
          <w:divBdr>
            <w:top w:val="none" w:sz="0" w:space="0" w:color="auto"/>
            <w:left w:val="none" w:sz="0" w:space="0" w:color="auto"/>
            <w:bottom w:val="none" w:sz="0" w:space="0" w:color="auto"/>
            <w:right w:val="none" w:sz="0" w:space="0" w:color="auto"/>
          </w:divBdr>
        </w:div>
        <w:div w:id="2129658154">
          <w:marLeft w:val="0"/>
          <w:marRight w:val="0"/>
          <w:marTop w:val="0"/>
          <w:marBottom w:val="0"/>
          <w:divBdr>
            <w:top w:val="none" w:sz="0" w:space="0" w:color="auto"/>
            <w:left w:val="none" w:sz="0" w:space="0" w:color="auto"/>
            <w:bottom w:val="none" w:sz="0" w:space="0" w:color="auto"/>
            <w:right w:val="none" w:sz="0" w:space="0" w:color="auto"/>
          </w:divBdr>
        </w:div>
        <w:div w:id="538976580">
          <w:marLeft w:val="0"/>
          <w:marRight w:val="0"/>
          <w:marTop w:val="0"/>
          <w:marBottom w:val="0"/>
          <w:divBdr>
            <w:top w:val="none" w:sz="0" w:space="0" w:color="auto"/>
            <w:left w:val="none" w:sz="0" w:space="0" w:color="auto"/>
            <w:bottom w:val="none" w:sz="0" w:space="0" w:color="auto"/>
            <w:right w:val="none" w:sz="0" w:space="0" w:color="auto"/>
          </w:divBdr>
        </w:div>
        <w:div w:id="1031613719">
          <w:marLeft w:val="0"/>
          <w:marRight w:val="0"/>
          <w:marTop w:val="0"/>
          <w:marBottom w:val="0"/>
          <w:divBdr>
            <w:top w:val="none" w:sz="0" w:space="0" w:color="auto"/>
            <w:left w:val="none" w:sz="0" w:space="0" w:color="auto"/>
            <w:bottom w:val="none" w:sz="0" w:space="0" w:color="auto"/>
            <w:right w:val="none" w:sz="0" w:space="0" w:color="auto"/>
          </w:divBdr>
        </w:div>
        <w:div w:id="1488285400">
          <w:marLeft w:val="0"/>
          <w:marRight w:val="0"/>
          <w:marTop w:val="0"/>
          <w:marBottom w:val="0"/>
          <w:divBdr>
            <w:top w:val="none" w:sz="0" w:space="0" w:color="auto"/>
            <w:left w:val="none" w:sz="0" w:space="0" w:color="auto"/>
            <w:bottom w:val="none" w:sz="0" w:space="0" w:color="auto"/>
            <w:right w:val="none" w:sz="0" w:space="0" w:color="auto"/>
          </w:divBdr>
        </w:div>
      </w:divsChild>
    </w:div>
    <w:div w:id="1940062997">
      <w:bodyDiv w:val="1"/>
      <w:marLeft w:val="0"/>
      <w:marRight w:val="0"/>
      <w:marTop w:val="0"/>
      <w:marBottom w:val="0"/>
      <w:divBdr>
        <w:top w:val="none" w:sz="0" w:space="0" w:color="auto"/>
        <w:left w:val="none" w:sz="0" w:space="0" w:color="auto"/>
        <w:bottom w:val="none" w:sz="0" w:space="0" w:color="auto"/>
        <w:right w:val="none" w:sz="0" w:space="0" w:color="auto"/>
      </w:divBdr>
    </w:div>
    <w:div w:id="1942175363">
      <w:bodyDiv w:val="1"/>
      <w:marLeft w:val="0"/>
      <w:marRight w:val="0"/>
      <w:marTop w:val="0"/>
      <w:marBottom w:val="0"/>
      <w:divBdr>
        <w:top w:val="none" w:sz="0" w:space="0" w:color="auto"/>
        <w:left w:val="none" w:sz="0" w:space="0" w:color="auto"/>
        <w:bottom w:val="none" w:sz="0" w:space="0" w:color="auto"/>
        <w:right w:val="none" w:sz="0" w:space="0" w:color="auto"/>
      </w:divBdr>
    </w:div>
    <w:div w:id="1949779478">
      <w:bodyDiv w:val="1"/>
      <w:marLeft w:val="0"/>
      <w:marRight w:val="0"/>
      <w:marTop w:val="0"/>
      <w:marBottom w:val="0"/>
      <w:divBdr>
        <w:top w:val="none" w:sz="0" w:space="0" w:color="auto"/>
        <w:left w:val="none" w:sz="0" w:space="0" w:color="auto"/>
        <w:bottom w:val="none" w:sz="0" w:space="0" w:color="auto"/>
        <w:right w:val="none" w:sz="0" w:space="0" w:color="auto"/>
      </w:divBdr>
    </w:div>
    <w:div w:id="1951550048">
      <w:bodyDiv w:val="1"/>
      <w:marLeft w:val="0"/>
      <w:marRight w:val="0"/>
      <w:marTop w:val="0"/>
      <w:marBottom w:val="0"/>
      <w:divBdr>
        <w:top w:val="none" w:sz="0" w:space="0" w:color="auto"/>
        <w:left w:val="none" w:sz="0" w:space="0" w:color="auto"/>
        <w:bottom w:val="none" w:sz="0" w:space="0" w:color="auto"/>
        <w:right w:val="none" w:sz="0" w:space="0" w:color="auto"/>
      </w:divBdr>
    </w:div>
    <w:div w:id="1952323968">
      <w:bodyDiv w:val="1"/>
      <w:marLeft w:val="0"/>
      <w:marRight w:val="0"/>
      <w:marTop w:val="0"/>
      <w:marBottom w:val="0"/>
      <w:divBdr>
        <w:top w:val="none" w:sz="0" w:space="0" w:color="auto"/>
        <w:left w:val="none" w:sz="0" w:space="0" w:color="auto"/>
        <w:bottom w:val="none" w:sz="0" w:space="0" w:color="auto"/>
        <w:right w:val="none" w:sz="0" w:space="0" w:color="auto"/>
      </w:divBdr>
    </w:div>
    <w:div w:id="1955743322">
      <w:bodyDiv w:val="1"/>
      <w:marLeft w:val="0"/>
      <w:marRight w:val="0"/>
      <w:marTop w:val="0"/>
      <w:marBottom w:val="0"/>
      <w:divBdr>
        <w:top w:val="none" w:sz="0" w:space="0" w:color="auto"/>
        <w:left w:val="none" w:sz="0" w:space="0" w:color="auto"/>
        <w:bottom w:val="none" w:sz="0" w:space="0" w:color="auto"/>
        <w:right w:val="none" w:sz="0" w:space="0" w:color="auto"/>
      </w:divBdr>
    </w:div>
    <w:div w:id="1955940840">
      <w:bodyDiv w:val="1"/>
      <w:marLeft w:val="0"/>
      <w:marRight w:val="0"/>
      <w:marTop w:val="0"/>
      <w:marBottom w:val="0"/>
      <w:divBdr>
        <w:top w:val="none" w:sz="0" w:space="0" w:color="auto"/>
        <w:left w:val="none" w:sz="0" w:space="0" w:color="auto"/>
        <w:bottom w:val="none" w:sz="0" w:space="0" w:color="auto"/>
        <w:right w:val="none" w:sz="0" w:space="0" w:color="auto"/>
      </w:divBdr>
    </w:div>
    <w:div w:id="1958835196">
      <w:bodyDiv w:val="1"/>
      <w:marLeft w:val="0"/>
      <w:marRight w:val="0"/>
      <w:marTop w:val="0"/>
      <w:marBottom w:val="0"/>
      <w:divBdr>
        <w:top w:val="none" w:sz="0" w:space="0" w:color="auto"/>
        <w:left w:val="none" w:sz="0" w:space="0" w:color="auto"/>
        <w:bottom w:val="none" w:sz="0" w:space="0" w:color="auto"/>
        <w:right w:val="none" w:sz="0" w:space="0" w:color="auto"/>
      </w:divBdr>
    </w:div>
    <w:div w:id="1960405510">
      <w:bodyDiv w:val="1"/>
      <w:marLeft w:val="0"/>
      <w:marRight w:val="0"/>
      <w:marTop w:val="0"/>
      <w:marBottom w:val="0"/>
      <w:divBdr>
        <w:top w:val="none" w:sz="0" w:space="0" w:color="auto"/>
        <w:left w:val="none" w:sz="0" w:space="0" w:color="auto"/>
        <w:bottom w:val="none" w:sz="0" w:space="0" w:color="auto"/>
        <w:right w:val="none" w:sz="0" w:space="0" w:color="auto"/>
      </w:divBdr>
    </w:div>
    <w:div w:id="1960721356">
      <w:bodyDiv w:val="1"/>
      <w:marLeft w:val="0"/>
      <w:marRight w:val="0"/>
      <w:marTop w:val="0"/>
      <w:marBottom w:val="0"/>
      <w:divBdr>
        <w:top w:val="none" w:sz="0" w:space="0" w:color="auto"/>
        <w:left w:val="none" w:sz="0" w:space="0" w:color="auto"/>
        <w:bottom w:val="none" w:sz="0" w:space="0" w:color="auto"/>
        <w:right w:val="none" w:sz="0" w:space="0" w:color="auto"/>
      </w:divBdr>
    </w:div>
    <w:div w:id="1962764648">
      <w:bodyDiv w:val="1"/>
      <w:marLeft w:val="0"/>
      <w:marRight w:val="0"/>
      <w:marTop w:val="0"/>
      <w:marBottom w:val="0"/>
      <w:divBdr>
        <w:top w:val="none" w:sz="0" w:space="0" w:color="auto"/>
        <w:left w:val="none" w:sz="0" w:space="0" w:color="auto"/>
        <w:bottom w:val="none" w:sz="0" w:space="0" w:color="auto"/>
        <w:right w:val="none" w:sz="0" w:space="0" w:color="auto"/>
      </w:divBdr>
    </w:div>
    <w:div w:id="1963225551">
      <w:bodyDiv w:val="1"/>
      <w:marLeft w:val="0"/>
      <w:marRight w:val="0"/>
      <w:marTop w:val="0"/>
      <w:marBottom w:val="0"/>
      <w:divBdr>
        <w:top w:val="none" w:sz="0" w:space="0" w:color="auto"/>
        <w:left w:val="none" w:sz="0" w:space="0" w:color="auto"/>
        <w:bottom w:val="none" w:sz="0" w:space="0" w:color="auto"/>
        <w:right w:val="none" w:sz="0" w:space="0" w:color="auto"/>
      </w:divBdr>
    </w:div>
    <w:div w:id="1963730804">
      <w:bodyDiv w:val="1"/>
      <w:marLeft w:val="0"/>
      <w:marRight w:val="0"/>
      <w:marTop w:val="0"/>
      <w:marBottom w:val="0"/>
      <w:divBdr>
        <w:top w:val="none" w:sz="0" w:space="0" w:color="auto"/>
        <w:left w:val="none" w:sz="0" w:space="0" w:color="auto"/>
        <w:bottom w:val="none" w:sz="0" w:space="0" w:color="auto"/>
        <w:right w:val="none" w:sz="0" w:space="0" w:color="auto"/>
      </w:divBdr>
    </w:div>
    <w:div w:id="1964654061">
      <w:bodyDiv w:val="1"/>
      <w:marLeft w:val="0"/>
      <w:marRight w:val="0"/>
      <w:marTop w:val="0"/>
      <w:marBottom w:val="0"/>
      <w:divBdr>
        <w:top w:val="none" w:sz="0" w:space="0" w:color="auto"/>
        <w:left w:val="none" w:sz="0" w:space="0" w:color="auto"/>
        <w:bottom w:val="none" w:sz="0" w:space="0" w:color="auto"/>
        <w:right w:val="none" w:sz="0" w:space="0" w:color="auto"/>
      </w:divBdr>
    </w:div>
    <w:div w:id="1967613584">
      <w:bodyDiv w:val="1"/>
      <w:marLeft w:val="0"/>
      <w:marRight w:val="0"/>
      <w:marTop w:val="0"/>
      <w:marBottom w:val="0"/>
      <w:divBdr>
        <w:top w:val="none" w:sz="0" w:space="0" w:color="auto"/>
        <w:left w:val="none" w:sz="0" w:space="0" w:color="auto"/>
        <w:bottom w:val="none" w:sz="0" w:space="0" w:color="auto"/>
        <w:right w:val="none" w:sz="0" w:space="0" w:color="auto"/>
      </w:divBdr>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781866">
      <w:bodyDiv w:val="1"/>
      <w:marLeft w:val="0"/>
      <w:marRight w:val="0"/>
      <w:marTop w:val="0"/>
      <w:marBottom w:val="0"/>
      <w:divBdr>
        <w:top w:val="none" w:sz="0" w:space="0" w:color="auto"/>
        <w:left w:val="none" w:sz="0" w:space="0" w:color="auto"/>
        <w:bottom w:val="none" w:sz="0" w:space="0" w:color="auto"/>
        <w:right w:val="none" w:sz="0" w:space="0" w:color="auto"/>
      </w:divBdr>
    </w:div>
    <w:div w:id="1972977794">
      <w:bodyDiv w:val="1"/>
      <w:marLeft w:val="0"/>
      <w:marRight w:val="0"/>
      <w:marTop w:val="0"/>
      <w:marBottom w:val="0"/>
      <w:divBdr>
        <w:top w:val="none" w:sz="0" w:space="0" w:color="auto"/>
        <w:left w:val="none" w:sz="0" w:space="0" w:color="auto"/>
        <w:bottom w:val="none" w:sz="0" w:space="0" w:color="auto"/>
        <w:right w:val="none" w:sz="0" w:space="0" w:color="auto"/>
      </w:divBdr>
    </w:div>
    <w:div w:id="1974289720">
      <w:bodyDiv w:val="1"/>
      <w:marLeft w:val="0"/>
      <w:marRight w:val="0"/>
      <w:marTop w:val="0"/>
      <w:marBottom w:val="0"/>
      <w:divBdr>
        <w:top w:val="none" w:sz="0" w:space="0" w:color="auto"/>
        <w:left w:val="none" w:sz="0" w:space="0" w:color="auto"/>
        <w:bottom w:val="none" w:sz="0" w:space="0" w:color="auto"/>
        <w:right w:val="none" w:sz="0" w:space="0" w:color="auto"/>
      </w:divBdr>
    </w:div>
    <w:div w:id="1984193611">
      <w:bodyDiv w:val="1"/>
      <w:marLeft w:val="0"/>
      <w:marRight w:val="0"/>
      <w:marTop w:val="0"/>
      <w:marBottom w:val="0"/>
      <w:divBdr>
        <w:top w:val="none" w:sz="0" w:space="0" w:color="auto"/>
        <w:left w:val="none" w:sz="0" w:space="0" w:color="auto"/>
        <w:bottom w:val="none" w:sz="0" w:space="0" w:color="auto"/>
        <w:right w:val="none" w:sz="0" w:space="0" w:color="auto"/>
      </w:divBdr>
    </w:div>
    <w:div w:id="1986012193">
      <w:bodyDiv w:val="1"/>
      <w:marLeft w:val="0"/>
      <w:marRight w:val="0"/>
      <w:marTop w:val="0"/>
      <w:marBottom w:val="0"/>
      <w:divBdr>
        <w:top w:val="none" w:sz="0" w:space="0" w:color="auto"/>
        <w:left w:val="none" w:sz="0" w:space="0" w:color="auto"/>
        <w:bottom w:val="none" w:sz="0" w:space="0" w:color="auto"/>
        <w:right w:val="none" w:sz="0" w:space="0" w:color="auto"/>
      </w:divBdr>
    </w:div>
    <w:div w:id="1991009428">
      <w:bodyDiv w:val="1"/>
      <w:marLeft w:val="0"/>
      <w:marRight w:val="0"/>
      <w:marTop w:val="0"/>
      <w:marBottom w:val="0"/>
      <w:divBdr>
        <w:top w:val="none" w:sz="0" w:space="0" w:color="auto"/>
        <w:left w:val="none" w:sz="0" w:space="0" w:color="auto"/>
        <w:bottom w:val="none" w:sz="0" w:space="0" w:color="auto"/>
        <w:right w:val="none" w:sz="0" w:space="0" w:color="auto"/>
      </w:divBdr>
    </w:div>
    <w:div w:id="1997220649">
      <w:bodyDiv w:val="1"/>
      <w:marLeft w:val="0"/>
      <w:marRight w:val="0"/>
      <w:marTop w:val="0"/>
      <w:marBottom w:val="0"/>
      <w:divBdr>
        <w:top w:val="none" w:sz="0" w:space="0" w:color="auto"/>
        <w:left w:val="none" w:sz="0" w:space="0" w:color="auto"/>
        <w:bottom w:val="none" w:sz="0" w:space="0" w:color="auto"/>
        <w:right w:val="none" w:sz="0" w:space="0" w:color="auto"/>
      </w:divBdr>
    </w:div>
    <w:div w:id="199768186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04317093">
      <w:bodyDiv w:val="1"/>
      <w:marLeft w:val="0"/>
      <w:marRight w:val="0"/>
      <w:marTop w:val="0"/>
      <w:marBottom w:val="0"/>
      <w:divBdr>
        <w:top w:val="none" w:sz="0" w:space="0" w:color="auto"/>
        <w:left w:val="none" w:sz="0" w:space="0" w:color="auto"/>
        <w:bottom w:val="none" w:sz="0" w:space="0" w:color="auto"/>
        <w:right w:val="none" w:sz="0" w:space="0" w:color="auto"/>
      </w:divBdr>
    </w:div>
    <w:div w:id="2007123926">
      <w:bodyDiv w:val="1"/>
      <w:marLeft w:val="0"/>
      <w:marRight w:val="0"/>
      <w:marTop w:val="0"/>
      <w:marBottom w:val="0"/>
      <w:divBdr>
        <w:top w:val="none" w:sz="0" w:space="0" w:color="auto"/>
        <w:left w:val="none" w:sz="0" w:space="0" w:color="auto"/>
        <w:bottom w:val="none" w:sz="0" w:space="0" w:color="auto"/>
        <w:right w:val="none" w:sz="0" w:space="0" w:color="auto"/>
      </w:divBdr>
    </w:div>
    <w:div w:id="2008054601">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14918621">
      <w:bodyDiv w:val="1"/>
      <w:marLeft w:val="0"/>
      <w:marRight w:val="0"/>
      <w:marTop w:val="0"/>
      <w:marBottom w:val="0"/>
      <w:divBdr>
        <w:top w:val="none" w:sz="0" w:space="0" w:color="auto"/>
        <w:left w:val="none" w:sz="0" w:space="0" w:color="auto"/>
        <w:bottom w:val="none" w:sz="0" w:space="0" w:color="auto"/>
        <w:right w:val="none" w:sz="0" w:space="0" w:color="auto"/>
      </w:divBdr>
    </w:div>
    <w:div w:id="2020279561">
      <w:bodyDiv w:val="1"/>
      <w:marLeft w:val="0"/>
      <w:marRight w:val="0"/>
      <w:marTop w:val="0"/>
      <w:marBottom w:val="0"/>
      <w:divBdr>
        <w:top w:val="none" w:sz="0" w:space="0" w:color="auto"/>
        <w:left w:val="none" w:sz="0" w:space="0" w:color="auto"/>
        <w:bottom w:val="none" w:sz="0" w:space="0" w:color="auto"/>
        <w:right w:val="none" w:sz="0" w:space="0" w:color="auto"/>
      </w:divBdr>
      <w:divsChild>
        <w:div w:id="1878276527">
          <w:marLeft w:val="0"/>
          <w:marRight w:val="0"/>
          <w:marTop w:val="0"/>
          <w:marBottom w:val="0"/>
          <w:divBdr>
            <w:top w:val="none" w:sz="0" w:space="0" w:color="auto"/>
            <w:left w:val="none" w:sz="0" w:space="0" w:color="auto"/>
            <w:bottom w:val="none" w:sz="0" w:space="0" w:color="auto"/>
            <w:right w:val="none" w:sz="0" w:space="0" w:color="auto"/>
          </w:divBdr>
        </w:div>
      </w:divsChild>
    </w:div>
    <w:div w:id="2024553784">
      <w:bodyDiv w:val="1"/>
      <w:marLeft w:val="0"/>
      <w:marRight w:val="0"/>
      <w:marTop w:val="0"/>
      <w:marBottom w:val="0"/>
      <w:divBdr>
        <w:top w:val="none" w:sz="0" w:space="0" w:color="auto"/>
        <w:left w:val="none" w:sz="0" w:space="0" w:color="auto"/>
        <w:bottom w:val="none" w:sz="0" w:space="0" w:color="auto"/>
        <w:right w:val="none" w:sz="0" w:space="0" w:color="auto"/>
      </w:divBdr>
    </w:div>
    <w:div w:id="2035576163">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7150926">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 w:id="2047638379">
      <w:bodyDiv w:val="1"/>
      <w:marLeft w:val="0"/>
      <w:marRight w:val="0"/>
      <w:marTop w:val="0"/>
      <w:marBottom w:val="0"/>
      <w:divBdr>
        <w:top w:val="none" w:sz="0" w:space="0" w:color="auto"/>
        <w:left w:val="none" w:sz="0" w:space="0" w:color="auto"/>
        <w:bottom w:val="none" w:sz="0" w:space="0" w:color="auto"/>
        <w:right w:val="none" w:sz="0" w:space="0" w:color="auto"/>
      </w:divBdr>
    </w:div>
    <w:div w:id="2047833600">
      <w:bodyDiv w:val="1"/>
      <w:marLeft w:val="0"/>
      <w:marRight w:val="0"/>
      <w:marTop w:val="0"/>
      <w:marBottom w:val="0"/>
      <w:divBdr>
        <w:top w:val="none" w:sz="0" w:space="0" w:color="auto"/>
        <w:left w:val="none" w:sz="0" w:space="0" w:color="auto"/>
        <w:bottom w:val="none" w:sz="0" w:space="0" w:color="auto"/>
        <w:right w:val="none" w:sz="0" w:space="0" w:color="auto"/>
      </w:divBdr>
    </w:div>
    <w:div w:id="2052873079">
      <w:bodyDiv w:val="1"/>
      <w:marLeft w:val="0"/>
      <w:marRight w:val="0"/>
      <w:marTop w:val="0"/>
      <w:marBottom w:val="0"/>
      <w:divBdr>
        <w:top w:val="none" w:sz="0" w:space="0" w:color="auto"/>
        <w:left w:val="none" w:sz="0" w:space="0" w:color="auto"/>
        <w:bottom w:val="none" w:sz="0" w:space="0" w:color="auto"/>
        <w:right w:val="none" w:sz="0" w:space="0" w:color="auto"/>
      </w:divBdr>
    </w:div>
    <w:div w:id="2058780194">
      <w:bodyDiv w:val="1"/>
      <w:marLeft w:val="0"/>
      <w:marRight w:val="0"/>
      <w:marTop w:val="0"/>
      <w:marBottom w:val="0"/>
      <w:divBdr>
        <w:top w:val="none" w:sz="0" w:space="0" w:color="auto"/>
        <w:left w:val="none" w:sz="0" w:space="0" w:color="auto"/>
        <w:bottom w:val="none" w:sz="0" w:space="0" w:color="auto"/>
        <w:right w:val="none" w:sz="0" w:space="0" w:color="auto"/>
      </w:divBdr>
    </w:div>
    <w:div w:id="2066443352">
      <w:bodyDiv w:val="1"/>
      <w:marLeft w:val="0"/>
      <w:marRight w:val="0"/>
      <w:marTop w:val="0"/>
      <w:marBottom w:val="0"/>
      <w:divBdr>
        <w:top w:val="none" w:sz="0" w:space="0" w:color="auto"/>
        <w:left w:val="none" w:sz="0" w:space="0" w:color="auto"/>
        <w:bottom w:val="none" w:sz="0" w:space="0" w:color="auto"/>
        <w:right w:val="none" w:sz="0" w:space="0" w:color="auto"/>
      </w:divBdr>
    </w:div>
    <w:div w:id="2068064551">
      <w:bodyDiv w:val="1"/>
      <w:marLeft w:val="0"/>
      <w:marRight w:val="0"/>
      <w:marTop w:val="0"/>
      <w:marBottom w:val="0"/>
      <w:divBdr>
        <w:top w:val="none" w:sz="0" w:space="0" w:color="auto"/>
        <w:left w:val="none" w:sz="0" w:space="0" w:color="auto"/>
        <w:bottom w:val="none" w:sz="0" w:space="0" w:color="auto"/>
        <w:right w:val="none" w:sz="0" w:space="0" w:color="auto"/>
      </w:divBdr>
    </w:div>
    <w:div w:id="2076394623">
      <w:bodyDiv w:val="1"/>
      <w:marLeft w:val="0"/>
      <w:marRight w:val="0"/>
      <w:marTop w:val="0"/>
      <w:marBottom w:val="0"/>
      <w:divBdr>
        <w:top w:val="none" w:sz="0" w:space="0" w:color="auto"/>
        <w:left w:val="none" w:sz="0" w:space="0" w:color="auto"/>
        <w:bottom w:val="none" w:sz="0" w:space="0" w:color="auto"/>
        <w:right w:val="none" w:sz="0" w:space="0" w:color="auto"/>
      </w:divBdr>
    </w:div>
    <w:div w:id="2078746464">
      <w:bodyDiv w:val="1"/>
      <w:marLeft w:val="0"/>
      <w:marRight w:val="0"/>
      <w:marTop w:val="0"/>
      <w:marBottom w:val="0"/>
      <w:divBdr>
        <w:top w:val="none" w:sz="0" w:space="0" w:color="auto"/>
        <w:left w:val="none" w:sz="0" w:space="0" w:color="auto"/>
        <w:bottom w:val="none" w:sz="0" w:space="0" w:color="auto"/>
        <w:right w:val="none" w:sz="0" w:space="0" w:color="auto"/>
      </w:divBdr>
    </w:div>
    <w:div w:id="2080518875">
      <w:bodyDiv w:val="1"/>
      <w:marLeft w:val="0"/>
      <w:marRight w:val="0"/>
      <w:marTop w:val="0"/>
      <w:marBottom w:val="0"/>
      <w:divBdr>
        <w:top w:val="none" w:sz="0" w:space="0" w:color="auto"/>
        <w:left w:val="none" w:sz="0" w:space="0" w:color="auto"/>
        <w:bottom w:val="none" w:sz="0" w:space="0" w:color="auto"/>
        <w:right w:val="none" w:sz="0" w:space="0" w:color="auto"/>
      </w:divBdr>
    </w:div>
    <w:div w:id="2086418472">
      <w:bodyDiv w:val="1"/>
      <w:marLeft w:val="0"/>
      <w:marRight w:val="0"/>
      <w:marTop w:val="0"/>
      <w:marBottom w:val="0"/>
      <w:divBdr>
        <w:top w:val="none" w:sz="0" w:space="0" w:color="auto"/>
        <w:left w:val="none" w:sz="0" w:space="0" w:color="auto"/>
        <w:bottom w:val="none" w:sz="0" w:space="0" w:color="auto"/>
        <w:right w:val="none" w:sz="0" w:space="0" w:color="auto"/>
      </w:divBdr>
    </w:div>
    <w:div w:id="2087722677">
      <w:bodyDiv w:val="1"/>
      <w:marLeft w:val="0"/>
      <w:marRight w:val="0"/>
      <w:marTop w:val="0"/>
      <w:marBottom w:val="0"/>
      <w:divBdr>
        <w:top w:val="none" w:sz="0" w:space="0" w:color="auto"/>
        <w:left w:val="none" w:sz="0" w:space="0" w:color="auto"/>
        <w:bottom w:val="none" w:sz="0" w:space="0" w:color="auto"/>
        <w:right w:val="none" w:sz="0" w:space="0" w:color="auto"/>
      </w:divBdr>
    </w:div>
    <w:div w:id="2087797276">
      <w:bodyDiv w:val="1"/>
      <w:marLeft w:val="0"/>
      <w:marRight w:val="0"/>
      <w:marTop w:val="0"/>
      <w:marBottom w:val="0"/>
      <w:divBdr>
        <w:top w:val="none" w:sz="0" w:space="0" w:color="auto"/>
        <w:left w:val="none" w:sz="0" w:space="0" w:color="auto"/>
        <w:bottom w:val="none" w:sz="0" w:space="0" w:color="auto"/>
        <w:right w:val="none" w:sz="0" w:space="0" w:color="auto"/>
      </w:divBdr>
    </w:div>
    <w:div w:id="2088576114">
      <w:bodyDiv w:val="1"/>
      <w:marLeft w:val="0"/>
      <w:marRight w:val="0"/>
      <w:marTop w:val="0"/>
      <w:marBottom w:val="0"/>
      <w:divBdr>
        <w:top w:val="none" w:sz="0" w:space="0" w:color="auto"/>
        <w:left w:val="none" w:sz="0" w:space="0" w:color="auto"/>
        <w:bottom w:val="none" w:sz="0" w:space="0" w:color="auto"/>
        <w:right w:val="none" w:sz="0" w:space="0" w:color="auto"/>
      </w:divBdr>
    </w:div>
    <w:div w:id="2089885212">
      <w:bodyDiv w:val="1"/>
      <w:marLeft w:val="0"/>
      <w:marRight w:val="0"/>
      <w:marTop w:val="0"/>
      <w:marBottom w:val="0"/>
      <w:divBdr>
        <w:top w:val="none" w:sz="0" w:space="0" w:color="auto"/>
        <w:left w:val="none" w:sz="0" w:space="0" w:color="auto"/>
        <w:bottom w:val="none" w:sz="0" w:space="0" w:color="auto"/>
        <w:right w:val="none" w:sz="0" w:space="0" w:color="auto"/>
      </w:divBdr>
    </w:div>
    <w:div w:id="2092576419">
      <w:bodyDiv w:val="1"/>
      <w:marLeft w:val="0"/>
      <w:marRight w:val="0"/>
      <w:marTop w:val="0"/>
      <w:marBottom w:val="0"/>
      <w:divBdr>
        <w:top w:val="none" w:sz="0" w:space="0" w:color="auto"/>
        <w:left w:val="none" w:sz="0" w:space="0" w:color="auto"/>
        <w:bottom w:val="none" w:sz="0" w:space="0" w:color="auto"/>
        <w:right w:val="none" w:sz="0" w:space="0" w:color="auto"/>
      </w:divBdr>
    </w:div>
    <w:div w:id="2097051941">
      <w:bodyDiv w:val="1"/>
      <w:marLeft w:val="0"/>
      <w:marRight w:val="0"/>
      <w:marTop w:val="0"/>
      <w:marBottom w:val="0"/>
      <w:divBdr>
        <w:top w:val="none" w:sz="0" w:space="0" w:color="auto"/>
        <w:left w:val="none" w:sz="0" w:space="0" w:color="auto"/>
        <w:bottom w:val="none" w:sz="0" w:space="0" w:color="auto"/>
        <w:right w:val="none" w:sz="0" w:space="0" w:color="auto"/>
      </w:divBdr>
    </w:div>
    <w:div w:id="2111583878">
      <w:bodyDiv w:val="1"/>
      <w:marLeft w:val="0"/>
      <w:marRight w:val="0"/>
      <w:marTop w:val="0"/>
      <w:marBottom w:val="0"/>
      <w:divBdr>
        <w:top w:val="none" w:sz="0" w:space="0" w:color="auto"/>
        <w:left w:val="none" w:sz="0" w:space="0" w:color="auto"/>
        <w:bottom w:val="none" w:sz="0" w:space="0" w:color="auto"/>
        <w:right w:val="none" w:sz="0" w:space="0" w:color="auto"/>
      </w:divBdr>
    </w:div>
    <w:div w:id="2114082707">
      <w:bodyDiv w:val="1"/>
      <w:marLeft w:val="0"/>
      <w:marRight w:val="0"/>
      <w:marTop w:val="0"/>
      <w:marBottom w:val="0"/>
      <w:divBdr>
        <w:top w:val="none" w:sz="0" w:space="0" w:color="auto"/>
        <w:left w:val="none" w:sz="0" w:space="0" w:color="auto"/>
        <w:bottom w:val="none" w:sz="0" w:space="0" w:color="auto"/>
        <w:right w:val="none" w:sz="0" w:space="0" w:color="auto"/>
      </w:divBdr>
    </w:div>
    <w:div w:id="2116175007">
      <w:bodyDiv w:val="1"/>
      <w:marLeft w:val="0"/>
      <w:marRight w:val="0"/>
      <w:marTop w:val="0"/>
      <w:marBottom w:val="0"/>
      <w:divBdr>
        <w:top w:val="none" w:sz="0" w:space="0" w:color="auto"/>
        <w:left w:val="none" w:sz="0" w:space="0" w:color="auto"/>
        <w:bottom w:val="none" w:sz="0" w:space="0" w:color="auto"/>
        <w:right w:val="none" w:sz="0" w:space="0" w:color="auto"/>
      </w:divBdr>
    </w:div>
    <w:div w:id="2116900903">
      <w:bodyDiv w:val="1"/>
      <w:marLeft w:val="0"/>
      <w:marRight w:val="0"/>
      <w:marTop w:val="0"/>
      <w:marBottom w:val="0"/>
      <w:divBdr>
        <w:top w:val="none" w:sz="0" w:space="0" w:color="auto"/>
        <w:left w:val="none" w:sz="0" w:space="0" w:color="auto"/>
        <w:bottom w:val="none" w:sz="0" w:space="0" w:color="auto"/>
        <w:right w:val="none" w:sz="0" w:space="0" w:color="auto"/>
      </w:divBdr>
    </w:div>
    <w:div w:id="2119831037">
      <w:bodyDiv w:val="1"/>
      <w:marLeft w:val="0"/>
      <w:marRight w:val="0"/>
      <w:marTop w:val="0"/>
      <w:marBottom w:val="0"/>
      <w:divBdr>
        <w:top w:val="none" w:sz="0" w:space="0" w:color="auto"/>
        <w:left w:val="none" w:sz="0" w:space="0" w:color="auto"/>
        <w:bottom w:val="none" w:sz="0" w:space="0" w:color="auto"/>
        <w:right w:val="none" w:sz="0" w:space="0" w:color="auto"/>
      </w:divBdr>
    </w:div>
    <w:div w:id="2120877809">
      <w:bodyDiv w:val="1"/>
      <w:marLeft w:val="0"/>
      <w:marRight w:val="0"/>
      <w:marTop w:val="0"/>
      <w:marBottom w:val="0"/>
      <w:divBdr>
        <w:top w:val="none" w:sz="0" w:space="0" w:color="auto"/>
        <w:left w:val="none" w:sz="0" w:space="0" w:color="auto"/>
        <w:bottom w:val="none" w:sz="0" w:space="0" w:color="auto"/>
        <w:right w:val="none" w:sz="0" w:space="0" w:color="auto"/>
      </w:divBdr>
    </w:div>
    <w:div w:id="2135246247">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 w:id="2139568823">
      <w:bodyDiv w:val="1"/>
      <w:marLeft w:val="0"/>
      <w:marRight w:val="0"/>
      <w:marTop w:val="0"/>
      <w:marBottom w:val="0"/>
      <w:divBdr>
        <w:top w:val="none" w:sz="0" w:space="0" w:color="auto"/>
        <w:left w:val="none" w:sz="0" w:space="0" w:color="auto"/>
        <w:bottom w:val="none" w:sz="0" w:space="0" w:color="auto"/>
        <w:right w:val="none" w:sz="0" w:space="0" w:color="auto"/>
      </w:divBdr>
    </w:div>
    <w:div w:id="2146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fontTable" Target="fontTable.xml"/><Relationship Id="rId21" Type="http://schemas.openxmlformats.org/officeDocument/2006/relationships/chart" Target="charts/chart10.xml"/><Relationship Id="rId34" Type="http://schemas.openxmlformats.org/officeDocument/2006/relationships/hyperlink" Target="https://www.iosco.org/news/pdf/IOSCONEWS574.pdf" TargetMode="Externa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6.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ulletin@sebi.gov.in" TargetMode="External"/><Relationship Id="rId24" Type="http://schemas.openxmlformats.org/officeDocument/2006/relationships/chart" Target="charts/chart13.xml"/><Relationship Id="rId32" Type="http://schemas.openxmlformats.org/officeDocument/2006/relationships/image" Target="media/image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1.png"/><Relationship Id="rId36" Type="http://schemas.openxmlformats.org/officeDocument/2006/relationships/header" Target="header2.xml"/><Relationship Id="rId10" Type="http://schemas.openxmlformats.org/officeDocument/2006/relationships/hyperlink" Target="http://www.sebi.gov.in" TargetMode="External"/><Relationship Id="rId19" Type="http://schemas.openxmlformats.org/officeDocument/2006/relationships/chart" Target="charts/chart8.xml"/><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3.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snap\sebi_backup_data\Akriti\2020-21\Capital%20market%20review\September\CMR%20Excel%20September%202020.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snap\sebi_backup_data\Akriti\2020-21\Capital%20market%20review\September\CMR%20Excel%20September%202020.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snap\sebi_backup_data\Akriti\2020-21\Capital%20market%20review\September\CMR%20Excel%20September%20202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snap\sebi_backup_data\Akriti\2020-21\Capital%20market%20review\September\CMR%20Excel%20September%202020.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D:\snap\sebi_backup_data\Akriti\2020-21\Capital%20market%20review\September\CMR%20Excel%20September%20202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Saurabh\Desktop\Bulletin%20-Aug.%202020\Graphs%20%20data%20for%20bulletin%20Aug.%20%202020%20(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2201\Desktop\Month-wise%20Bulletin\Bulletin%20Jan.2020%20to%20Dec.%202020\Aug.2020\Graphs%20%20data%20for%20bulletin%20Aug.%20%202020%20(1).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2201\Desktop\Graphs%20%20data%20for%20bulletin%20Aug.%20%202020.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snap\sebi_backup_data\Akriti\2020-21\Capital%20market%20review\September\CMR%20Excel%20September%2020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snap\sebi_backup_data\Akriti\2020-21\Capital%20market%20review\September\CMR%20Excel%20September%2020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snap\sebi_backup_data\Akriti\2020-21\Capital%20market%20review\September\CMR%20Excel%20September%20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snap\sebi_backup_data\Akriti\2020-21\Capital%20market%20review\September\CMR%20Excel%20September%202020.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snap\sebi_backup_data\Akriti\2020-21\Capital%20market%20review\September\CMR%20Excel%20September%20202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snap\sebi_backup_data\Akriti\2020-21\Capital%20market%20review\September\CMR%20Excel%20September%20202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snap\sebi_backup_data\Akriti\2020-21\Capital%20market%20review\September\CMR%20Excel%20September%20202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snap\sebi_backup_data\Akriti\2020-21\Capital%20market%20review\September\CMR%20Excel%20September%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794249182539336E-2"/>
          <c:y val="0.12940443420182232"/>
          <c:w val="0.83340322683128298"/>
          <c:h val="0.61323090711222072"/>
        </c:manualLayout>
      </c:layout>
      <c:line3DChart>
        <c:grouping val="standard"/>
        <c:varyColors val="0"/>
        <c:ser>
          <c:idx val="0"/>
          <c:order val="0"/>
          <c:tx>
            <c:strRef>
              <c:f>'F1'!$D$1</c:f>
              <c:strCache>
                <c:ptCount val="1"/>
                <c:pt idx="0">
                  <c:v>Nifty 50 </c:v>
                </c:pt>
              </c:strCache>
            </c:strRef>
          </c:tx>
          <c:spPr>
            <a:solidFill>
              <a:schemeClr val="accent1"/>
            </a:solidFill>
            <a:ln>
              <a:noFill/>
            </a:ln>
            <a:effectLst/>
            <a:sp3d/>
          </c:spPr>
          <c:cat>
            <c:numRef>
              <c:f>'F1'!$A$2:$A$24</c:f>
              <c:numCache>
                <c:formatCode>d\-mmm\-yy</c:formatCode>
                <c:ptCount val="23"/>
                <c:pt idx="0">
                  <c:v>44046</c:v>
                </c:pt>
                <c:pt idx="1">
                  <c:v>44047</c:v>
                </c:pt>
                <c:pt idx="2">
                  <c:v>44048</c:v>
                </c:pt>
                <c:pt idx="3">
                  <c:v>44049</c:v>
                </c:pt>
                <c:pt idx="4">
                  <c:v>44050</c:v>
                </c:pt>
                <c:pt idx="5">
                  <c:v>44053</c:v>
                </c:pt>
                <c:pt idx="6">
                  <c:v>44054</c:v>
                </c:pt>
                <c:pt idx="7">
                  <c:v>44055</c:v>
                </c:pt>
                <c:pt idx="8">
                  <c:v>44056</c:v>
                </c:pt>
                <c:pt idx="9">
                  <c:v>44057</c:v>
                </c:pt>
                <c:pt idx="10">
                  <c:v>44060</c:v>
                </c:pt>
                <c:pt idx="11">
                  <c:v>44061</c:v>
                </c:pt>
                <c:pt idx="12">
                  <c:v>44062</c:v>
                </c:pt>
                <c:pt idx="13">
                  <c:v>44063</c:v>
                </c:pt>
                <c:pt idx="14">
                  <c:v>44064</c:v>
                </c:pt>
                <c:pt idx="15">
                  <c:v>44067</c:v>
                </c:pt>
                <c:pt idx="16">
                  <c:v>44068</c:v>
                </c:pt>
                <c:pt idx="17">
                  <c:v>44069</c:v>
                </c:pt>
                <c:pt idx="18">
                  <c:v>44070</c:v>
                </c:pt>
                <c:pt idx="19">
                  <c:v>44071</c:v>
                </c:pt>
                <c:pt idx="20">
                  <c:v>44074</c:v>
                </c:pt>
              </c:numCache>
            </c:numRef>
          </c:cat>
          <c:val>
            <c:numRef>
              <c:f>'F1'!$D$2:$D$24</c:f>
              <c:numCache>
                <c:formatCode>0.0</c:formatCode>
                <c:ptCount val="23"/>
                <c:pt idx="0">
                  <c:v>100</c:v>
                </c:pt>
                <c:pt idx="1">
                  <c:v>101.86978956259868</c:v>
                </c:pt>
                <c:pt idx="2">
                  <c:v>101.92855044254286</c:v>
                </c:pt>
                <c:pt idx="3">
                  <c:v>102.83291711043371</c:v>
                </c:pt>
                <c:pt idx="4">
                  <c:v>102.96053839656247</c:v>
                </c:pt>
                <c:pt idx="5">
                  <c:v>103.47561423482315</c:v>
                </c:pt>
                <c:pt idx="6">
                  <c:v>103.95625986999156</c:v>
                </c:pt>
                <c:pt idx="7">
                  <c:v>103.82680230636453</c:v>
                </c:pt>
                <c:pt idx="8">
                  <c:v>103.75381027580889</c:v>
                </c:pt>
                <c:pt idx="9">
                  <c:v>102.63322193249844</c:v>
                </c:pt>
                <c:pt idx="10">
                  <c:v>103.26398325314922</c:v>
                </c:pt>
                <c:pt idx="11">
                  <c:v>104.53331007381837</c:v>
                </c:pt>
                <c:pt idx="12">
                  <c:v>104.74494105549232</c:v>
                </c:pt>
                <c:pt idx="13">
                  <c:v>103.86169157883141</c:v>
                </c:pt>
                <c:pt idx="14">
                  <c:v>104.40706599581331</c:v>
                </c:pt>
                <c:pt idx="15">
                  <c:v>105.277920599361</c:v>
                </c:pt>
                <c:pt idx="16">
                  <c:v>105.33117264681042</c:v>
                </c:pt>
                <c:pt idx="17">
                  <c:v>106.04135296926074</c:v>
                </c:pt>
                <c:pt idx="18">
                  <c:v>106.12995335855157</c:v>
                </c:pt>
                <c:pt idx="19">
                  <c:v>106.94112894340596</c:v>
                </c:pt>
                <c:pt idx="20">
                  <c:v>104.55305005692463</c:v>
                </c:pt>
              </c:numCache>
            </c:numRef>
          </c:val>
          <c:smooth val="0"/>
          <c:extLst>
            <c:ext xmlns:c16="http://schemas.microsoft.com/office/drawing/2014/chart" uri="{C3380CC4-5D6E-409C-BE32-E72D297353CC}">
              <c16:uniqueId val="{00000000-38C2-4D17-9F60-1589BD8CA7CE}"/>
            </c:ext>
          </c:extLst>
        </c:ser>
        <c:ser>
          <c:idx val="1"/>
          <c:order val="1"/>
          <c:tx>
            <c:strRef>
              <c:f>'F1'!$E$1</c:f>
              <c:strCache>
                <c:ptCount val="1"/>
                <c:pt idx="0">
                  <c:v>S&amp;P BSE Sensex </c:v>
                </c:pt>
              </c:strCache>
            </c:strRef>
          </c:tx>
          <c:spPr>
            <a:solidFill>
              <a:schemeClr val="accent2"/>
            </a:solidFill>
            <a:ln>
              <a:noFill/>
            </a:ln>
            <a:effectLst/>
            <a:sp3d/>
          </c:spPr>
          <c:cat>
            <c:numRef>
              <c:f>'F1'!$A$2:$A$24</c:f>
              <c:numCache>
                <c:formatCode>d\-mmm\-yy</c:formatCode>
                <c:ptCount val="23"/>
                <c:pt idx="0">
                  <c:v>44046</c:v>
                </c:pt>
                <c:pt idx="1">
                  <c:v>44047</c:v>
                </c:pt>
                <c:pt idx="2">
                  <c:v>44048</c:v>
                </c:pt>
                <c:pt idx="3">
                  <c:v>44049</c:v>
                </c:pt>
                <c:pt idx="4">
                  <c:v>44050</c:v>
                </c:pt>
                <c:pt idx="5">
                  <c:v>44053</c:v>
                </c:pt>
                <c:pt idx="6">
                  <c:v>44054</c:v>
                </c:pt>
                <c:pt idx="7">
                  <c:v>44055</c:v>
                </c:pt>
                <c:pt idx="8">
                  <c:v>44056</c:v>
                </c:pt>
                <c:pt idx="9">
                  <c:v>44057</c:v>
                </c:pt>
                <c:pt idx="10">
                  <c:v>44060</c:v>
                </c:pt>
                <c:pt idx="11">
                  <c:v>44061</c:v>
                </c:pt>
                <c:pt idx="12">
                  <c:v>44062</c:v>
                </c:pt>
                <c:pt idx="13">
                  <c:v>44063</c:v>
                </c:pt>
                <c:pt idx="14">
                  <c:v>44064</c:v>
                </c:pt>
                <c:pt idx="15">
                  <c:v>44067</c:v>
                </c:pt>
                <c:pt idx="16">
                  <c:v>44068</c:v>
                </c:pt>
                <c:pt idx="17">
                  <c:v>44069</c:v>
                </c:pt>
                <c:pt idx="18">
                  <c:v>44070</c:v>
                </c:pt>
                <c:pt idx="19">
                  <c:v>44071</c:v>
                </c:pt>
                <c:pt idx="20">
                  <c:v>44074</c:v>
                </c:pt>
              </c:numCache>
            </c:numRef>
          </c:cat>
          <c:val>
            <c:numRef>
              <c:f>'F1'!$E$2:$E$24</c:f>
              <c:numCache>
                <c:formatCode>0.0</c:formatCode>
                <c:ptCount val="23"/>
                <c:pt idx="0" formatCode="0">
                  <c:v>100</c:v>
                </c:pt>
                <c:pt idx="1">
                  <c:v>102.02576638620886</c:v>
                </c:pt>
                <c:pt idx="2">
                  <c:v>101.95922532999818</c:v>
                </c:pt>
                <c:pt idx="3">
                  <c:v>102.93952831108079</c:v>
                </c:pt>
                <c:pt idx="4">
                  <c:v>102.98045999415262</c:v>
                </c:pt>
                <c:pt idx="5">
                  <c:v>103.36354481369588</c:v>
                </c:pt>
                <c:pt idx="6">
                  <c:v>103.9724577418272</c:v>
                </c:pt>
                <c:pt idx="7">
                  <c:v>103.87126552534406</c:v>
                </c:pt>
                <c:pt idx="8">
                  <c:v>103.71116633639778</c:v>
                </c:pt>
                <c:pt idx="9">
                  <c:v>102.53857648702204</c:v>
                </c:pt>
                <c:pt idx="10">
                  <c:v>103.00809970871367</c:v>
                </c:pt>
                <c:pt idx="11">
                  <c:v>104.30085869906549</c:v>
                </c:pt>
                <c:pt idx="12">
                  <c:v>104.53494352943723</c:v>
                </c:pt>
                <c:pt idx="13">
                  <c:v>103.46725465354251</c:v>
                </c:pt>
                <c:pt idx="14">
                  <c:v>104.04747208957323</c:v>
                </c:pt>
                <c:pt idx="15">
                  <c:v>105.03383902370354</c:v>
                </c:pt>
                <c:pt idx="16">
                  <c:v>105.15511808465708</c:v>
                </c:pt>
                <c:pt idx="17">
                  <c:v>105.77786440567841</c:v>
                </c:pt>
                <c:pt idx="18">
                  <c:v>105.88493107667649</c:v>
                </c:pt>
                <c:pt idx="19">
                  <c:v>106.84281908845789</c:v>
                </c:pt>
                <c:pt idx="20">
                  <c:v>104.57148967503707</c:v>
                </c:pt>
              </c:numCache>
            </c:numRef>
          </c:val>
          <c:smooth val="0"/>
          <c:extLst>
            <c:ext xmlns:c16="http://schemas.microsoft.com/office/drawing/2014/chart" uri="{C3380CC4-5D6E-409C-BE32-E72D297353CC}">
              <c16:uniqueId val="{00000001-38C2-4D17-9F60-1589BD8CA7CE}"/>
            </c:ext>
          </c:extLst>
        </c:ser>
        <c:dLbls>
          <c:showLegendKey val="0"/>
          <c:showVal val="0"/>
          <c:showCatName val="0"/>
          <c:showSerName val="0"/>
          <c:showPercent val="0"/>
          <c:showBubbleSize val="0"/>
        </c:dLbls>
        <c:axId val="482369728"/>
        <c:axId val="482366200"/>
        <c:axId val="481988600"/>
      </c:line3DChart>
      <c:dateAx>
        <c:axId val="482369728"/>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82366200"/>
        <c:crosses val="autoZero"/>
        <c:auto val="1"/>
        <c:lblOffset val="100"/>
        <c:baseTimeUnit val="days"/>
        <c:majorUnit val="1"/>
        <c:majorTimeUnit val="days"/>
      </c:dateAx>
      <c:valAx>
        <c:axId val="482366200"/>
        <c:scaling>
          <c:orientation val="minMax"/>
          <c:max val="110"/>
          <c:min val="9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82369728"/>
        <c:crosses val="autoZero"/>
        <c:crossBetween val="between"/>
        <c:majorUnit val="6"/>
      </c:valAx>
      <c:serAx>
        <c:axId val="481988600"/>
        <c:scaling>
          <c:orientation val="minMax"/>
        </c:scaling>
        <c:delete val="1"/>
        <c:axPos val="b"/>
        <c:majorTickMark val="out"/>
        <c:minorTickMark val="none"/>
        <c:tickLblPos val="nextTo"/>
        <c:crossAx val="482366200"/>
        <c:crosses val="autoZero"/>
      </c:ser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bg1">
          <a:lumMod val="50000"/>
        </a:schemeClr>
      </a:solidFill>
      <a:prstDash val="solid"/>
      <a:round/>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001914253641821E-2"/>
          <c:y val="0.16281381169766232"/>
          <c:w val="0.93251912442983453"/>
          <c:h val="0.53971621567608619"/>
        </c:manualLayout>
      </c:layout>
      <c:barChart>
        <c:barDir val="col"/>
        <c:grouping val="clustered"/>
        <c:varyColors val="0"/>
        <c:ser>
          <c:idx val="0"/>
          <c:order val="0"/>
          <c:tx>
            <c:strRef>
              <c:f>'F11'!$B$2</c:f>
              <c:strCache>
                <c:ptCount val="1"/>
                <c:pt idx="0">
                  <c:v>BSE</c:v>
                </c:pt>
              </c:strCache>
            </c:strRef>
          </c:tx>
          <c:spPr>
            <a:solidFill>
              <a:srgbClr val="00B050"/>
            </a:solidFill>
            <a:ln>
              <a:solidFill>
                <a:schemeClr val="accent3">
                  <a:lumMod val="75000"/>
                </a:schemeClr>
              </a:solidFill>
            </a:ln>
          </c:spPr>
          <c:invertIfNegative val="0"/>
          <c:dLbls>
            <c:spPr>
              <a:noFill/>
              <a:ln>
                <a:noFill/>
              </a:ln>
              <a:effectLst/>
            </c:spPr>
            <c:txPr>
              <a:bodyPr rot="-5400000" vert="horz" anchor="ctr" anchorCtr="0"/>
              <a:lstStyle/>
              <a:p>
                <a:pPr>
                  <a:defRPr lang="en-IN" sz="900" b="0">
                    <a:latin typeface="Palatino Linotype" panose="0204050205050503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'F11'!$A$8:$A$19</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'F11'!$B$8:$B$19</c:f>
              <c:numCache>
                <c:formatCode>#,##0;\-#,##0;0</c:formatCode>
                <c:ptCount val="12"/>
                <c:pt idx="0">
                  <c:v>43012.49</c:v>
                </c:pt>
                <c:pt idx="1">
                  <c:v>50077.52</c:v>
                </c:pt>
                <c:pt idx="2">
                  <c:v>51449.47</c:v>
                </c:pt>
                <c:pt idx="3">
                  <c:v>52392.3</c:v>
                </c:pt>
                <c:pt idx="4">
                  <c:v>62925.43</c:v>
                </c:pt>
                <c:pt idx="5">
                  <c:v>63973.440000000002</c:v>
                </c:pt>
                <c:pt idx="6">
                  <c:v>82283.460000000006</c:v>
                </c:pt>
                <c:pt idx="7">
                  <c:v>65285.07</c:v>
                </c:pt>
                <c:pt idx="8">
                  <c:v>64964.767999999996</c:v>
                </c:pt>
                <c:pt idx="9">
                  <c:v>76987.050000000017</c:v>
                </c:pt>
                <c:pt idx="10">
                  <c:v>80074.63</c:v>
                </c:pt>
                <c:pt idx="11">
                  <c:v>53915.519999999997</c:v>
                </c:pt>
              </c:numCache>
            </c:numRef>
          </c:val>
          <c:extLst>
            <c:ext xmlns:c16="http://schemas.microsoft.com/office/drawing/2014/chart" uri="{C3380CC4-5D6E-409C-BE32-E72D297353CC}">
              <c16:uniqueId val="{00000000-FDA8-4DCB-A3D2-921B6C55ED1E}"/>
            </c:ext>
          </c:extLst>
        </c:ser>
        <c:ser>
          <c:idx val="1"/>
          <c:order val="1"/>
          <c:tx>
            <c:strRef>
              <c:f>'F11'!$C$2</c:f>
              <c:strCache>
                <c:ptCount val="1"/>
                <c:pt idx="0">
                  <c:v>NSE</c:v>
                </c:pt>
              </c:strCache>
            </c:strRef>
          </c:tx>
          <c:spPr>
            <a:solidFill>
              <a:srgbClr val="FF0000"/>
            </a:solidFill>
          </c:spPr>
          <c:invertIfNegative val="0"/>
          <c:dLbls>
            <c:spPr>
              <a:noFill/>
              <a:ln>
                <a:noFill/>
              </a:ln>
              <a:effectLst/>
            </c:spPr>
            <c:txPr>
              <a:bodyPr rot="-5400000" vert="horz"/>
              <a:lstStyle/>
              <a:p>
                <a:pPr>
                  <a:defRPr lang="en-IN" sz="900" b="0">
                    <a:latin typeface="Palatino Linotype" panose="0204050205050503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'F11'!$A$8:$A$19</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'F11'!$C$8:$C$19</c:f>
              <c:numCache>
                <c:formatCode>0\,00\,000;\-0\,00\,000;0</c:formatCode>
                <c:ptCount val="12"/>
                <c:pt idx="0" formatCode="#,##0;\-#,##0;0">
                  <c:v>97676.84</c:v>
                </c:pt>
                <c:pt idx="1">
                  <c:v>100000.68</c:v>
                </c:pt>
                <c:pt idx="2">
                  <c:v>102471.7</c:v>
                </c:pt>
                <c:pt idx="3" formatCode="#,##0;\-#,##0;0">
                  <c:v>97560.16</c:v>
                </c:pt>
                <c:pt idx="4">
                  <c:v>134635.69</c:v>
                </c:pt>
                <c:pt idx="5">
                  <c:v>119569.31</c:v>
                </c:pt>
                <c:pt idx="6">
                  <c:v>149081.53</c:v>
                </c:pt>
                <c:pt idx="7">
                  <c:v>149229.69</c:v>
                </c:pt>
                <c:pt idx="8">
                  <c:v>131841.63199999998</c:v>
                </c:pt>
                <c:pt idx="9" formatCode="#,##0;\-#,##0;0">
                  <c:v>130256.79</c:v>
                </c:pt>
                <c:pt idx="10" formatCode="#,##0;\-#,##0;0">
                  <c:v>121730.01</c:v>
                </c:pt>
                <c:pt idx="11" formatCode="#,##0;\-#,##0;0">
                  <c:v>89136.44</c:v>
                </c:pt>
              </c:numCache>
            </c:numRef>
          </c:val>
          <c:extLst>
            <c:ext xmlns:c16="http://schemas.microsoft.com/office/drawing/2014/chart" uri="{C3380CC4-5D6E-409C-BE32-E72D297353CC}">
              <c16:uniqueId val="{00000001-FDA8-4DCB-A3D2-921B6C55ED1E}"/>
            </c:ext>
          </c:extLst>
        </c:ser>
        <c:dLbls>
          <c:showLegendKey val="0"/>
          <c:showVal val="0"/>
          <c:showCatName val="0"/>
          <c:showSerName val="0"/>
          <c:showPercent val="0"/>
          <c:showBubbleSize val="0"/>
        </c:dLbls>
        <c:gapWidth val="150"/>
        <c:axId val="484398256"/>
        <c:axId val="484402960"/>
      </c:barChart>
      <c:dateAx>
        <c:axId val="484398256"/>
        <c:scaling>
          <c:orientation val="minMax"/>
        </c:scaling>
        <c:delete val="0"/>
        <c:axPos val="b"/>
        <c:numFmt formatCode="[$-409]mmm\-yy" sourceLinked="1"/>
        <c:majorTickMark val="none"/>
        <c:minorTickMark val="none"/>
        <c:tickLblPos val="nextTo"/>
        <c:txPr>
          <a:bodyPr rot="-5400000" vert="horz"/>
          <a:lstStyle/>
          <a:p>
            <a:pPr>
              <a:defRPr lang="en-IN" sz="900" b="0" cap="none" baseline="0">
                <a:latin typeface="Palatino Linotype" panose="02040502050505030304" pitchFamily="18" charset="0"/>
              </a:defRPr>
            </a:pPr>
            <a:endParaRPr lang="en-US"/>
          </a:p>
        </c:txPr>
        <c:crossAx val="484402960"/>
        <c:crosses val="autoZero"/>
        <c:auto val="1"/>
        <c:lblOffset val="100"/>
        <c:baseTimeUnit val="months"/>
      </c:dateAx>
      <c:valAx>
        <c:axId val="484402960"/>
        <c:scaling>
          <c:orientation val="minMax"/>
        </c:scaling>
        <c:delete val="1"/>
        <c:axPos val="l"/>
        <c:numFmt formatCode="#,##0;\-#,##0;0" sourceLinked="1"/>
        <c:majorTickMark val="out"/>
        <c:minorTickMark val="none"/>
        <c:tickLblPos val="none"/>
        <c:crossAx val="484398256"/>
        <c:crosses val="autoZero"/>
        <c:crossBetween val="between"/>
      </c:valAx>
    </c:plotArea>
    <c:legend>
      <c:legendPos val="b"/>
      <c:layout>
        <c:manualLayout>
          <c:xMode val="edge"/>
          <c:yMode val="edge"/>
          <c:x val="0.41481370554218189"/>
          <c:y val="0.9144460100382189"/>
          <c:w val="0.23932982707201275"/>
          <c:h val="6.8697515018857125E-2"/>
        </c:manualLayout>
      </c:layout>
      <c:overlay val="0"/>
      <c:spPr>
        <a:ln w="3175">
          <a:noFill/>
        </a:ln>
      </c:spPr>
      <c:txPr>
        <a:bodyPr/>
        <a:lstStyle/>
        <a:p>
          <a:pPr>
            <a:defRPr lang="en-IN"/>
          </a:pPr>
          <a:endParaRPr lang="en-US"/>
        </a:p>
      </c:txPr>
    </c:legend>
    <c:plotVisOnly val="1"/>
    <c:dispBlanksAs val="gap"/>
    <c:showDLblsOverMax val="0"/>
  </c:chart>
  <c:spPr>
    <a:ln w="3175">
      <a:solidFill>
        <a:schemeClr val="bg1">
          <a:lumMod val="50000"/>
        </a:schemeClr>
      </a:solidFill>
    </a:ln>
  </c:spPr>
  <c:txPr>
    <a:bodyPr/>
    <a:lstStyle/>
    <a:p>
      <a:pPr>
        <a:defRPr sz="900" b="1" i="0" baseline="0">
          <a:latin typeface="Garamond"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22391732283465E-2"/>
          <c:y val="8.3213208096295871E-2"/>
          <c:w val="0.89820213633835411"/>
          <c:h val="0.63075264109688545"/>
        </c:manualLayout>
      </c:layout>
      <c:barChart>
        <c:barDir val="col"/>
        <c:grouping val="clustered"/>
        <c:varyColors val="0"/>
        <c:ser>
          <c:idx val="0"/>
          <c:order val="0"/>
          <c:tx>
            <c:strRef>
              <c:f>'F12'!$B$2</c:f>
              <c:strCache>
                <c:ptCount val="1"/>
                <c:pt idx="0">
                  <c:v>Equity</c:v>
                </c:pt>
              </c:strCache>
            </c:strRef>
          </c:tx>
          <c:spPr>
            <a:solidFill>
              <a:srgbClr val="FF0000"/>
            </a:solidFill>
          </c:spPr>
          <c:invertIfNegative val="0"/>
          <c:cat>
            <c:numRef>
              <c:f>'F12'!$A$8:$A$19</c:f>
              <c:numCache>
                <c:formatCode>[$-409]mmm\-yy</c:formatCode>
                <c:ptCount val="12"/>
                <c:pt idx="0">
                  <c:v>43709</c:v>
                </c:pt>
                <c:pt idx="1">
                  <c:v>43739</c:v>
                </c:pt>
                <c:pt idx="2">
                  <c:v>43770</c:v>
                </c:pt>
                <c:pt idx="3">
                  <c:v>43800</c:v>
                </c:pt>
                <c:pt idx="4">
                  <c:v>43840</c:v>
                </c:pt>
                <c:pt idx="5">
                  <c:v>43871</c:v>
                </c:pt>
                <c:pt idx="6">
                  <c:v>43900</c:v>
                </c:pt>
                <c:pt idx="7">
                  <c:v>43931</c:v>
                </c:pt>
                <c:pt idx="8">
                  <c:v>43961</c:v>
                </c:pt>
                <c:pt idx="9">
                  <c:v>43992</c:v>
                </c:pt>
                <c:pt idx="10">
                  <c:v>44022</c:v>
                </c:pt>
                <c:pt idx="11">
                  <c:v>44053</c:v>
                </c:pt>
              </c:numCache>
            </c:numRef>
          </c:cat>
          <c:val>
            <c:numRef>
              <c:f>'F12'!$B$8:$B$19</c:f>
              <c:numCache>
                <c:formatCode>[&gt;9999999]##\,##\,##\,##0;[&gt;99999]##\,##\,##0;##,##0</c:formatCode>
                <c:ptCount val="12"/>
                <c:pt idx="0">
                  <c:v>10901.09</c:v>
                </c:pt>
                <c:pt idx="1">
                  <c:v>3386.45</c:v>
                </c:pt>
                <c:pt idx="2">
                  <c:v>-5097.4399999999996</c:v>
                </c:pt>
                <c:pt idx="3">
                  <c:v>1805.04</c:v>
                </c:pt>
                <c:pt idx="4">
                  <c:v>1384.38</c:v>
                </c:pt>
                <c:pt idx="5">
                  <c:v>9863.2199999999993</c:v>
                </c:pt>
                <c:pt idx="6">
                  <c:v>30285.64</c:v>
                </c:pt>
                <c:pt idx="7">
                  <c:v>7965.5</c:v>
                </c:pt>
                <c:pt idx="8">
                  <c:v>6522.45</c:v>
                </c:pt>
                <c:pt idx="9">
                  <c:v>-501.5</c:v>
                </c:pt>
                <c:pt idx="10">
                  <c:v>-9195.0400000000009</c:v>
                </c:pt>
                <c:pt idx="11">
                  <c:v>-8399.64</c:v>
                </c:pt>
              </c:numCache>
            </c:numRef>
          </c:val>
          <c:extLst>
            <c:ext xmlns:c16="http://schemas.microsoft.com/office/drawing/2014/chart" uri="{C3380CC4-5D6E-409C-BE32-E72D297353CC}">
              <c16:uniqueId val="{00000000-020A-430E-93B6-607E5823863A}"/>
            </c:ext>
          </c:extLst>
        </c:ser>
        <c:ser>
          <c:idx val="1"/>
          <c:order val="1"/>
          <c:tx>
            <c:strRef>
              <c:f>'F12'!$C$2</c:f>
              <c:strCache>
                <c:ptCount val="1"/>
                <c:pt idx="0">
                  <c:v>Debt</c:v>
                </c:pt>
              </c:strCache>
            </c:strRef>
          </c:tx>
          <c:spPr>
            <a:solidFill>
              <a:srgbClr val="00B050"/>
            </a:solidFill>
          </c:spPr>
          <c:invertIfNegative val="0"/>
          <c:cat>
            <c:numRef>
              <c:f>'F12'!$A$8:$A$19</c:f>
              <c:numCache>
                <c:formatCode>[$-409]mmm\-yy</c:formatCode>
                <c:ptCount val="12"/>
                <c:pt idx="0">
                  <c:v>43709</c:v>
                </c:pt>
                <c:pt idx="1">
                  <c:v>43739</c:v>
                </c:pt>
                <c:pt idx="2">
                  <c:v>43770</c:v>
                </c:pt>
                <c:pt idx="3">
                  <c:v>43800</c:v>
                </c:pt>
                <c:pt idx="4">
                  <c:v>43840</c:v>
                </c:pt>
                <c:pt idx="5">
                  <c:v>43871</c:v>
                </c:pt>
                <c:pt idx="6">
                  <c:v>43900</c:v>
                </c:pt>
                <c:pt idx="7">
                  <c:v>43931</c:v>
                </c:pt>
                <c:pt idx="8">
                  <c:v>43961</c:v>
                </c:pt>
                <c:pt idx="9">
                  <c:v>43992</c:v>
                </c:pt>
                <c:pt idx="10">
                  <c:v>44022</c:v>
                </c:pt>
                <c:pt idx="11">
                  <c:v>44053</c:v>
                </c:pt>
              </c:numCache>
            </c:numRef>
          </c:cat>
          <c:val>
            <c:numRef>
              <c:f>'F12'!$C$8:$C$19</c:f>
              <c:numCache>
                <c:formatCode>[&gt;9999999]##\,##\,##\,##0;[&gt;99999]##\,##\,##0;##,##0</c:formatCode>
                <c:ptCount val="12"/>
                <c:pt idx="0">
                  <c:v>28862.79</c:v>
                </c:pt>
                <c:pt idx="1">
                  <c:v>42294.13</c:v>
                </c:pt>
                <c:pt idx="2">
                  <c:v>41014.559999999998</c:v>
                </c:pt>
                <c:pt idx="3">
                  <c:v>45492.51</c:v>
                </c:pt>
                <c:pt idx="4">
                  <c:v>32193.26</c:v>
                </c:pt>
                <c:pt idx="5">
                  <c:v>18026.73</c:v>
                </c:pt>
                <c:pt idx="6">
                  <c:v>-19645.759999999998</c:v>
                </c:pt>
                <c:pt idx="7">
                  <c:v>9794.5400000000009</c:v>
                </c:pt>
                <c:pt idx="8">
                  <c:v>10699.37</c:v>
                </c:pt>
                <c:pt idx="9">
                  <c:v>41364.71</c:v>
                </c:pt>
                <c:pt idx="10">
                  <c:v>31897.85</c:v>
                </c:pt>
                <c:pt idx="11">
                  <c:v>24493.74</c:v>
                </c:pt>
              </c:numCache>
            </c:numRef>
          </c:val>
          <c:extLst>
            <c:ext xmlns:c16="http://schemas.microsoft.com/office/drawing/2014/chart" uri="{C3380CC4-5D6E-409C-BE32-E72D297353CC}">
              <c16:uniqueId val="{00000001-020A-430E-93B6-607E5823863A}"/>
            </c:ext>
          </c:extLst>
        </c:ser>
        <c:dLbls>
          <c:showLegendKey val="0"/>
          <c:showVal val="0"/>
          <c:showCatName val="0"/>
          <c:showSerName val="0"/>
          <c:showPercent val="0"/>
          <c:showBubbleSize val="0"/>
        </c:dLbls>
        <c:gapWidth val="150"/>
        <c:axId val="484400608"/>
        <c:axId val="484399432"/>
      </c:barChart>
      <c:lineChart>
        <c:grouping val="standard"/>
        <c:varyColors val="0"/>
        <c:ser>
          <c:idx val="2"/>
          <c:order val="2"/>
          <c:tx>
            <c:strRef>
              <c:f>'F12'!$D$2</c:f>
              <c:strCache>
                <c:ptCount val="1"/>
                <c:pt idx="0">
                  <c:v>Total</c:v>
                </c:pt>
              </c:strCache>
            </c:strRef>
          </c:tx>
          <c:spPr>
            <a:ln>
              <a:solidFill>
                <a:srgbClr val="002060"/>
              </a:solidFill>
            </a:ln>
          </c:spPr>
          <c:marker>
            <c:symbol val="diamond"/>
            <c:size val="4"/>
            <c:spPr>
              <a:solidFill>
                <a:schemeClr val="tx2"/>
              </a:solidFill>
              <a:ln cap="sq">
                <a:solidFill>
                  <a:schemeClr val="tx2"/>
                </a:solidFill>
                <a:bevel/>
                <a:headEnd type="diamond"/>
              </a:ln>
            </c:spPr>
          </c:marker>
          <c:cat>
            <c:numRef>
              <c:f>'F12'!$A$8:$A$19</c:f>
              <c:numCache>
                <c:formatCode>[$-409]mmm\-yy</c:formatCode>
                <c:ptCount val="12"/>
                <c:pt idx="0">
                  <c:v>43709</c:v>
                </c:pt>
                <c:pt idx="1">
                  <c:v>43739</c:v>
                </c:pt>
                <c:pt idx="2">
                  <c:v>43770</c:v>
                </c:pt>
                <c:pt idx="3">
                  <c:v>43800</c:v>
                </c:pt>
                <c:pt idx="4">
                  <c:v>43840</c:v>
                </c:pt>
                <c:pt idx="5">
                  <c:v>43871</c:v>
                </c:pt>
                <c:pt idx="6">
                  <c:v>43900</c:v>
                </c:pt>
                <c:pt idx="7">
                  <c:v>43931</c:v>
                </c:pt>
                <c:pt idx="8">
                  <c:v>43961</c:v>
                </c:pt>
                <c:pt idx="9">
                  <c:v>43992</c:v>
                </c:pt>
                <c:pt idx="10">
                  <c:v>44022</c:v>
                </c:pt>
                <c:pt idx="11">
                  <c:v>44053</c:v>
                </c:pt>
              </c:numCache>
            </c:numRef>
          </c:cat>
          <c:val>
            <c:numRef>
              <c:f>'F12'!$D$8:$D$19</c:f>
              <c:numCache>
                <c:formatCode>[&gt;9999999]##\,##\,##\,##0;[&gt;99999]##\,##\,##0;##,##0</c:formatCode>
                <c:ptCount val="12"/>
                <c:pt idx="0">
                  <c:v>39763.880000000005</c:v>
                </c:pt>
                <c:pt idx="1">
                  <c:v>45680.579999999994</c:v>
                </c:pt>
                <c:pt idx="2">
                  <c:v>35917.119999999995</c:v>
                </c:pt>
                <c:pt idx="3">
                  <c:v>47297.55</c:v>
                </c:pt>
                <c:pt idx="4">
                  <c:v>33577.64</c:v>
                </c:pt>
                <c:pt idx="5">
                  <c:v>27889.949999999997</c:v>
                </c:pt>
                <c:pt idx="6">
                  <c:v>10639.880000000001</c:v>
                </c:pt>
                <c:pt idx="7">
                  <c:v>17760.04</c:v>
                </c:pt>
                <c:pt idx="8">
                  <c:v>17221.82</c:v>
                </c:pt>
                <c:pt idx="9">
                  <c:v>40863.21</c:v>
                </c:pt>
                <c:pt idx="10">
                  <c:v>22702.809999999998</c:v>
                </c:pt>
                <c:pt idx="11">
                  <c:v>16094.100000000002</c:v>
                </c:pt>
              </c:numCache>
            </c:numRef>
          </c:val>
          <c:smooth val="0"/>
          <c:extLst>
            <c:ext xmlns:c16="http://schemas.microsoft.com/office/drawing/2014/chart" uri="{C3380CC4-5D6E-409C-BE32-E72D297353CC}">
              <c16:uniqueId val="{00000002-020A-430E-93B6-607E5823863A}"/>
            </c:ext>
          </c:extLst>
        </c:ser>
        <c:dLbls>
          <c:showLegendKey val="0"/>
          <c:showVal val="0"/>
          <c:showCatName val="0"/>
          <c:showSerName val="0"/>
          <c:showPercent val="0"/>
          <c:showBubbleSize val="0"/>
        </c:dLbls>
        <c:marker val="1"/>
        <c:smooth val="0"/>
        <c:axId val="484400608"/>
        <c:axId val="484399432"/>
      </c:lineChart>
      <c:catAx>
        <c:axId val="484400608"/>
        <c:scaling>
          <c:orientation val="minMax"/>
        </c:scaling>
        <c:delete val="0"/>
        <c:axPos val="b"/>
        <c:numFmt formatCode="[$-409]mmm\-yy" sourceLinked="1"/>
        <c:majorTickMark val="none"/>
        <c:minorTickMark val="none"/>
        <c:tickLblPos val="low"/>
        <c:txPr>
          <a:bodyPr rot="-5400000" vert="horz"/>
          <a:lstStyle/>
          <a:p>
            <a:pPr>
              <a:defRPr b="0"/>
            </a:pPr>
            <a:endParaRPr lang="en-US"/>
          </a:p>
        </c:txPr>
        <c:crossAx val="484399432"/>
        <c:crosses val="autoZero"/>
        <c:auto val="0"/>
        <c:lblAlgn val="ctr"/>
        <c:lblOffset val="1"/>
        <c:noMultiLvlLbl val="0"/>
      </c:catAx>
      <c:valAx>
        <c:axId val="484399432"/>
        <c:scaling>
          <c:orientation val="minMax"/>
          <c:max val="70000"/>
          <c:min val="-20000"/>
        </c:scaling>
        <c:delete val="0"/>
        <c:axPos val="l"/>
        <c:numFmt formatCode="[&gt;9999999]##\,##\,##\,##0;[&gt;99999]##\,##\,##0;##,##0" sourceLinked="1"/>
        <c:majorTickMark val="out"/>
        <c:minorTickMark val="none"/>
        <c:tickLblPos val="nextTo"/>
        <c:spPr>
          <a:ln>
            <a:noFill/>
          </a:ln>
        </c:spPr>
        <c:txPr>
          <a:bodyPr/>
          <a:lstStyle/>
          <a:p>
            <a:pPr>
              <a:defRPr b="0"/>
            </a:pPr>
            <a:endParaRPr lang="en-US"/>
          </a:p>
        </c:txPr>
        <c:crossAx val="484400608"/>
        <c:crosses val="autoZero"/>
        <c:crossBetween val="between"/>
        <c:majorUnit val="10000"/>
      </c:valAx>
    </c:plotArea>
    <c:legend>
      <c:legendPos val="b"/>
      <c:layout>
        <c:manualLayout>
          <c:xMode val="edge"/>
          <c:yMode val="edge"/>
          <c:x val="0.27249453819226865"/>
          <c:y val="0.89266853845790795"/>
          <c:w val="0.47305882728441651"/>
          <c:h val="6.9774466716542874E-2"/>
        </c:manualLayout>
      </c:layout>
      <c:overlay val="0"/>
      <c:spPr>
        <a:noFill/>
        <a:ln w="3175">
          <a:noFill/>
        </a:ln>
      </c:spPr>
      <c:txPr>
        <a:bodyPr/>
        <a:lstStyle/>
        <a:p>
          <a:pPr>
            <a:defRPr b="0"/>
          </a:pPr>
          <a:endParaRPr lang="en-US"/>
        </a:p>
      </c:txPr>
    </c:legend>
    <c:plotVisOnly val="1"/>
    <c:dispBlanksAs val="gap"/>
    <c:showDLblsOverMax val="0"/>
  </c:chart>
  <c:spPr>
    <a:solidFill>
      <a:schemeClr val="bg1"/>
    </a:solidFill>
    <a:ln w="3175">
      <a:solidFill>
        <a:schemeClr val="bg1">
          <a:lumMod val="50000"/>
        </a:schemeClr>
      </a:solidFill>
    </a:ln>
  </c:spPr>
  <c:txPr>
    <a:bodyPr/>
    <a:lstStyle/>
    <a:p>
      <a:pPr>
        <a:defRPr sz="900" b="1" i="0" baseline="0">
          <a:latin typeface="Palatino Linotype" panose="02040502050505030304"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935239203335"/>
          <c:y val="8.1861646885150491E-2"/>
          <c:w val="0.83013306049462665"/>
          <c:h val="0.77243083341247287"/>
        </c:manualLayout>
      </c:layout>
      <c:barChart>
        <c:barDir val="col"/>
        <c:grouping val="clustered"/>
        <c:varyColors val="0"/>
        <c:ser>
          <c:idx val="0"/>
          <c:order val="0"/>
          <c:tx>
            <c:strRef>
              <c:f>'F 13'!$B$3</c:f>
              <c:strCache>
                <c:ptCount val="1"/>
                <c:pt idx="0">
                  <c:v>Equity </c:v>
                </c:pt>
              </c:strCache>
            </c:strRef>
          </c:tx>
          <c:spPr>
            <a:solidFill>
              <a:schemeClr val="accent1"/>
            </a:solidFill>
            <a:ln>
              <a:noFill/>
            </a:ln>
            <a:effectLst/>
          </c:spPr>
          <c:invertIfNegative val="0"/>
          <c:cat>
            <c:numRef>
              <c:f>'F 13'!$A$9:$A$20</c:f>
              <c:numCache>
                <c:formatCode>[$-409]mmm\-yy</c:formatCode>
                <c:ptCount val="12"/>
                <c:pt idx="0">
                  <c:v>43709</c:v>
                </c:pt>
                <c:pt idx="1">
                  <c:v>43739</c:v>
                </c:pt>
                <c:pt idx="2">
                  <c:v>43770</c:v>
                </c:pt>
                <c:pt idx="3">
                  <c:v>43800</c:v>
                </c:pt>
                <c:pt idx="4">
                  <c:v>43840</c:v>
                </c:pt>
                <c:pt idx="5">
                  <c:v>43871</c:v>
                </c:pt>
                <c:pt idx="6">
                  <c:v>43900</c:v>
                </c:pt>
                <c:pt idx="7">
                  <c:v>43931</c:v>
                </c:pt>
                <c:pt idx="8">
                  <c:v>43961</c:v>
                </c:pt>
                <c:pt idx="9">
                  <c:v>43992</c:v>
                </c:pt>
                <c:pt idx="10">
                  <c:v>44022</c:v>
                </c:pt>
                <c:pt idx="11">
                  <c:v>44053</c:v>
                </c:pt>
              </c:numCache>
            </c:numRef>
          </c:cat>
          <c:val>
            <c:numRef>
              <c:f>'F 13'!$B$9:$B$20</c:f>
              <c:numCache>
                <c:formatCode>#,##0</c:formatCode>
                <c:ptCount val="12"/>
                <c:pt idx="0">
                  <c:v>7548</c:v>
                </c:pt>
                <c:pt idx="1">
                  <c:v>12368</c:v>
                </c:pt>
                <c:pt idx="2">
                  <c:v>25231</c:v>
                </c:pt>
                <c:pt idx="3">
                  <c:v>7338</c:v>
                </c:pt>
                <c:pt idx="4">
                  <c:v>12123</c:v>
                </c:pt>
                <c:pt idx="5">
                  <c:v>1820</c:v>
                </c:pt>
                <c:pt idx="6">
                  <c:v>-61973</c:v>
                </c:pt>
                <c:pt idx="7">
                  <c:v>-6884</c:v>
                </c:pt>
                <c:pt idx="8">
                  <c:v>14568.77</c:v>
                </c:pt>
                <c:pt idx="9">
                  <c:v>21831.62</c:v>
                </c:pt>
                <c:pt idx="10">
                  <c:v>7562.71</c:v>
                </c:pt>
                <c:pt idx="11">
                  <c:v>47079.65</c:v>
                </c:pt>
              </c:numCache>
            </c:numRef>
          </c:val>
          <c:extLst>
            <c:ext xmlns:c16="http://schemas.microsoft.com/office/drawing/2014/chart" uri="{C3380CC4-5D6E-409C-BE32-E72D297353CC}">
              <c16:uniqueId val="{00000000-0588-48A7-88EB-EC0EEBEC2F11}"/>
            </c:ext>
          </c:extLst>
        </c:ser>
        <c:ser>
          <c:idx val="1"/>
          <c:order val="1"/>
          <c:tx>
            <c:strRef>
              <c:f>'F 13'!$C$3</c:f>
              <c:strCache>
                <c:ptCount val="1"/>
                <c:pt idx="0">
                  <c:v>Debt </c:v>
                </c:pt>
              </c:strCache>
            </c:strRef>
          </c:tx>
          <c:spPr>
            <a:solidFill>
              <a:schemeClr val="accent2"/>
            </a:solidFill>
            <a:ln>
              <a:noFill/>
            </a:ln>
            <a:effectLst/>
          </c:spPr>
          <c:invertIfNegative val="0"/>
          <c:cat>
            <c:numRef>
              <c:f>'F 13'!$A$9:$A$20</c:f>
              <c:numCache>
                <c:formatCode>[$-409]mmm\-yy</c:formatCode>
                <c:ptCount val="12"/>
                <c:pt idx="0">
                  <c:v>43709</c:v>
                </c:pt>
                <c:pt idx="1">
                  <c:v>43739</c:v>
                </c:pt>
                <c:pt idx="2">
                  <c:v>43770</c:v>
                </c:pt>
                <c:pt idx="3">
                  <c:v>43800</c:v>
                </c:pt>
                <c:pt idx="4">
                  <c:v>43840</c:v>
                </c:pt>
                <c:pt idx="5">
                  <c:v>43871</c:v>
                </c:pt>
                <c:pt idx="6">
                  <c:v>43900</c:v>
                </c:pt>
                <c:pt idx="7">
                  <c:v>43931</c:v>
                </c:pt>
                <c:pt idx="8">
                  <c:v>43961</c:v>
                </c:pt>
                <c:pt idx="9">
                  <c:v>43992</c:v>
                </c:pt>
                <c:pt idx="10">
                  <c:v>44022</c:v>
                </c:pt>
                <c:pt idx="11">
                  <c:v>44053</c:v>
                </c:pt>
              </c:numCache>
            </c:numRef>
          </c:cat>
          <c:val>
            <c:numRef>
              <c:f>'F 13'!$C$9:$C$20</c:f>
              <c:numCache>
                <c:formatCode>#,##0</c:formatCode>
                <c:ptCount val="12"/>
                <c:pt idx="0">
                  <c:v>-990</c:v>
                </c:pt>
                <c:pt idx="1">
                  <c:v>3670</c:v>
                </c:pt>
                <c:pt idx="2">
                  <c:v>-2358</c:v>
                </c:pt>
                <c:pt idx="3">
                  <c:v>-4616</c:v>
                </c:pt>
                <c:pt idx="4">
                  <c:v>-11119</c:v>
                </c:pt>
                <c:pt idx="5">
                  <c:v>4734</c:v>
                </c:pt>
                <c:pt idx="6">
                  <c:v>-56211</c:v>
                </c:pt>
                <c:pt idx="7">
                  <c:v>-8519</c:v>
                </c:pt>
                <c:pt idx="8">
                  <c:v>-21935.37</c:v>
                </c:pt>
                <c:pt idx="9">
                  <c:v>2220.75</c:v>
                </c:pt>
                <c:pt idx="10">
                  <c:v>-4261.9799999999996</c:v>
                </c:pt>
                <c:pt idx="11">
                  <c:v>-548.11000000000013</c:v>
                </c:pt>
              </c:numCache>
            </c:numRef>
          </c:val>
          <c:extLst>
            <c:ext xmlns:c16="http://schemas.microsoft.com/office/drawing/2014/chart" uri="{C3380CC4-5D6E-409C-BE32-E72D297353CC}">
              <c16:uniqueId val="{00000001-0588-48A7-88EB-EC0EEBEC2F11}"/>
            </c:ext>
          </c:extLst>
        </c:ser>
        <c:dLbls>
          <c:showLegendKey val="0"/>
          <c:showVal val="0"/>
          <c:showCatName val="0"/>
          <c:showSerName val="0"/>
          <c:showPercent val="0"/>
          <c:showBubbleSize val="0"/>
        </c:dLbls>
        <c:gapWidth val="150"/>
        <c:axId val="484399824"/>
        <c:axId val="484400216"/>
      </c:barChart>
      <c:lineChart>
        <c:grouping val="standard"/>
        <c:varyColors val="0"/>
        <c:ser>
          <c:idx val="2"/>
          <c:order val="2"/>
          <c:tx>
            <c:strRef>
              <c:f>'F 13'!$D$3</c:f>
              <c:strCache>
                <c:ptCount val="1"/>
                <c:pt idx="0">
                  <c:v>Hybrid </c:v>
                </c:pt>
              </c:strCache>
            </c:strRef>
          </c:tx>
          <c:spPr>
            <a:ln w="28575" cap="rnd">
              <a:solidFill>
                <a:schemeClr val="accent3"/>
              </a:solidFill>
              <a:round/>
            </a:ln>
            <a:effectLst/>
          </c:spPr>
          <c:marker>
            <c:symbol val="none"/>
          </c:marker>
          <c:cat>
            <c:numRef>
              <c:f>'F 13'!$A$9:$A$20</c:f>
              <c:numCache>
                <c:formatCode>[$-409]mmm\-yy</c:formatCode>
                <c:ptCount val="12"/>
                <c:pt idx="0">
                  <c:v>43709</c:v>
                </c:pt>
                <c:pt idx="1">
                  <c:v>43739</c:v>
                </c:pt>
                <c:pt idx="2">
                  <c:v>43770</c:v>
                </c:pt>
                <c:pt idx="3">
                  <c:v>43800</c:v>
                </c:pt>
                <c:pt idx="4">
                  <c:v>43840</c:v>
                </c:pt>
                <c:pt idx="5">
                  <c:v>43871</c:v>
                </c:pt>
                <c:pt idx="6">
                  <c:v>43900</c:v>
                </c:pt>
                <c:pt idx="7">
                  <c:v>43931</c:v>
                </c:pt>
                <c:pt idx="8">
                  <c:v>43961</c:v>
                </c:pt>
                <c:pt idx="9">
                  <c:v>43992</c:v>
                </c:pt>
                <c:pt idx="10">
                  <c:v>44022</c:v>
                </c:pt>
                <c:pt idx="11">
                  <c:v>44053</c:v>
                </c:pt>
              </c:numCache>
            </c:numRef>
          </c:cat>
          <c:val>
            <c:numRef>
              <c:f>'F 13'!$D$9:$D$20</c:f>
              <c:numCache>
                <c:formatCode>#,##0</c:formatCode>
                <c:ptCount val="12"/>
                <c:pt idx="0">
                  <c:v>25</c:v>
                </c:pt>
                <c:pt idx="1">
                  <c:v>31</c:v>
                </c:pt>
                <c:pt idx="2">
                  <c:v>126</c:v>
                </c:pt>
                <c:pt idx="3">
                  <c:v>40</c:v>
                </c:pt>
                <c:pt idx="4">
                  <c:v>-46</c:v>
                </c:pt>
                <c:pt idx="5">
                  <c:v>2416</c:v>
                </c:pt>
                <c:pt idx="6">
                  <c:v>-19</c:v>
                </c:pt>
                <c:pt idx="7">
                  <c:v>544</c:v>
                </c:pt>
                <c:pt idx="8">
                  <c:v>10.75</c:v>
                </c:pt>
                <c:pt idx="9">
                  <c:v>1957.06</c:v>
                </c:pt>
                <c:pt idx="10">
                  <c:v>0.71</c:v>
                </c:pt>
                <c:pt idx="11">
                  <c:v>3347.41</c:v>
                </c:pt>
              </c:numCache>
            </c:numRef>
          </c:val>
          <c:smooth val="0"/>
          <c:extLst>
            <c:ext xmlns:c16="http://schemas.microsoft.com/office/drawing/2014/chart" uri="{C3380CC4-5D6E-409C-BE32-E72D297353CC}">
              <c16:uniqueId val="{00000002-0588-48A7-88EB-EC0EEBEC2F11}"/>
            </c:ext>
          </c:extLst>
        </c:ser>
        <c:ser>
          <c:idx val="3"/>
          <c:order val="3"/>
          <c:tx>
            <c:strRef>
              <c:f>'F 13'!$E$3</c:f>
              <c:strCache>
                <c:ptCount val="1"/>
                <c:pt idx="0">
                  <c:v>Total</c:v>
                </c:pt>
              </c:strCache>
            </c:strRef>
          </c:tx>
          <c:spPr>
            <a:ln w="28575" cap="rnd">
              <a:solidFill>
                <a:schemeClr val="accent4"/>
              </a:solidFill>
              <a:round/>
            </a:ln>
            <a:effectLst/>
          </c:spPr>
          <c:marker>
            <c:symbol val="none"/>
          </c:marker>
          <c:cat>
            <c:numRef>
              <c:f>'F 13'!$A$9:$A$20</c:f>
              <c:numCache>
                <c:formatCode>[$-409]mmm\-yy</c:formatCode>
                <c:ptCount val="12"/>
                <c:pt idx="0">
                  <c:v>43709</c:v>
                </c:pt>
                <c:pt idx="1">
                  <c:v>43739</c:v>
                </c:pt>
                <c:pt idx="2">
                  <c:v>43770</c:v>
                </c:pt>
                <c:pt idx="3">
                  <c:v>43800</c:v>
                </c:pt>
                <c:pt idx="4">
                  <c:v>43840</c:v>
                </c:pt>
                <c:pt idx="5">
                  <c:v>43871</c:v>
                </c:pt>
                <c:pt idx="6">
                  <c:v>43900</c:v>
                </c:pt>
                <c:pt idx="7">
                  <c:v>43931</c:v>
                </c:pt>
                <c:pt idx="8">
                  <c:v>43961</c:v>
                </c:pt>
                <c:pt idx="9">
                  <c:v>43992</c:v>
                </c:pt>
                <c:pt idx="10">
                  <c:v>44022</c:v>
                </c:pt>
                <c:pt idx="11">
                  <c:v>44053</c:v>
                </c:pt>
              </c:numCache>
            </c:numRef>
          </c:cat>
          <c:val>
            <c:numRef>
              <c:f>'F 13'!$E$9:$E$20</c:f>
              <c:numCache>
                <c:formatCode>#,##0</c:formatCode>
                <c:ptCount val="12"/>
                <c:pt idx="0">
                  <c:v>6582</c:v>
                </c:pt>
                <c:pt idx="1">
                  <c:v>16069</c:v>
                </c:pt>
                <c:pt idx="2">
                  <c:v>22999</c:v>
                </c:pt>
                <c:pt idx="3">
                  <c:v>2762</c:v>
                </c:pt>
                <c:pt idx="4">
                  <c:v>957</c:v>
                </c:pt>
                <c:pt idx="5">
                  <c:v>8970</c:v>
                </c:pt>
                <c:pt idx="6">
                  <c:v>-118203</c:v>
                </c:pt>
                <c:pt idx="7">
                  <c:v>-14859</c:v>
                </c:pt>
                <c:pt idx="8">
                  <c:v>-7355.8499999999985</c:v>
                </c:pt>
                <c:pt idx="9">
                  <c:v>26009.43</c:v>
                </c:pt>
                <c:pt idx="10">
                  <c:v>3301.4400000000005</c:v>
                </c:pt>
                <c:pt idx="11">
                  <c:v>49878.95</c:v>
                </c:pt>
              </c:numCache>
            </c:numRef>
          </c:val>
          <c:smooth val="0"/>
          <c:extLst>
            <c:ext xmlns:c16="http://schemas.microsoft.com/office/drawing/2014/chart" uri="{C3380CC4-5D6E-409C-BE32-E72D297353CC}">
              <c16:uniqueId val="{00000003-0588-48A7-88EB-EC0EEBEC2F11}"/>
            </c:ext>
          </c:extLst>
        </c:ser>
        <c:dLbls>
          <c:showLegendKey val="0"/>
          <c:showVal val="0"/>
          <c:showCatName val="0"/>
          <c:showSerName val="0"/>
          <c:showPercent val="0"/>
          <c:showBubbleSize val="0"/>
        </c:dLbls>
        <c:marker val="1"/>
        <c:smooth val="0"/>
        <c:axId val="484399824"/>
        <c:axId val="484400216"/>
      </c:lineChart>
      <c:dateAx>
        <c:axId val="484399824"/>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84400216"/>
        <c:crosses val="autoZero"/>
        <c:auto val="1"/>
        <c:lblOffset val="100"/>
        <c:baseTimeUnit val="months"/>
      </c:dateAx>
      <c:valAx>
        <c:axId val="484400216"/>
        <c:scaling>
          <c:orientation val="minMax"/>
          <c:min val="-1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000" b="0" i="0" u="none" strike="noStrike" baseline="0">
                    <a:effectLst/>
                  </a:rPr>
                  <a:t>₹</a:t>
                </a:r>
                <a:r>
                  <a:rPr lang="en-US">
                    <a:solidFill>
                      <a:sysClr val="windowText" lastClr="000000"/>
                    </a:solidFill>
                  </a:rPr>
                  <a:t> crore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84399824"/>
        <c:crosses val="autoZero"/>
        <c:crossBetween val="between"/>
        <c:majorUnit val="2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6001500589226"/>
          <c:y val="0.10445829415120332"/>
          <c:w val="0.81708290347704471"/>
          <c:h val="0.52877974441426523"/>
        </c:manualLayout>
      </c:layout>
      <c:barChart>
        <c:barDir val="col"/>
        <c:grouping val="clustered"/>
        <c:varyColors val="1"/>
        <c:ser>
          <c:idx val="0"/>
          <c:order val="0"/>
          <c:tx>
            <c:strRef>
              <c:f>'F14'!$B$5</c:f>
              <c:strCache>
                <c:ptCount val="1"/>
                <c:pt idx="0">
                  <c:v>Amount (₹ crore) - (LHS)</c:v>
                </c:pt>
              </c:strCache>
            </c:strRef>
          </c:tx>
          <c:spPr>
            <a:solidFill>
              <a:srgbClr val="00B050"/>
            </a:solidFill>
          </c:spPr>
          <c:invertIfNegative val="1"/>
          <c:dLbls>
            <c:dLbl>
              <c:idx val="0"/>
              <c:layout>
                <c:manualLayout>
                  <c:x val="3.3143448990160536E-2"/>
                  <c:y val="-5.20833546929768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55-4DFA-BC93-457AA0F4C65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'F14'!$A$11:$A$22</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'F14'!$B$11:$B$22</c:f>
              <c:numCache>
                <c:formatCode>_(* #,##0_);_(* \(#,##0\);_(* "-"??_);_(@_)</c:formatCode>
                <c:ptCount val="12"/>
                <c:pt idx="0">
                  <c:v>1502.41</c:v>
                </c:pt>
                <c:pt idx="1">
                  <c:v>12.77</c:v>
                </c:pt>
                <c:pt idx="2">
                  <c:v>10.23</c:v>
                </c:pt>
                <c:pt idx="3">
                  <c:v>349.02000000000004</c:v>
                </c:pt>
                <c:pt idx="4">
                  <c:v>5078.96</c:v>
                </c:pt>
                <c:pt idx="5">
                  <c:v>20.440000000000001</c:v>
                </c:pt>
                <c:pt idx="6">
                  <c:v>465.13</c:v>
                </c:pt>
                <c:pt idx="7">
                  <c:v>3.72</c:v>
                </c:pt>
                <c:pt idx="8">
                  <c:v>0</c:v>
                </c:pt>
                <c:pt idx="9">
                  <c:v>1088.1099999999999</c:v>
                </c:pt>
                <c:pt idx="10">
                  <c:v>528.16000000000008</c:v>
                </c:pt>
                <c:pt idx="11">
                  <c:v>3862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FF55-4DFA-BC93-457AA0F4C65E}"/>
            </c:ext>
          </c:extLst>
        </c:ser>
        <c:dLbls>
          <c:showLegendKey val="0"/>
          <c:showVal val="0"/>
          <c:showCatName val="0"/>
          <c:showSerName val="0"/>
          <c:showPercent val="0"/>
          <c:showBubbleSize val="0"/>
        </c:dLbls>
        <c:gapWidth val="150"/>
        <c:overlap val="6"/>
        <c:axId val="484404920"/>
        <c:axId val="484403352"/>
      </c:barChart>
      <c:lineChart>
        <c:grouping val="standard"/>
        <c:varyColors val="0"/>
        <c:ser>
          <c:idx val="1"/>
          <c:order val="1"/>
          <c:tx>
            <c:strRef>
              <c:f>'F14'!$C$5</c:f>
              <c:strCache>
                <c:ptCount val="1"/>
                <c:pt idx="0">
                  <c:v>Number of Open Offers - (RHS)</c:v>
                </c:pt>
              </c:strCache>
            </c:strRef>
          </c:tx>
          <c:spPr>
            <a:ln w="28575" cmpd="sng">
              <a:solidFill>
                <a:srgbClr val="FF0000"/>
              </a:solidFill>
              <a:prstDash val="solid"/>
            </a:ln>
          </c:spPr>
          <c:marker>
            <c:symbol val="circle"/>
            <c:size val="5"/>
            <c:spPr>
              <a:solidFill>
                <a:srgbClr val="FF0000"/>
              </a:solidFill>
              <a:ln cmpd="sng">
                <a:solidFill>
                  <a:srgbClr val="FF0000"/>
                </a:solidFill>
              </a:ln>
            </c:spPr>
          </c:marker>
          <c:cat>
            <c:numRef>
              <c:f>'F14'!$A$11:$A$22</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'F14'!$C$11:$C$22</c:f>
              <c:numCache>
                <c:formatCode>[&gt;=10000000]#.#\,##\,##0;[&gt;=100000]#.#\,##0;##,##0</c:formatCode>
                <c:ptCount val="12"/>
                <c:pt idx="0">
                  <c:v>12</c:v>
                </c:pt>
                <c:pt idx="1">
                  <c:v>4</c:v>
                </c:pt>
                <c:pt idx="2">
                  <c:v>3</c:v>
                </c:pt>
                <c:pt idx="3">
                  <c:v>3</c:v>
                </c:pt>
                <c:pt idx="4">
                  <c:v>3</c:v>
                </c:pt>
                <c:pt idx="5">
                  <c:v>1</c:v>
                </c:pt>
                <c:pt idx="6">
                  <c:v>7</c:v>
                </c:pt>
                <c:pt idx="7">
                  <c:v>3</c:v>
                </c:pt>
                <c:pt idx="8">
                  <c:v>0</c:v>
                </c:pt>
                <c:pt idx="9">
                  <c:v>4</c:v>
                </c:pt>
                <c:pt idx="10">
                  <c:v>2</c:v>
                </c:pt>
                <c:pt idx="11">
                  <c:v>9</c:v>
                </c:pt>
              </c:numCache>
            </c:numRef>
          </c:val>
          <c:smooth val="0"/>
          <c:extLst>
            <c:ext xmlns:c16="http://schemas.microsoft.com/office/drawing/2014/chart" uri="{C3380CC4-5D6E-409C-BE32-E72D297353CC}">
              <c16:uniqueId val="{00000002-FF55-4DFA-BC93-457AA0F4C65E}"/>
            </c:ext>
          </c:extLst>
        </c:ser>
        <c:dLbls>
          <c:showLegendKey val="0"/>
          <c:showVal val="0"/>
          <c:showCatName val="0"/>
          <c:showSerName val="0"/>
          <c:showPercent val="0"/>
          <c:showBubbleSize val="0"/>
        </c:dLbls>
        <c:marker val="1"/>
        <c:smooth val="0"/>
        <c:axId val="484404528"/>
        <c:axId val="484402176"/>
      </c:lineChart>
      <c:dateAx>
        <c:axId val="484404920"/>
        <c:scaling>
          <c:orientation val="minMax"/>
          <c:max val="44073"/>
        </c:scaling>
        <c:delete val="0"/>
        <c:axPos val="b"/>
        <c:title>
          <c:tx>
            <c:rich>
              <a:bodyPr/>
              <a:lstStyle/>
              <a:p>
                <a:pPr>
                  <a:defRPr/>
                </a:pPr>
                <a:endParaRPr lang="en-IN"/>
              </a:p>
            </c:rich>
          </c:tx>
          <c:overlay val="0"/>
        </c:title>
        <c:numFmt formatCode="[$-409]mmm\-yy" sourceLinked="1"/>
        <c:majorTickMark val="none"/>
        <c:minorTickMark val="none"/>
        <c:tickLblPos val="nextTo"/>
        <c:txPr>
          <a:bodyPr rot="-5400000"/>
          <a:lstStyle/>
          <a:p>
            <a:pPr>
              <a:defRPr/>
            </a:pPr>
            <a:endParaRPr lang="en-US"/>
          </a:p>
        </c:txPr>
        <c:crossAx val="484403352"/>
        <c:crosses val="autoZero"/>
        <c:auto val="1"/>
        <c:lblOffset val="100"/>
        <c:baseTimeUnit val="days"/>
        <c:majorUnit val="31"/>
        <c:majorTimeUnit val="days"/>
      </c:dateAx>
      <c:valAx>
        <c:axId val="484403352"/>
        <c:scaling>
          <c:orientation val="minMax"/>
        </c:scaling>
        <c:delete val="0"/>
        <c:axPos val="l"/>
        <c:title>
          <c:tx>
            <c:rich>
              <a:bodyPr/>
              <a:lstStyle/>
              <a:p>
                <a:pPr>
                  <a:defRPr/>
                </a:pPr>
                <a:endParaRPr lang="en-IN"/>
              </a:p>
            </c:rich>
          </c:tx>
          <c:overlay val="0"/>
        </c:title>
        <c:numFmt formatCode="_(* #,##0_);_(* \(#,##0\);_(* &quot;-&quot;??_);_(@_)" sourceLinked="1"/>
        <c:majorTickMark val="cross"/>
        <c:minorTickMark val="cross"/>
        <c:tickLblPos val="nextTo"/>
        <c:spPr>
          <a:ln w="47625">
            <a:noFill/>
          </a:ln>
        </c:spPr>
        <c:txPr>
          <a:bodyPr rot="0"/>
          <a:lstStyle/>
          <a:p>
            <a:pPr>
              <a:defRPr/>
            </a:pPr>
            <a:endParaRPr lang="en-US"/>
          </a:p>
        </c:txPr>
        <c:crossAx val="484404920"/>
        <c:crosses val="autoZero"/>
        <c:crossBetween val="midCat"/>
      </c:valAx>
      <c:dateAx>
        <c:axId val="484404528"/>
        <c:scaling>
          <c:orientation val="minMax"/>
        </c:scaling>
        <c:delete val="1"/>
        <c:axPos val="b"/>
        <c:numFmt formatCode="[$-409]mmm\-yy" sourceLinked="1"/>
        <c:majorTickMark val="cross"/>
        <c:minorTickMark val="cross"/>
        <c:tickLblPos val="nextTo"/>
        <c:crossAx val="484402176"/>
        <c:crosses val="autoZero"/>
        <c:auto val="1"/>
        <c:lblOffset val="100"/>
        <c:baseTimeUnit val="days"/>
      </c:dateAx>
      <c:valAx>
        <c:axId val="484402176"/>
        <c:scaling>
          <c:orientation val="minMax"/>
        </c:scaling>
        <c:delete val="0"/>
        <c:axPos val="r"/>
        <c:title>
          <c:tx>
            <c:rich>
              <a:bodyPr/>
              <a:lstStyle/>
              <a:p>
                <a:pPr>
                  <a:defRPr/>
                </a:pPr>
                <a:endParaRPr lang="en-IN"/>
              </a:p>
            </c:rich>
          </c:tx>
          <c:overlay val="0"/>
        </c:title>
        <c:numFmt formatCode="[&gt;=10000000]#.#\,##\,##0;[&gt;=100000]#.#\,##0;##,##0" sourceLinked="1"/>
        <c:majorTickMark val="cross"/>
        <c:minorTickMark val="cross"/>
        <c:tickLblPos val="nextTo"/>
        <c:spPr>
          <a:ln w="47625">
            <a:noFill/>
          </a:ln>
        </c:spPr>
        <c:crossAx val="484404528"/>
        <c:crosses val="max"/>
        <c:crossBetween val="between"/>
      </c:valAx>
    </c:plotArea>
    <c:legend>
      <c:legendPos val="b"/>
      <c:overlay val="0"/>
    </c:legend>
    <c:plotVisOnly val="1"/>
    <c:dispBlanksAs val="zero"/>
    <c:showDLblsOverMax val="1"/>
  </c:chart>
  <c:spPr>
    <a:solidFill>
      <a:srgbClr val="FFFFFF"/>
    </a:solidFill>
  </c:spPr>
  <c:txPr>
    <a:bodyPr/>
    <a:lstStyle/>
    <a:p>
      <a:pPr>
        <a:defRPr sz="900">
          <a:solidFill>
            <a:sysClr val="windowText" lastClr="000000"/>
          </a:solidFill>
          <a:latin typeface="Palatino Linotype" panose="0204050205050503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MCX iCOMDEX</c:v>
          </c:tx>
          <c:spPr>
            <a:ln w="28575" cap="rnd">
              <a:solidFill>
                <a:schemeClr val="accent1"/>
              </a:solidFill>
              <a:round/>
            </a:ln>
            <a:effectLst/>
          </c:spPr>
          <c:marker>
            <c:symbol val="none"/>
          </c:marker>
          <c:cat>
            <c:numRef>
              <c:f>Graph!$D$86:$D$107</c:f>
              <c:numCache>
                <c:formatCode>d\-mmm\-yy</c:formatCode>
                <c:ptCount val="22"/>
                <c:pt idx="0">
                  <c:v>44043</c:v>
                </c:pt>
                <c:pt idx="1">
                  <c:v>44046</c:v>
                </c:pt>
                <c:pt idx="2">
                  <c:v>44047</c:v>
                </c:pt>
                <c:pt idx="3">
                  <c:v>44048</c:v>
                </c:pt>
                <c:pt idx="4">
                  <c:v>44049</c:v>
                </c:pt>
                <c:pt idx="5">
                  <c:v>44050</c:v>
                </c:pt>
                <c:pt idx="6">
                  <c:v>44053</c:v>
                </c:pt>
                <c:pt idx="7">
                  <c:v>44054</c:v>
                </c:pt>
                <c:pt idx="8">
                  <c:v>44055</c:v>
                </c:pt>
                <c:pt idx="9">
                  <c:v>44056</c:v>
                </c:pt>
                <c:pt idx="10">
                  <c:v>44057</c:v>
                </c:pt>
                <c:pt idx="11">
                  <c:v>44060</c:v>
                </c:pt>
                <c:pt idx="12">
                  <c:v>44061</c:v>
                </c:pt>
                <c:pt idx="13">
                  <c:v>44062</c:v>
                </c:pt>
                <c:pt idx="14">
                  <c:v>44063</c:v>
                </c:pt>
                <c:pt idx="15">
                  <c:v>44064</c:v>
                </c:pt>
                <c:pt idx="16">
                  <c:v>44067</c:v>
                </c:pt>
                <c:pt idx="17">
                  <c:v>44068</c:v>
                </c:pt>
                <c:pt idx="18">
                  <c:v>44069</c:v>
                </c:pt>
                <c:pt idx="19">
                  <c:v>44070</c:v>
                </c:pt>
                <c:pt idx="20">
                  <c:v>44071</c:v>
                </c:pt>
                <c:pt idx="21">
                  <c:v>44074</c:v>
                </c:pt>
              </c:numCache>
            </c:numRef>
          </c:cat>
          <c:val>
            <c:numRef>
              <c:f>Graph!$E$86:$E$107</c:f>
              <c:numCache>
                <c:formatCode>0.0</c:formatCode>
                <c:ptCount val="22"/>
                <c:pt idx="0">
                  <c:v>100</c:v>
                </c:pt>
                <c:pt idx="1">
                  <c:v>101.29086316850416</c:v>
                </c:pt>
                <c:pt idx="2">
                  <c:v>102.99678234107188</c:v>
                </c:pt>
                <c:pt idx="3">
                  <c:v>104.26314810630076</c:v>
                </c:pt>
                <c:pt idx="4">
                  <c:v>105.9529689852876</c:v>
                </c:pt>
                <c:pt idx="5">
                  <c:v>104.13616156687395</c:v>
                </c:pt>
                <c:pt idx="6">
                  <c:v>104.76739465616649</c:v>
                </c:pt>
                <c:pt idx="7">
                  <c:v>100.89090556401025</c:v>
                </c:pt>
                <c:pt idx="8">
                  <c:v>101.19317352360653</c:v>
                </c:pt>
                <c:pt idx="9">
                  <c:v>102.12157511303806</c:v>
                </c:pt>
                <c:pt idx="10">
                  <c:v>101.1572773286032</c:v>
                </c:pt>
                <c:pt idx="11">
                  <c:v>103.07807372418527</c:v>
                </c:pt>
                <c:pt idx="12">
                  <c:v>103.80819633118894</c:v>
                </c:pt>
                <c:pt idx="13">
                  <c:v>103.32214785232769</c:v>
                </c:pt>
                <c:pt idx="14">
                  <c:v>102.66531747634755</c:v>
                </c:pt>
                <c:pt idx="15">
                  <c:v>101.95549271777195</c:v>
                </c:pt>
                <c:pt idx="16">
                  <c:v>101.03908985647526</c:v>
                </c:pt>
                <c:pt idx="17">
                  <c:v>100.99479455177756</c:v>
                </c:pt>
                <c:pt idx="18">
                  <c:v>102.32625341713782</c:v>
                </c:pt>
                <c:pt idx="19">
                  <c:v>101.21057167940202</c:v>
                </c:pt>
                <c:pt idx="20">
                  <c:v>101.61252907191843</c:v>
                </c:pt>
                <c:pt idx="21">
                  <c:v>102.26246017922107</c:v>
                </c:pt>
              </c:numCache>
            </c:numRef>
          </c:val>
          <c:smooth val="0"/>
          <c:extLst>
            <c:ext xmlns:c16="http://schemas.microsoft.com/office/drawing/2014/chart" uri="{C3380CC4-5D6E-409C-BE32-E72D297353CC}">
              <c16:uniqueId val="{00000000-BF48-4D7F-8365-018FF0674B5F}"/>
            </c:ext>
          </c:extLst>
        </c:ser>
        <c:ser>
          <c:idx val="1"/>
          <c:order val="1"/>
          <c:tx>
            <c:v>Nkrishi NCDEX</c:v>
          </c:tx>
          <c:spPr>
            <a:ln w="28575" cap="rnd">
              <a:solidFill>
                <a:schemeClr val="accent2"/>
              </a:solidFill>
              <a:round/>
            </a:ln>
            <a:effectLst/>
          </c:spPr>
          <c:marker>
            <c:symbol val="none"/>
          </c:marker>
          <c:cat>
            <c:numRef>
              <c:f>Graph!$D$86:$D$107</c:f>
              <c:numCache>
                <c:formatCode>d\-mmm\-yy</c:formatCode>
                <c:ptCount val="22"/>
                <c:pt idx="0">
                  <c:v>44043</c:v>
                </c:pt>
                <c:pt idx="1">
                  <c:v>44046</c:v>
                </c:pt>
                <c:pt idx="2">
                  <c:v>44047</c:v>
                </c:pt>
                <c:pt idx="3">
                  <c:v>44048</c:v>
                </c:pt>
                <c:pt idx="4">
                  <c:v>44049</c:v>
                </c:pt>
                <c:pt idx="5">
                  <c:v>44050</c:v>
                </c:pt>
                <c:pt idx="6">
                  <c:v>44053</c:v>
                </c:pt>
                <c:pt idx="7">
                  <c:v>44054</c:v>
                </c:pt>
                <c:pt idx="8">
                  <c:v>44055</c:v>
                </c:pt>
                <c:pt idx="9">
                  <c:v>44056</c:v>
                </c:pt>
                <c:pt idx="10">
                  <c:v>44057</c:v>
                </c:pt>
                <c:pt idx="11">
                  <c:v>44060</c:v>
                </c:pt>
                <c:pt idx="12">
                  <c:v>44061</c:v>
                </c:pt>
                <c:pt idx="13">
                  <c:v>44062</c:v>
                </c:pt>
                <c:pt idx="14">
                  <c:v>44063</c:v>
                </c:pt>
                <c:pt idx="15">
                  <c:v>44064</c:v>
                </c:pt>
                <c:pt idx="16">
                  <c:v>44067</c:v>
                </c:pt>
                <c:pt idx="17">
                  <c:v>44068</c:v>
                </c:pt>
                <c:pt idx="18">
                  <c:v>44069</c:v>
                </c:pt>
                <c:pt idx="19">
                  <c:v>44070</c:v>
                </c:pt>
                <c:pt idx="20">
                  <c:v>44071</c:v>
                </c:pt>
                <c:pt idx="21">
                  <c:v>44074</c:v>
                </c:pt>
              </c:numCache>
            </c:numRef>
          </c:cat>
          <c:val>
            <c:numRef>
              <c:f>Graph!$F$86:$F$107</c:f>
              <c:numCache>
                <c:formatCode>0.0</c:formatCode>
                <c:ptCount val="22"/>
                <c:pt idx="0">
                  <c:v>100</c:v>
                </c:pt>
                <c:pt idx="1">
                  <c:v>101.15769807969129</c:v>
                </c:pt>
                <c:pt idx="2">
                  <c:v>100.89981930109337</c:v>
                </c:pt>
                <c:pt idx="3">
                  <c:v>100.74699090380079</c:v>
                </c:pt>
                <c:pt idx="4">
                  <c:v>102.56133043398364</c:v>
                </c:pt>
                <c:pt idx="5">
                  <c:v>102.46730574867539</c:v>
                </c:pt>
                <c:pt idx="6">
                  <c:v>102.46179290067685</c:v>
                </c:pt>
                <c:pt idx="7">
                  <c:v>101.80729533551805</c:v>
                </c:pt>
                <c:pt idx="8">
                  <c:v>102.4455606260145</c:v>
                </c:pt>
                <c:pt idx="9">
                  <c:v>101.90775167682459</c:v>
                </c:pt>
                <c:pt idx="10">
                  <c:v>102.07987504211204</c:v>
                </c:pt>
                <c:pt idx="11">
                  <c:v>103.0982205751738</c:v>
                </c:pt>
                <c:pt idx="12">
                  <c:v>103.76282502832989</c:v>
                </c:pt>
                <c:pt idx="13">
                  <c:v>103.83204189764476</c:v>
                </c:pt>
                <c:pt idx="14">
                  <c:v>103.89819607362712</c:v>
                </c:pt>
                <c:pt idx="15">
                  <c:v>104.79342133472173</c:v>
                </c:pt>
                <c:pt idx="16">
                  <c:v>105.65893847049091</c:v>
                </c:pt>
                <c:pt idx="17">
                  <c:v>105.91620471042232</c:v>
                </c:pt>
                <c:pt idx="18">
                  <c:v>107.0383755474564</c:v>
                </c:pt>
                <c:pt idx="19">
                  <c:v>107.18875379008298</c:v>
                </c:pt>
                <c:pt idx="20">
                  <c:v>107.74800159260052</c:v>
                </c:pt>
                <c:pt idx="21">
                  <c:v>109.72895164007227</c:v>
                </c:pt>
              </c:numCache>
            </c:numRef>
          </c:val>
          <c:smooth val="0"/>
          <c:extLst>
            <c:ext xmlns:c16="http://schemas.microsoft.com/office/drawing/2014/chart" uri="{C3380CC4-5D6E-409C-BE32-E72D297353CC}">
              <c16:uniqueId val="{00000001-BF48-4D7F-8365-018FF0674B5F}"/>
            </c:ext>
          </c:extLst>
        </c:ser>
        <c:dLbls>
          <c:showLegendKey val="0"/>
          <c:showVal val="0"/>
          <c:showCatName val="0"/>
          <c:showSerName val="0"/>
          <c:showPercent val="0"/>
          <c:showBubbleSize val="0"/>
        </c:dLbls>
        <c:smooth val="0"/>
        <c:axId val="501347160"/>
        <c:axId val="501335792"/>
      </c:lineChart>
      <c:dateAx>
        <c:axId val="501347160"/>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01335792"/>
        <c:crosses val="autoZero"/>
        <c:auto val="1"/>
        <c:lblOffset val="100"/>
        <c:baseTimeUnit val="days"/>
        <c:majorUnit val="2"/>
        <c:majorTimeUnit val="days"/>
      </c:dateAx>
      <c:valAx>
        <c:axId val="501335792"/>
        <c:scaling>
          <c:orientation val="minMax"/>
          <c:max val="115"/>
          <c:min val="94"/>
        </c:scaling>
        <c:delete val="0"/>
        <c:axPos val="l"/>
        <c:majorGridlines>
          <c:spPr>
            <a:ln w="9525" cap="flat" cmpd="sng" algn="ctr">
              <a:solidFill>
                <a:srgbClr val="0070C0"/>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01347160"/>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'Turnover charts'!$B$3</c:f>
              <c:strCache>
                <c:ptCount val="1"/>
                <c:pt idx="0">
                  <c:v>MCX Agri Futures (LHS)</c:v>
                </c:pt>
              </c:strCache>
            </c:strRef>
          </c:tx>
          <c:spPr>
            <a:solidFill>
              <a:srgbClr val="0070C0"/>
            </a:solidFill>
            <a:ln>
              <a:solidFill>
                <a:sysClr val="windowText" lastClr="000000"/>
              </a:solidFill>
            </a:ln>
            <a:effectLst/>
          </c:spPr>
          <c:invertIfNegative val="0"/>
          <c:cat>
            <c:numRef>
              <c:f>'Turnover charts'!$A$37:$A$48</c:f>
              <c:numCache>
                <c:formatCode>mmm\-yy</c:formatCode>
                <c:ptCount val="12"/>
                <c:pt idx="0">
                  <c:v>43709</c:v>
                </c:pt>
                <c:pt idx="1">
                  <c:v>43739</c:v>
                </c:pt>
                <c:pt idx="2">
                  <c:v>43770</c:v>
                </c:pt>
                <c:pt idx="3">
                  <c:v>43800</c:v>
                </c:pt>
                <c:pt idx="4">
                  <c:v>43831</c:v>
                </c:pt>
                <c:pt idx="5">
                  <c:v>43862</c:v>
                </c:pt>
                <c:pt idx="6">
                  <c:v>43891</c:v>
                </c:pt>
                <c:pt idx="7">
                  <c:v>43922</c:v>
                </c:pt>
                <c:pt idx="8">
                  <c:v>43952</c:v>
                </c:pt>
                <c:pt idx="9">
                  <c:v>43983</c:v>
                </c:pt>
                <c:pt idx="10">
                  <c:v>44013</c:v>
                </c:pt>
                <c:pt idx="11">
                  <c:v>44044</c:v>
                </c:pt>
              </c:numCache>
            </c:numRef>
          </c:cat>
          <c:val>
            <c:numRef>
              <c:f>'Turnover charts'!$B$37:$B$48</c:f>
              <c:numCache>
                <c:formatCode>#,##0</c:formatCode>
                <c:ptCount val="12"/>
                <c:pt idx="0">
                  <c:v>4399.3625499999998</c:v>
                </c:pt>
                <c:pt idx="1">
                  <c:v>4989.9394212000007</c:v>
                </c:pt>
                <c:pt idx="2">
                  <c:v>7012.5588099999977</c:v>
                </c:pt>
                <c:pt idx="3">
                  <c:v>8603.7552158000017</c:v>
                </c:pt>
                <c:pt idx="4">
                  <c:v>12590.9105948</c:v>
                </c:pt>
                <c:pt idx="5">
                  <c:v>10289.779631199997</c:v>
                </c:pt>
                <c:pt idx="6">
                  <c:v>9969.8466008000014</c:v>
                </c:pt>
                <c:pt idx="7">
                  <c:v>3671.8557304000001</c:v>
                </c:pt>
                <c:pt idx="8">
                  <c:v>4106.3184176000004</c:v>
                </c:pt>
                <c:pt idx="9">
                  <c:v>6367.6581902000007</c:v>
                </c:pt>
                <c:pt idx="10">
                  <c:v>7277.3962512000026</c:v>
                </c:pt>
                <c:pt idx="11">
                  <c:v>5824.4504842000024</c:v>
                </c:pt>
              </c:numCache>
            </c:numRef>
          </c:val>
          <c:extLst>
            <c:ext xmlns:c16="http://schemas.microsoft.com/office/drawing/2014/chart" uri="{C3380CC4-5D6E-409C-BE32-E72D297353CC}">
              <c16:uniqueId val="{00000000-0F32-4C74-9F9D-029F6CE6E135}"/>
            </c:ext>
          </c:extLst>
        </c:ser>
        <c:ser>
          <c:idx val="1"/>
          <c:order val="1"/>
          <c:tx>
            <c:strRef>
              <c:f>'Turnover charts'!$C$3</c:f>
              <c:strCache>
                <c:ptCount val="1"/>
                <c:pt idx="0">
                  <c:v>NCDEX Agri Futures &amp; Options (LHS)</c:v>
                </c:pt>
              </c:strCache>
            </c:strRef>
          </c:tx>
          <c:spPr>
            <a:solidFill>
              <a:srgbClr val="00B050"/>
            </a:solidFill>
            <a:ln>
              <a:solidFill>
                <a:sysClr val="windowText" lastClr="000000"/>
              </a:solidFill>
            </a:ln>
            <a:effectLst/>
          </c:spPr>
          <c:invertIfNegative val="0"/>
          <c:cat>
            <c:numRef>
              <c:f>'Turnover charts'!$A$37:$A$48</c:f>
              <c:numCache>
                <c:formatCode>mmm\-yy</c:formatCode>
                <c:ptCount val="12"/>
                <c:pt idx="0">
                  <c:v>43709</c:v>
                </c:pt>
                <c:pt idx="1">
                  <c:v>43739</c:v>
                </c:pt>
                <c:pt idx="2">
                  <c:v>43770</c:v>
                </c:pt>
                <c:pt idx="3">
                  <c:v>43800</c:v>
                </c:pt>
                <c:pt idx="4">
                  <c:v>43831</c:v>
                </c:pt>
                <c:pt idx="5">
                  <c:v>43862</c:v>
                </c:pt>
                <c:pt idx="6">
                  <c:v>43891</c:v>
                </c:pt>
                <c:pt idx="7">
                  <c:v>43922</c:v>
                </c:pt>
                <c:pt idx="8">
                  <c:v>43952</c:v>
                </c:pt>
                <c:pt idx="9">
                  <c:v>43983</c:v>
                </c:pt>
                <c:pt idx="10">
                  <c:v>44013</c:v>
                </c:pt>
                <c:pt idx="11">
                  <c:v>44044</c:v>
                </c:pt>
              </c:numCache>
            </c:numRef>
          </c:cat>
          <c:val>
            <c:numRef>
              <c:f>'Turnover charts'!$C$37:$C$48</c:f>
              <c:numCache>
                <c:formatCode>#,##0</c:formatCode>
                <c:ptCount val="12"/>
                <c:pt idx="0">
                  <c:v>35117.179214999982</c:v>
                </c:pt>
                <c:pt idx="1">
                  <c:v>26766.299999999996</c:v>
                </c:pt>
                <c:pt idx="2">
                  <c:v>34770.884635000002</c:v>
                </c:pt>
                <c:pt idx="3">
                  <c:v>36254.971464999988</c:v>
                </c:pt>
                <c:pt idx="4">
                  <c:v>37713.501540000019</c:v>
                </c:pt>
                <c:pt idx="5">
                  <c:v>27400.083519999989</c:v>
                </c:pt>
                <c:pt idx="6">
                  <c:v>25485.03999999999</c:v>
                </c:pt>
                <c:pt idx="7">
                  <c:v>12561.501194999999</c:v>
                </c:pt>
                <c:pt idx="8">
                  <c:v>11168.988342500001</c:v>
                </c:pt>
                <c:pt idx="9">
                  <c:v>18922.815102500001</c:v>
                </c:pt>
                <c:pt idx="10">
                  <c:v>18054.253055000005</c:v>
                </c:pt>
                <c:pt idx="11">
                  <c:v>23929.732684999995</c:v>
                </c:pt>
              </c:numCache>
            </c:numRef>
          </c:val>
          <c:extLst>
            <c:ext xmlns:c16="http://schemas.microsoft.com/office/drawing/2014/chart" uri="{C3380CC4-5D6E-409C-BE32-E72D297353CC}">
              <c16:uniqueId val="{00000001-0F32-4C74-9F9D-029F6CE6E135}"/>
            </c:ext>
          </c:extLst>
        </c:ser>
        <c:dLbls>
          <c:showLegendKey val="0"/>
          <c:showVal val="0"/>
          <c:showCatName val="0"/>
          <c:showSerName val="0"/>
          <c:showPercent val="0"/>
          <c:showBubbleSize val="0"/>
        </c:dLbls>
        <c:gapWidth val="219"/>
        <c:overlap val="-27"/>
        <c:axId val="501336968"/>
        <c:axId val="501340888"/>
      </c:barChart>
      <c:lineChart>
        <c:grouping val="standard"/>
        <c:varyColors val="0"/>
        <c:ser>
          <c:idx val="2"/>
          <c:order val="2"/>
          <c:tx>
            <c:strRef>
              <c:f>'Turnover charts'!$D$3</c:f>
              <c:strCache>
                <c:ptCount val="1"/>
                <c:pt idx="0">
                  <c:v>ICEX Agri Futures (RHS)</c:v>
                </c:pt>
              </c:strCache>
            </c:strRef>
          </c:tx>
          <c:spPr>
            <a:ln w="28575" cap="rnd">
              <a:solidFill>
                <a:srgbClr val="FF0000"/>
              </a:solidFill>
              <a:round/>
            </a:ln>
            <a:effectLst/>
          </c:spPr>
          <c:marker>
            <c:symbol val="none"/>
          </c:marker>
          <c:cat>
            <c:numRef>
              <c:f>'Turnover charts'!$A$37:$A$48</c:f>
              <c:numCache>
                <c:formatCode>mmm\-yy</c:formatCode>
                <c:ptCount val="12"/>
                <c:pt idx="0">
                  <c:v>43709</c:v>
                </c:pt>
                <c:pt idx="1">
                  <c:v>43739</c:v>
                </c:pt>
                <c:pt idx="2">
                  <c:v>43770</c:v>
                </c:pt>
                <c:pt idx="3">
                  <c:v>43800</c:v>
                </c:pt>
                <c:pt idx="4">
                  <c:v>43831</c:v>
                </c:pt>
                <c:pt idx="5">
                  <c:v>43862</c:v>
                </c:pt>
                <c:pt idx="6">
                  <c:v>43891</c:v>
                </c:pt>
                <c:pt idx="7">
                  <c:v>43922</c:v>
                </c:pt>
                <c:pt idx="8">
                  <c:v>43952</c:v>
                </c:pt>
                <c:pt idx="9">
                  <c:v>43983</c:v>
                </c:pt>
                <c:pt idx="10">
                  <c:v>44013</c:v>
                </c:pt>
                <c:pt idx="11">
                  <c:v>44044</c:v>
                </c:pt>
              </c:numCache>
            </c:numRef>
          </c:cat>
          <c:val>
            <c:numRef>
              <c:f>'Turnover charts'!$D$37:$D$48</c:f>
              <c:numCache>
                <c:formatCode>#,##0</c:formatCode>
                <c:ptCount val="12"/>
                <c:pt idx="0">
                  <c:v>557.74860000000001</c:v>
                </c:pt>
                <c:pt idx="1">
                  <c:v>333.78902800000026</c:v>
                </c:pt>
                <c:pt idx="2">
                  <c:v>268.25</c:v>
                </c:pt>
                <c:pt idx="3">
                  <c:v>289.63</c:v>
                </c:pt>
                <c:pt idx="4">
                  <c:v>428.81</c:v>
                </c:pt>
                <c:pt idx="5">
                  <c:v>391.17</c:v>
                </c:pt>
                <c:pt idx="6">
                  <c:v>432.61574500000017</c:v>
                </c:pt>
                <c:pt idx="7">
                  <c:v>213.02189999999999</c:v>
                </c:pt>
                <c:pt idx="8">
                  <c:v>53.65</c:v>
                </c:pt>
                <c:pt idx="9">
                  <c:v>16.16</c:v>
                </c:pt>
                <c:pt idx="10">
                  <c:v>22.481598000000002</c:v>
                </c:pt>
                <c:pt idx="11">
                  <c:v>2.2767149999999998</c:v>
                </c:pt>
              </c:numCache>
            </c:numRef>
          </c:val>
          <c:smooth val="0"/>
          <c:extLst>
            <c:ext xmlns:c16="http://schemas.microsoft.com/office/drawing/2014/chart" uri="{C3380CC4-5D6E-409C-BE32-E72D297353CC}">
              <c16:uniqueId val="{00000002-0F32-4C74-9F9D-029F6CE6E135}"/>
            </c:ext>
          </c:extLst>
        </c:ser>
        <c:ser>
          <c:idx val="3"/>
          <c:order val="3"/>
          <c:tx>
            <c:strRef>
              <c:f>'Turnover charts'!$E$3</c:f>
              <c:strCache>
                <c:ptCount val="1"/>
                <c:pt idx="0">
                  <c:v>BSE Agri Futures (RHS)</c:v>
                </c:pt>
              </c:strCache>
            </c:strRef>
          </c:tx>
          <c:spPr>
            <a:ln w="28575" cap="rnd">
              <a:solidFill>
                <a:srgbClr val="002060"/>
              </a:solidFill>
              <a:round/>
            </a:ln>
            <a:effectLst/>
          </c:spPr>
          <c:marker>
            <c:symbol val="none"/>
          </c:marker>
          <c:cat>
            <c:numRef>
              <c:f>'Turnover charts'!$A$37:$A$48</c:f>
              <c:numCache>
                <c:formatCode>mmm\-yy</c:formatCode>
                <c:ptCount val="12"/>
                <c:pt idx="0">
                  <c:v>43709</c:v>
                </c:pt>
                <c:pt idx="1">
                  <c:v>43739</c:v>
                </c:pt>
                <c:pt idx="2">
                  <c:v>43770</c:v>
                </c:pt>
                <c:pt idx="3">
                  <c:v>43800</c:v>
                </c:pt>
                <c:pt idx="4">
                  <c:v>43831</c:v>
                </c:pt>
                <c:pt idx="5">
                  <c:v>43862</c:v>
                </c:pt>
                <c:pt idx="6">
                  <c:v>43891</c:v>
                </c:pt>
                <c:pt idx="7">
                  <c:v>43922</c:v>
                </c:pt>
                <c:pt idx="8">
                  <c:v>43952</c:v>
                </c:pt>
                <c:pt idx="9">
                  <c:v>43983</c:v>
                </c:pt>
                <c:pt idx="10">
                  <c:v>44013</c:v>
                </c:pt>
                <c:pt idx="11">
                  <c:v>44044</c:v>
                </c:pt>
              </c:numCache>
            </c:numRef>
          </c:cat>
          <c:val>
            <c:numRef>
              <c:f>'Turnover charts'!$E$37:$E$48</c:f>
              <c:numCache>
                <c:formatCode>#,##0</c:formatCode>
                <c:ptCount val="12"/>
                <c:pt idx="0">
                  <c:v>3378.8488450000004</c:v>
                </c:pt>
                <c:pt idx="1">
                  <c:v>2778.13</c:v>
                </c:pt>
                <c:pt idx="2">
                  <c:v>3519.76</c:v>
                </c:pt>
                <c:pt idx="3">
                  <c:v>3636.65</c:v>
                </c:pt>
                <c:pt idx="4">
                  <c:v>1826.49</c:v>
                </c:pt>
                <c:pt idx="5">
                  <c:v>1729.52</c:v>
                </c:pt>
                <c:pt idx="6">
                  <c:v>2006.22</c:v>
                </c:pt>
                <c:pt idx="7">
                  <c:v>1001.73313</c:v>
                </c:pt>
                <c:pt idx="8">
                  <c:v>847.49</c:v>
                </c:pt>
                <c:pt idx="9">
                  <c:v>1565.29</c:v>
                </c:pt>
                <c:pt idx="10">
                  <c:v>323.74</c:v>
                </c:pt>
                <c:pt idx="11">
                  <c:v>153.78</c:v>
                </c:pt>
              </c:numCache>
            </c:numRef>
          </c:val>
          <c:smooth val="0"/>
          <c:extLst>
            <c:ext xmlns:c16="http://schemas.microsoft.com/office/drawing/2014/chart" uri="{C3380CC4-5D6E-409C-BE32-E72D297353CC}">
              <c16:uniqueId val="{00000003-0F32-4C74-9F9D-029F6CE6E135}"/>
            </c:ext>
          </c:extLst>
        </c:ser>
        <c:dLbls>
          <c:showLegendKey val="0"/>
          <c:showVal val="0"/>
          <c:showCatName val="0"/>
          <c:showSerName val="0"/>
          <c:showPercent val="0"/>
          <c:showBubbleSize val="0"/>
        </c:dLbls>
        <c:marker val="1"/>
        <c:smooth val="0"/>
        <c:axId val="501337752"/>
        <c:axId val="501337360"/>
      </c:lineChart>
      <c:dateAx>
        <c:axId val="501336968"/>
        <c:scaling>
          <c:orientation val="minMax"/>
          <c:max val="44044"/>
          <c:min val="43709"/>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01340888"/>
        <c:crosses val="autoZero"/>
        <c:auto val="0"/>
        <c:lblOffset val="100"/>
        <c:baseTimeUnit val="months"/>
        <c:majorUnit val="1"/>
        <c:majorTimeUnit val="months"/>
      </c:dateAx>
      <c:valAx>
        <c:axId val="501340888"/>
        <c:scaling>
          <c:orientation val="minMax"/>
          <c:max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01336968"/>
        <c:crosses val="autoZero"/>
        <c:crossBetween val="between"/>
      </c:valAx>
      <c:valAx>
        <c:axId val="501337360"/>
        <c:scaling>
          <c:orientation val="minMax"/>
          <c:max val="5000"/>
          <c:min val="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01337752"/>
        <c:crosses val="max"/>
        <c:crossBetween val="between"/>
        <c:majorUnit val="1000"/>
      </c:valAx>
      <c:dateAx>
        <c:axId val="501337752"/>
        <c:scaling>
          <c:orientation val="minMax"/>
        </c:scaling>
        <c:delete val="1"/>
        <c:axPos val="b"/>
        <c:numFmt formatCode="mmm\-yy" sourceLinked="1"/>
        <c:majorTickMark val="out"/>
        <c:minorTickMark val="none"/>
        <c:tickLblPos val="nextTo"/>
        <c:crossAx val="501337360"/>
        <c:crosses val="autoZero"/>
        <c:auto val="1"/>
        <c:lblOffset val="100"/>
        <c:baseTimeUnit val="months"/>
      </c:dateAx>
      <c:spPr>
        <a:noFill/>
        <a:ln>
          <a:noFill/>
        </a:ln>
        <a:effectLst/>
      </c:spPr>
    </c:plotArea>
    <c:legend>
      <c:legendPos val="b"/>
      <c:layout>
        <c:manualLayout>
          <c:xMode val="edge"/>
          <c:yMode val="edge"/>
          <c:x val="0.11059526758615527"/>
          <c:y val="0.81530766987459902"/>
          <c:w val="0.83436486736736781"/>
          <c:h val="0.1846923301254009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2.5425336553711E-2"/>
          <c:w val="0.73940947124360035"/>
          <c:h val="0.72457814568050793"/>
        </c:manualLayout>
      </c:layout>
      <c:barChart>
        <c:barDir val="col"/>
        <c:grouping val="stacked"/>
        <c:varyColors val="0"/>
        <c:ser>
          <c:idx val="0"/>
          <c:order val="0"/>
          <c:tx>
            <c:v>MCX Futures (RHS)</c:v>
          </c:tx>
          <c:spPr>
            <a:solidFill>
              <a:srgbClr val="92D050"/>
            </a:solidFill>
            <a:ln>
              <a:solidFill>
                <a:sysClr val="windowText" lastClr="000000"/>
              </a:solidFill>
            </a:ln>
            <a:effectLst/>
          </c:spPr>
          <c:invertIfNegative val="0"/>
          <c:cat>
            <c:numRef>
              <c:f>'Turnover charts'!$I$37:$I$48</c:f>
              <c:numCache>
                <c:formatCode>mmm\-yy</c:formatCode>
                <c:ptCount val="12"/>
                <c:pt idx="0">
                  <c:v>43709</c:v>
                </c:pt>
                <c:pt idx="1">
                  <c:v>43739</c:v>
                </c:pt>
                <c:pt idx="2">
                  <c:v>43770</c:v>
                </c:pt>
                <c:pt idx="3">
                  <c:v>43800</c:v>
                </c:pt>
                <c:pt idx="4">
                  <c:v>43831</c:v>
                </c:pt>
                <c:pt idx="5">
                  <c:v>43862</c:v>
                </c:pt>
                <c:pt idx="6">
                  <c:v>43891</c:v>
                </c:pt>
                <c:pt idx="7">
                  <c:v>43922</c:v>
                </c:pt>
                <c:pt idx="8">
                  <c:v>43952</c:v>
                </c:pt>
                <c:pt idx="9">
                  <c:v>43983</c:v>
                </c:pt>
                <c:pt idx="10">
                  <c:v>44013</c:v>
                </c:pt>
                <c:pt idx="11">
                  <c:v>44044</c:v>
                </c:pt>
              </c:numCache>
            </c:numRef>
          </c:cat>
          <c:val>
            <c:numRef>
              <c:f>'Turnover charts'!$J$4:$J$48</c:f>
              <c:numCache>
                <c:formatCode>_(* #,##0_);_(* \(#,##0\);_(* "-"??_);_(@_)</c:formatCode>
                <c:ptCount val="30"/>
                <c:pt idx="0">
                  <c:v>502333.84615715011</c:v>
                </c:pt>
                <c:pt idx="1">
                  <c:v>554481.07702095003</c:v>
                </c:pt>
                <c:pt idx="2">
                  <c:v>514263.34081070009</c:v>
                </c:pt>
                <c:pt idx="3">
                  <c:v>488935.25250099995</c:v>
                </c:pt>
                <c:pt idx="4">
                  <c:v>510099.26815124979</c:v>
                </c:pt>
                <c:pt idx="5">
                  <c:v>503460.0791320501</c:v>
                </c:pt>
                <c:pt idx="6">
                  <c:v>540136.1876240999</c:v>
                </c:pt>
                <c:pt idx="7">
                  <c:v>602393.52301564987</c:v>
                </c:pt>
                <c:pt idx="8">
                  <c:v>560373.39216535003</c:v>
                </c:pt>
                <c:pt idx="9">
                  <c:v>515431.74569595006</c:v>
                </c:pt>
                <c:pt idx="10">
                  <c:v>600469.55308069987</c:v>
                </c:pt>
                <c:pt idx="11">
                  <c:v>532389.84253700008</c:v>
                </c:pt>
                <c:pt idx="12">
                  <c:v>567761.35483295005</c:v>
                </c:pt>
                <c:pt idx="13">
                  <c:v>516307.34400520008</c:v>
                </c:pt>
                <c:pt idx="14">
                  <c:v>615537.92995134997</c:v>
                </c:pt>
                <c:pt idx="15">
                  <c:v>569240.9336420499</c:v>
                </c:pt>
                <c:pt idx="16">
                  <c:v>716525.07049199997</c:v>
                </c:pt>
                <c:pt idx="17">
                  <c:v>728211.15374000021</c:v>
                </c:pt>
                <c:pt idx="18">
                  <c:v>781695.78193319985</c:v>
                </c:pt>
                <c:pt idx="19">
                  <c:v>668208.51480580005</c:v>
                </c:pt>
                <c:pt idx="20">
                  <c:v>672255.75945409993</c:v>
                </c:pt>
                <c:pt idx="21">
                  <c:v>644422.79156839987</c:v>
                </c:pt>
                <c:pt idx="22">
                  <c:v>827755.84935100004</c:v>
                </c:pt>
                <c:pt idx="23">
                  <c:v>781969.06022450014</c:v>
                </c:pt>
                <c:pt idx="24">
                  <c:v>774725.27535569982</c:v>
                </c:pt>
                <c:pt idx="25">
                  <c:v>278174.58910059999</c:v>
                </c:pt>
                <c:pt idx="26">
                  <c:v>494950.96162219997</c:v>
                </c:pt>
                <c:pt idx="27">
                  <c:v>623568.06468549999</c:v>
                </c:pt>
                <c:pt idx="28">
                  <c:v>846844.32924410037</c:v>
                </c:pt>
                <c:pt idx="29">
                  <c:v>904796.19616849977</c:v>
                </c:pt>
              </c:numCache>
            </c:numRef>
          </c:val>
          <c:extLst>
            <c:ext xmlns:c16="http://schemas.microsoft.com/office/drawing/2014/chart" uri="{C3380CC4-5D6E-409C-BE32-E72D297353CC}">
              <c16:uniqueId val="{00000000-5DA1-44DA-9C05-96A0F75C5CB7}"/>
            </c:ext>
          </c:extLst>
        </c:ser>
        <c:dLbls>
          <c:showLegendKey val="0"/>
          <c:showVal val="0"/>
          <c:showCatName val="0"/>
          <c:showSerName val="0"/>
          <c:showPercent val="0"/>
          <c:showBubbleSize val="0"/>
        </c:dLbls>
        <c:gapWidth val="219"/>
        <c:overlap val="100"/>
        <c:axId val="501340496"/>
        <c:axId val="501339320"/>
        <c:extLst>
          <c:ext xmlns:c15="http://schemas.microsoft.com/office/drawing/2012/chart" uri="{02D57815-91ED-43cb-92C2-25804820EDAC}">
            <c15:filteredBarSeries>
              <c15:ser>
                <c:idx val="1"/>
                <c:order val="1"/>
                <c:tx>
                  <c:strRef>
                    <c:extLst>
                      <c:ext uri="{02D57815-91ED-43cb-92C2-25804820EDAC}">
                        <c15:formulaRef>
                          <c15:sqref>'Turnover charts'!$K$3</c15:sqref>
                        </c15:formulaRef>
                      </c:ext>
                    </c:extLst>
                    <c:strCache>
                      <c:ptCount val="1"/>
                      <c:pt idx="0">
                        <c:v>MCX Options (LHS)</c:v>
                      </c:pt>
                    </c:strCache>
                  </c:strRef>
                </c:tx>
                <c:spPr>
                  <a:solidFill>
                    <a:schemeClr val="accent2"/>
                  </a:solidFill>
                  <a:ln w="12700">
                    <a:solidFill>
                      <a:schemeClr val="tx1">
                        <a:lumMod val="75000"/>
                        <a:lumOff val="25000"/>
                      </a:schemeClr>
                    </a:solidFill>
                  </a:ln>
                  <a:effectLst/>
                </c:spPr>
                <c:invertIfNegative val="0"/>
                <c:dLbls>
                  <c:dLbl>
                    <c:idx val="17"/>
                    <c:layout>
                      <c:manualLayout>
                        <c:x val="-1.8388286406769097E-17"/>
                        <c:y val="-3.2501248425197242E-2"/>
                      </c:manualLayout>
                    </c:layout>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04-5DA1-44DA-9C05-96A0F75C5CB7}"/>
                      </c:ext>
                    </c:extLst>
                  </c:dLbl>
                  <c:dLbl>
                    <c:idx val="18"/>
                    <c:layout>
                      <c:manualLayout>
                        <c:x val="0"/>
                        <c:y val="-3.4407769361986813E-2"/>
                      </c:manualLayout>
                    </c:layout>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05-5DA1-44DA-9C05-96A0F75C5CB7}"/>
                      </c:ext>
                    </c:extLst>
                  </c:dLbl>
                  <c:dLbl>
                    <c:idx val="22"/>
                    <c:layout>
                      <c:manualLayout>
                        <c:x val="-7.3553145627076388E-17"/>
                        <c:y val="-3.2596059245345581E-2"/>
                      </c:manualLayout>
                    </c:layout>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06-5DA1-44DA-9C05-96A0F75C5CB7}"/>
                      </c:ext>
                    </c:extLst>
                  </c:dLbl>
                  <c:dLbl>
                    <c:idx val="23"/>
                    <c:layout>
                      <c:manualLayout>
                        <c:x val="6.1760164693771763E-3"/>
                        <c:y val="-4.0538758673145762E-2"/>
                      </c:manualLayout>
                    </c:layout>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07-5DA1-44DA-9C05-96A0F75C5CB7}"/>
                      </c:ext>
                    </c:extLst>
                  </c:dLbl>
                  <c:dLbl>
                    <c:idx val="24"/>
                    <c:layout>
                      <c:manualLayout>
                        <c:x val="1.2352032938754427E-2"/>
                        <c:y val="-4.999562786010818E-2"/>
                      </c:manualLayout>
                    </c:layout>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08-5DA1-44DA-9C05-96A0F75C5CB7}"/>
                      </c:ext>
                    </c:extLst>
                  </c:dLbl>
                  <c:dLbl>
                    <c:idx val="28"/>
                    <c:layout>
                      <c:manualLayout>
                        <c:x val="2.4704065877508855E-2"/>
                        <c:y val="-2.7596946997172699E-2"/>
                      </c:manualLayout>
                    </c:layout>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09-5DA1-44DA-9C05-96A0F75C5CB7}"/>
                      </c:ext>
                    </c:extLst>
                  </c:dLbl>
                  <c:dLbl>
                    <c:idx val="29"/>
                    <c:layout>
                      <c:manualLayout>
                        <c:x val="2.4704065877509007E-2"/>
                        <c:y val="-1.9802058229490851E-2"/>
                      </c:manualLayout>
                    </c:layout>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0A-5DA1-44DA-9C05-96A0F75C5C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dLblPos val="inBase"/>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'Turnover charts'!$I$37:$I$48</c15:sqref>
                        </c15:formulaRef>
                      </c:ext>
                    </c:extLst>
                    <c:numCache>
                      <c:formatCode>mmm\-yy</c:formatCode>
                      <c:ptCount val="12"/>
                      <c:pt idx="0">
                        <c:v>43709</c:v>
                      </c:pt>
                      <c:pt idx="1">
                        <c:v>43739</c:v>
                      </c:pt>
                      <c:pt idx="2">
                        <c:v>43770</c:v>
                      </c:pt>
                      <c:pt idx="3">
                        <c:v>43800</c:v>
                      </c:pt>
                      <c:pt idx="4">
                        <c:v>43831</c:v>
                      </c:pt>
                      <c:pt idx="5">
                        <c:v>43862</c:v>
                      </c:pt>
                      <c:pt idx="6">
                        <c:v>43891</c:v>
                      </c:pt>
                      <c:pt idx="7">
                        <c:v>43922</c:v>
                      </c:pt>
                      <c:pt idx="8">
                        <c:v>43952</c:v>
                      </c:pt>
                      <c:pt idx="9">
                        <c:v>43983</c:v>
                      </c:pt>
                      <c:pt idx="10">
                        <c:v>44013</c:v>
                      </c:pt>
                      <c:pt idx="11">
                        <c:v>44044</c:v>
                      </c:pt>
                    </c:numCache>
                  </c:numRef>
                </c:cat>
                <c:val>
                  <c:numRef>
                    <c:extLst>
                      <c:ext uri="{02D57815-91ED-43cb-92C2-25804820EDAC}">
                        <c15:formulaRef>
                          <c15:sqref>'Turnover charts'!$K$4:$K$48</c15:sqref>
                        </c15:formulaRef>
                      </c:ext>
                    </c:extLst>
                    <c:numCache>
                      <c:formatCode>_(* #,##0_);_(* \(#,##0\);_(* "-"??_);_(@_)</c:formatCode>
                      <c:ptCount val="30"/>
                      <c:pt idx="0">
                        <c:v>703.93000000000006</c:v>
                      </c:pt>
                      <c:pt idx="1">
                        <c:v>2640.42</c:v>
                      </c:pt>
                      <c:pt idx="2">
                        <c:v>16870.32</c:v>
                      </c:pt>
                      <c:pt idx="3">
                        <c:v>15987.750000000002</c:v>
                      </c:pt>
                      <c:pt idx="4">
                        <c:v>19672.011136500001</c:v>
                      </c:pt>
                      <c:pt idx="5">
                        <c:v>11041.360000000002</c:v>
                      </c:pt>
                      <c:pt idx="6">
                        <c:v>46624.133279499998</c:v>
                      </c:pt>
                      <c:pt idx="7">
                        <c:v>15644.809233</c:v>
                      </c:pt>
                      <c:pt idx="8">
                        <c:v>10235</c:v>
                      </c:pt>
                      <c:pt idx="9">
                        <c:v>9813.9104735000001</c:v>
                      </c:pt>
                      <c:pt idx="10">
                        <c:v>10472.720000000001</c:v>
                      </c:pt>
                      <c:pt idx="11">
                        <c:v>9291.3051825000002</c:v>
                      </c:pt>
                      <c:pt idx="12">
                        <c:v>12651.029999999999</c:v>
                      </c:pt>
                      <c:pt idx="13">
                        <c:v>8685.25</c:v>
                      </c:pt>
                      <c:pt idx="14">
                        <c:v>16861.852479000001</c:v>
                      </c:pt>
                      <c:pt idx="15">
                        <c:v>14616.749534499999</c:v>
                      </c:pt>
                      <c:pt idx="16">
                        <c:v>21042.729179999998</c:v>
                      </c:pt>
                      <c:pt idx="17">
                        <c:v>23329.757045500002</c:v>
                      </c:pt>
                      <c:pt idx="18">
                        <c:v>31458.28</c:v>
                      </c:pt>
                      <c:pt idx="19">
                        <c:v>17859.342895000002</c:v>
                      </c:pt>
                      <c:pt idx="20">
                        <c:v>21219.491989000002</c:v>
                      </c:pt>
                      <c:pt idx="21">
                        <c:v>15383.161334999999</c:v>
                      </c:pt>
                      <c:pt idx="22">
                        <c:v>40469.633901499998</c:v>
                      </c:pt>
                      <c:pt idx="23">
                        <c:v>33997.311160500001</c:v>
                      </c:pt>
                      <c:pt idx="24">
                        <c:v>46819.111044999998</c:v>
                      </c:pt>
                      <c:pt idx="25">
                        <c:v>8497.2066059999997</c:v>
                      </c:pt>
                      <c:pt idx="26">
                        <c:v>16049.714781499999</c:v>
                      </c:pt>
                      <c:pt idx="27">
                        <c:v>15138.664696</c:v>
                      </c:pt>
                      <c:pt idx="28">
                        <c:v>21064.531812000001</c:v>
                      </c:pt>
                      <c:pt idx="29">
                        <c:v>28998.239947999999</c:v>
                      </c:pt>
                    </c:numCache>
                  </c:numRef>
                </c:val>
                <c:extLst>
                  <c:ext xmlns:c16="http://schemas.microsoft.com/office/drawing/2014/chart" uri="{C3380CC4-5D6E-409C-BE32-E72D297353CC}">
                    <c16:uniqueId val="{0000000B-5DA1-44DA-9C05-96A0F75C5CB7}"/>
                  </c:ext>
                </c:extLst>
              </c15:ser>
            </c15:filteredBarSeries>
          </c:ext>
        </c:extLst>
      </c:barChart>
      <c:lineChart>
        <c:grouping val="standard"/>
        <c:varyColors val="0"/>
        <c:ser>
          <c:idx val="2"/>
          <c:order val="2"/>
          <c:tx>
            <c:v>BSE Futures (LHS)</c:v>
          </c:tx>
          <c:spPr>
            <a:ln w="19050" cap="rnd">
              <a:solidFill>
                <a:srgbClr val="7030A0"/>
              </a:solidFill>
              <a:prstDash val="dash"/>
              <a:round/>
            </a:ln>
            <a:effectLst/>
          </c:spPr>
          <c:marker>
            <c:symbol val="diamond"/>
            <c:size val="5"/>
            <c:spPr>
              <a:solidFill>
                <a:srgbClr val="7030A0"/>
              </a:solidFill>
              <a:ln w="19050">
                <a:solidFill>
                  <a:srgbClr val="7030A0"/>
                </a:solidFill>
                <a:prstDash val="dash"/>
              </a:ln>
              <a:effectLst/>
            </c:spPr>
          </c:marker>
          <c:cat>
            <c:numRef>
              <c:f>'Turnover charts'!$I$4:$I$48</c:f>
              <c:numCache>
                <c:formatCode>mmm\-yy</c:formatCode>
                <c:ptCount val="30"/>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numCache>
            </c:numRef>
          </c:cat>
          <c:val>
            <c:numRef>
              <c:f>'Turnover charts'!$L$4:$L$48</c:f>
              <c:numCache>
                <c:formatCode>General</c:formatCode>
                <c:ptCount val="30"/>
                <c:pt idx="7" formatCode="_(* #,##0_);_(* \(#,##0\);_(* &quot;-&quot;??_);_(@_)">
                  <c:v>7049.36</c:v>
                </c:pt>
                <c:pt idx="8" formatCode="_(* #,##0_);_(* \(#,##0\);_(* &quot;-&quot;??_);_(@_)">
                  <c:v>7228.18</c:v>
                </c:pt>
                <c:pt idx="9" formatCode="_(* #,##0_);_(* \(#,##0\);_(* &quot;-&quot;??_);_(@_)">
                  <c:v>3754.7995000000001</c:v>
                </c:pt>
                <c:pt idx="10" formatCode="_(* #,##0_);_(* \(#,##0\);_(* &quot;-&quot;??_);_(@_)">
                  <c:v>6538.5090380000001</c:v>
                </c:pt>
                <c:pt idx="11" formatCode="_(* #,##0_);_(* \(#,##0\);_(* &quot;-&quot;??_);_(@_)">
                  <c:v>1990.250556</c:v>
                </c:pt>
                <c:pt idx="12" formatCode="_(* #,##0_);_(* \(#,##0\);_(* &quot;-&quot;??_);_(@_)">
                  <c:v>1523.74</c:v>
                </c:pt>
                <c:pt idx="13" formatCode="_(* #,##0_);_(* \(#,##0\);_(* &quot;-&quot;??_);_(@_)">
                  <c:v>2218.23</c:v>
                </c:pt>
                <c:pt idx="14" formatCode="_(* #,##0_);_(* \(#,##0\);_(* &quot;-&quot;??_);_(@_)">
                  <c:v>2157.7899499999999</c:v>
                </c:pt>
                <c:pt idx="15" formatCode="_(* #,##0_);_(* \(#,##0\);_(* &quot;-&quot;??_);_(@_)">
                  <c:v>1756.83</c:v>
                </c:pt>
                <c:pt idx="16" formatCode="_(* #,##0_);_(* \(#,##0\);_(* &quot;-&quot;??_);_(@_)">
                  <c:v>713.38525000000004</c:v>
                </c:pt>
                <c:pt idx="17" formatCode="_(* #,##0_);_(* \(#,##0\);_(* &quot;-&quot;??_);_(@_)">
                  <c:v>521.28</c:v>
                </c:pt>
                <c:pt idx="18" formatCode="_(* #,##0_);_(* \(#,##0\);_(* &quot;-&quot;??_);_(@_)">
                  <c:v>523.60118499999999</c:v>
                </c:pt>
                <c:pt idx="19" formatCode="_(* #,##0_);_(* \(#,##0\);_(* &quot;-&quot;??_);_(@_)">
                  <c:v>317.45999999999998</c:v>
                </c:pt>
                <c:pt idx="20" formatCode="_(* #,##0_);_(* \(#,##0\);_(* &quot;-&quot;??_);_(@_)">
                  <c:v>102.15</c:v>
                </c:pt>
                <c:pt idx="21" formatCode="_(* #,##0_);_(* \(#,##0\);_(* &quot;-&quot;??_);_(@_)">
                  <c:v>49.92</c:v>
                </c:pt>
                <c:pt idx="22" formatCode="_(* #,##0_);_(* \(#,##0\);_(* &quot;-&quot;??_);_(@_)">
                  <c:v>506.52000000000004</c:v>
                </c:pt>
                <c:pt idx="23" formatCode="_(* #,##0_);_(* \(#,##0\);_(* &quot;-&quot;??_);_(@_)">
                  <c:v>995.73</c:v>
                </c:pt>
                <c:pt idx="24" formatCode="_(* #,##0_);_(* \(#,##0\);_(* &quot;-&quot;??_);_(@_)">
                  <c:v>259.89</c:v>
                </c:pt>
                <c:pt idx="25" formatCode="_(* #,##0_);_(* \(#,##0\);_(* &quot;-&quot;??_);_(@_)">
                  <c:v>0</c:v>
                </c:pt>
                <c:pt idx="26" formatCode="_(* #,##0_);_(* \(#,##0\);_(* &quot;-&quot;??_);_(@_)">
                  <c:v>0.57201000000000002</c:v>
                </c:pt>
                <c:pt idx="27" formatCode="_(* #,##0_);_(* \(#,##0\);_(* &quot;-&quot;??_);_(@_)">
                  <c:v>18.64</c:v>
                </c:pt>
                <c:pt idx="28" formatCode="_(* #,##0_);_(* \(#,##0\);_(* &quot;-&quot;??_);_(@_)">
                  <c:v>0</c:v>
                </c:pt>
                <c:pt idx="29" formatCode="_(* #,##0_);_(* \(#,##0\);_(* &quot;-&quot;??_);_(@_)">
                  <c:v>0</c:v>
                </c:pt>
              </c:numCache>
            </c:numRef>
          </c:val>
          <c:smooth val="0"/>
          <c:extLst>
            <c:ext xmlns:c16="http://schemas.microsoft.com/office/drawing/2014/chart" uri="{C3380CC4-5D6E-409C-BE32-E72D297353CC}">
              <c16:uniqueId val="{00000001-5DA1-44DA-9C05-96A0F75C5CB7}"/>
            </c:ext>
          </c:extLst>
        </c:ser>
        <c:ser>
          <c:idx val="4"/>
          <c:order val="4"/>
          <c:tx>
            <c:v>NSE Futures (LHS)</c:v>
          </c:tx>
          <c:spPr>
            <a:ln w="19050" cap="rnd">
              <a:solidFill>
                <a:srgbClr val="C0504D">
                  <a:lumMod val="75000"/>
                </a:srgbClr>
              </a:solidFill>
              <a:prstDash val="sysDash"/>
              <a:round/>
            </a:ln>
            <a:effectLst/>
          </c:spPr>
          <c:marker>
            <c:symbol val="none"/>
          </c:marker>
          <c:cat>
            <c:numRef>
              <c:f>'Turnover charts'!$I$4:$I$48</c:f>
              <c:numCache>
                <c:formatCode>mmm\-yy</c:formatCode>
                <c:ptCount val="30"/>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numCache>
            </c:numRef>
          </c:cat>
          <c:val>
            <c:numRef>
              <c:f>'Turnover charts'!$N$4:$N$48</c:f>
              <c:numCache>
                <c:formatCode>General</c:formatCode>
                <c:ptCount val="30"/>
                <c:pt idx="7" formatCode="_(* #,##0_);_(* \(#,##0\);_(* &quot;-&quot;??_);_(@_)">
                  <c:v>696</c:v>
                </c:pt>
                <c:pt idx="8" formatCode="_(* #,##0_);_(* \(#,##0\);_(* &quot;-&quot;??_);_(@_)">
                  <c:v>838</c:v>
                </c:pt>
                <c:pt idx="9" formatCode="_(* #,##0_);_(* \(#,##0\);_(* &quot;-&quot;??_);_(@_)">
                  <c:v>532.61176099999989</c:v>
                </c:pt>
                <c:pt idx="10" formatCode="_(* #,##0_);_(* \(#,##0\);_(* &quot;-&quot;??_);_(@_)">
                  <c:v>448.81896000000006</c:v>
                </c:pt>
                <c:pt idx="11" formatCode="_(* #,##0_);_(* \(#,##0\);_(* &quot;-&quot;??_);_(@_)">
                  <c:v>498.68747400000018</c:v>
                </c:pt>
                <c:pt idx="12" formatCode="_(* #,##0_);_(* \(#,##0\);_(* &quot;-&quot;??_);_(@_)">
                  <c:v>429.59991599999989</c:v>
                </c:pt>
                <c:pt idx="13" formatCode="_ * #,##0_ ;_ * \-#,##0_ ;_ * &quot;-&quot;??_ ;_ @_ ">
                  <c:v>489.78634199999982</c:v>
                </c:pt>
                <c:pt idx="14" formatCode="_ * #,##0_ ;_ * \-#,##0_ ;_ * &quot;-&quot;??_ ;_ @_ ">
                  <c:v>442.31177699999989</c:v>
                </c:pt>
                <c:pt idx="15" formatCode="_ * #,##0_ ;_ * \-#,##0_ ;_ * &quot;-&quot;??_ ;_ @_ ">
                  <c:v>433.71475299999997</c:v>
                </c:pt>
                <c:pt idx="16" formatCode="_ * #,##0_ ;_ * \-#,##0_ ;_ * &quot;-&quot;??_ ;_ @_ ">
                  <c:v>503.29481899999996</c:v>
                </c:pt>
                <c:pt idx="17" formatCode="_ * #,##0_ ;_ * \-#,##0_ ;_ * &quot;-&quot;??_ ;_ @_ ">
                  <c:v>1488.9719589999997</c:v>
                </c:pt>
                <c:pt idx="18" formatCode="_ * #,##0_ ;_ * \-#,##0_ ;_ * &quot;-&quot;??_ ;_ @_ ">
                  <c:v>935.04276299999981</c:v>
                </c:pt>
                <c:pt idx="19" formatCode="_ * #,##0_ ;_ * \-#,##0_ ;_ * &quot;-&quot;??_ ;_ @_ ">
                  <c:v>866.89360199999999</c:v>
                </c:pt>
                <c:pt idx="20" formatCode="_ * #,##0_ ;_ * \-#,##0_ ;_ * &quot;-&quot;??_ ;_ @_ ">
                  <c:v>721.01195100000018</c:v>
                </c:pt>
                <c:pt idx="21" formatCode="_ * #,##0_ ;_ * \-#,##0_ ;_ * &quot;-&quot;??_ ;_ @_ ">
                  <c:v>118.52533</c:v>
                </c:pt>
                <c:pt idx="22" formatCode="_ * #,##0_ ;_ * \-#,##0_ ;_ * &quot;-&quot;??_ ;_ @_ ">
                  <c:v>112.63363</c:v>
                </c:pt>
                <c:pt idx="23" formatCode="_ * #,##0_ ;_ * \-#,##0_ ;_ * &quot;-&quot;??_ ;_ @_ ">
                  <c:v>157.351113</c:v>
                </c:pt>
                <c:pt idx="24" formatCode="_(* #,##0_);_(* \(#,##0\);_(* &quot;-&quot;??_);_(@_)">
                  <c:v>92.761235999999997</c:v>
                </c:pt>
                <c:pt idx="25" formatCode="_(* #,##0_);_(* \(#,##0\);_(* &quot;-&quot;??_);_(@_)">
                  <c:v>57.360366999999997</c:v>
                </c:pt>
                <c:pt idx="26" formatCode="_(* #,##0_);_(* \(#,##0\);_(* &quot;-&quot;??_);_(@_)">
                  <c:v>76.517431000000016</c:v>
                </c:pt>
                <c:pt idx="27" formatCode="_(* #,##0_);_(* \(#,##0\);_(* &quot;-&quot;??_);_(@_)">
                  <c:v>209.17937999999998</c:v>
                </c:pt>
                <c:pt idx="28" formatCode="_(* #,##0_);_(* \(#,##0\);_(* &quot;-&quot;??_);_(@_)">
                  <c:v>45.493170000000013</c:v>
                </c:pt>
                <c:pt idx="29" formatCode="_(* #,##0_);_(* \(#,##0\);_(* &quot;-&quot;??_);_(@_)">
                  <c:v>92.012484999999998</c:v>
                </c:pt>
              </c:numCache>
            </c:numRef>
          </c:val>
          <c:smooth val="0"/>
          <c:extLst>
            <c:ext xmlns:c16="http://schemas.microsoft.com/office/drawing/2014/chart" uri="{C3380CC4-5D6E-409C-BE32-E72D297353CC}">
              <c16:uniqueId val="{00000002-5DA1-44DA-9C05-96A0F75C5CB7}"/>
            </c:ext>
          </c:extLst>
        </c:ser>
        <c:ser>
          <c:idx val="6"/>
          <c:order val="6"/>
          <c:tx>
            <c:v>ICEX Futures (LHS)</c:v>
          </c:tx>
          <c:spPr>
            <a:ln w="19050" cap="rnd">
              <a:solidFill>
                <a:srgbClr val="FF3399"/>
              </a:solidFill>
              <a:round/>
            </a:ln>
            <a:effectLst/>
          </c:spPr>
          <c:marker>
            <c:symbol val="none"/>
          </c:marker>
          <c:cat>
            <c:numRef>
              <c:f>'Turnover charts'!$I$4:$I$48</c:f>
              <c:numCache>
                <c:formatCode>mmm\-yy</c:formatCode>
                <c:ptCount val="30"/>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numCache>
            </c:numRef>
          </c:cat>
          <c:val>
            <c:numRef>
              <c:f>'Turnover charts'!$P$4:$P$48</c:f>
              <c:numCache>
                <c:formatCode>_(* #,##0_);_(* \(#,##0\);_(* "-"??_);_(@_)</c:formatCode>
                <c:ptCount val="30"/>
                <c:pt idx="0">
                  <c:v>416.07</c:v>
                </c:pt>
                <c:pt idx="1">
                  <c:v>479.26</c:v>
                </c:pt>
                <c:pt idx="2">
                  <c:v>362.4169</c:v>
                </c:pt>
                <c:pt idx="3">
                  <c:v>294.87927165000002</c:v>
                </c:pt>
                <c:pt idx="4">
                  <c:v>465.09</c:v>
                </c:pt>
                <c:pt idx="5">
                  <c:v>432.48</c:v>
                </c:pt>
                <c:pt idx="6">
                  <c:v>931.1400000000001</c:v>
                </c:pt>
                <c:pt idx="7">
                  <c:v>1605.41</c:v>
                </c:pt>
                <c:pt idx="8">
                  <c:v>2282</c:v>
                </c:pt>
                <c:pt idx="9">
                  <c:v>2864.81</c:v>
                </c:pt>
                <c:pt idx="10">
                  <c:v>3465.17</c:v>
                </c:pt>
                <c:pt idx="11" formatCode="_ * #,##0_ ;_ * \-#,##0_ ;_ * &quot;-&quot;??_ ;_ @_ ">
                  <c:v>5142.6001000000006</c:v>
                </c:pt>
                <c:pt idx="12" formatCode="_ * #,##0_ ;_ * \-#,##0_ ;_ * &quot;-&quot;??_ ;_ @_ ">
                  <c:v>4639</c:v>
                </c:pt>
                <c:pt idx="13" formatCode="_ * #,##0_ ;_ * \-#,##0_ ;_ * &quot;-&quot;??_ ;_ @_ ">
                  <c:v>4213.75</c:v>
                </c:pt>
                <c:pt idx="14" formatCode="_ * #,##0_ ;_ * \-#,##0_ ;_ * &quot;-&quot;??_ ;_ @_ ">
                  <c:v>4377.28</c:v>
                </c:pt>
                <c:pt idx="15" formatCode="_ * #,##0_ ;_ * \-#,##0_ ;_ * &quot;-&quot;??_ ;_ @_ ">
                  <c:v>2098.69</c:v>
                </c:pt>
                <c:pt idx="16" formatCode="_ * #,##0_ ;_ * \-#,##0_ ;_ * &quot;-&quot;??_ ;_ @_ ">
                  <c:v>1620.43</c:v>
                </c:pt>
                <c:pt idx="17" formatCode="_ * #,##0_ ;_ * \-#,##0_ ;_ * &quot;-&quot;??_ ;_ @_ ">
                  <c:v>1905.46</c:v>
                </c:pt>
                <c:pt idx="18" formatCode="_ * #,##0_ ;_ * \-#,##0_ ;_ * &quot;-&quot;??_ ;_ @_ ">
                  <c:v>1203.5981999999999</c:v>
                </c:pt>
                <c:pt idx="19" formatCode="_ * #,##0_ ;_ * \-#,##0_ ;_ * &quot;-&quot;??_ ;_ @_ ">
                  <c:v>3028.555050220004</c:v>
                </c:pt>
                <c:pt idx="20" formatCode="_ * #,##0_ ;_ * \-#,##0_ ;_ * &quot;-&quot;??_ ;_ @_ ">
                  <c:v>2871.1499999999996</c:v>
                </c:pt>
                <c:pt idx="21" formatCode="_ * #,##0_ ;_ * \-#,##0_ ;_ * &quot;-&quot;??_ ;_ @_ ">
                  <c:v>3042.59</c:v>
                </c:pt>
                <c:pt idx="22" formatCode="_ * #,##0_ ;_ * \-#,##0_ ;_ * &quot;-&quot;??_ ;_ @_ ">
                  <c:v>4160.09</c:v>
                </c:pt>
                <c:pt idx="23" formatCode="_ * #,##0_ ;_ * \-#,##0_ ;_ * &quot;-&quot;??_ ;_ @_ ">
                  <c:v>3755.1499999999996</c:v>
                </c:pt>
                <c:pt idx="24" formatCode="_ * #,##0_ ;_ * \-#,##0_ ;_ * &quot;-&quot;??_ ;_ @_ ">
                  <c:v>2881.026557055</c:v>
                </c:pt>
                <c:pt idx="25" formatCode="_ * #,##0_ ;_ * \-#,##0_ ;_ * &quot;-&quot;??_ ;_ @_ ">
                  <c:v>723.36930000000007</c:v>
                </c:pt>
                <c:pt idx="26" formatCode="_ * #,##0_ ;_ * \-#,##0_ ;_ * &quot;-&quot;??_ ;_ @_ ">
                  <c:v>489.81</c:v>
                </c:pt>
                <c:pt idx="27" formatCode="_ * #,##0_ ;_ * \-#,##0_ ;_ * &quot;-&quot;??_ ;_ @_ ">
                  <c:v>83.703000000000003</c:v>
                </c:pt>
                <c:pt idx="28" formatCode="_ * #,##0_ ;_ * \-#,##0_ ;_ * &quot;-&quot;??_ ;_ @_ ">
                  <c:v>4.3270248599999999</c:v>
                </c:pt>
                <c:pt idx="29" formatCode="_ * #,##0_ ;_ * \-#,##0_ ;_ * &quot;-&quot;??_ ;_ @_ ">
                  <c:v>1.6379999999999999E-3</c:v>
                </c:pt>
              </c:numCache>
            </c:numRef>
          </c:val>
          <c:smooth val="0"/>
          <c:extLst>
            <c:ext xmlns:c16="http://schemas.microsoft.com/office/drawing/2014/chart" uri="{C3380CC4-5D6E-409C-BE32-E72D297353CC}">
              <c16:uniqueId val="{00000003-5DA1-44DA-9C05-96A0F75C5CB7}"/>
            </c:ext>
          </c:extLst>
        </c:ser>
        <c:dLbls>
          <c:showLegendKey val="0"/>
          <c:showVal val="0"/>
          <c:showCatName val="0"/>
          <c:showSerName val="0"/>
          <c:showPercent val="0"/>
          <c:showBubbleSize val="0"/>
        </c:dLbls>
        <c:marker val="1"/>
        <c:smooth val="0"/>
        <c:axId val="501338144"/>
        <c:axId val="501338536"/>
        <c:extLst>
          <c:ext xmlns:c15="http://schemas.microsoft.com/office/drawing/2012/chart" uri="{02D57815-91ED-43cb-92C2-25804820EDAC}">
            <c15:filteredLineSeries>
              <c15:ser>
                <c:idx val="3"/>
                <c:order val="3"/>
                <c:tx>
                  <c:strRef>
                    <c:extLst>
                      <c:ext uri="{02D57815-91ED-43cb-92C2-25804820EDAC}">
                        <c15:formulaRef>
                          <c15:sqref>'Turnover charts'!$M$3</c15:sqref>
                        </c15:formulaRef>
                      </c:ext>
                    </c:extLst>
                    <c:strCache>
                      <c:ptCount val="1"/>
                      <c:pt idx="0">
                        <c:v>BSE Options (RHS)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extLst>
                      <c:ext uri="{02D57815-91ED-43cb-92C2-25804820EDAC}">
                        <c15:formulaRef>
                          <c15:sqref>'Turnover charts'!$I$4:$I$48</c15:sqref>
                        </c15:formulaRef>
                      </c:ext>
                    </c:extLst>
                    <c:numCache>
                      <c:formatCode>mmm\-yy</c:formatCode>
                      <c:ptCount val="30"/>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numCache>
                  </c:numRef>
                </c:cat>
                <c:val>
                  <c:numRef>
                    <c:extLst>
                      <c:ext uri="{02D57815-91ED-43cb-92C2-25804820EDAC}">
                        <c15:formulaRef>
                          <c15:sqref>'Turnover charts'!$M$4:$M$48</c15:sqref>
                        </c15:formulaRef>
                      </c:ext>
                    </c:extLst>
                    <c:numCache>
                      <c:formatCode>General</c:formatCode>
                      <c:ptCount val="30"/>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0_);_(* \(#,##0\);_(* &quot;-&quot;??_);_(@_)">
                        <c:v>0</c:v>
                      </c:pt>
                      <c:pt idx="14" formatCode="_(* #,##0_);_(* \(#,##0\);_(* &quot;-&quot;??_);_(@_)">
                        <c:v>0</c:v>
                      </c:pt>
                      <c:pt idx="15" formatCode="_(* #,##0_);_(* \(#,##0\);_(* &quot;-&quot;??_);_(@_)">
                        <c:v>0</c:v>
                      </c:pt>
                      <c:pt idx="16" formatCode="_(* #,##0_);_(* \(#,##0\);_(* &quot;-&quot;??_);_(@_)">
                        <c:v>0</c:v>
                      </c:pt>
                      <c:pt idx="17" formatCode="_(* #,##0_);_(* \(#,##0\);_(* &quot;-&quot;??_);_(@_)">
                        <c:v>0</c:v>
                      </c:pt>
                      <c:pt idx="18" formatCode="_(* #,##0_);_(* \(#,##0\);_(* &quot;-&quot;??_);_(@_)">
                        <c:v>0</c:v>
                      </c:pt>
                      <c:pt idx="19" formatCode="_(* #,##0_);_(* \(#,##0\);_(* &quot;-&quot;??_);_(@_)">
                        <c:v>0</c:v>
                      </c:pt>
                      <c:pt idx="20" formatCode="_(* #,##0_);_(* \(#,##0\);_(* &quot;-&quot;??_);_(@_)">
                        <c:v>0</c:v>
                      </c:pt>
                      <c:pt idx="21" formatCode="_(* #,##0_);_(* \(#,##0\);_(* &quot;-&quot;??_);_(@_)">
                        <c:v>0</c:v>
                      </c:pt>
                      <c:pt idx="22" formatCode="_(* #,##0_);_(* \(#,##0\);_(* &quot;-&quot;??_);_(@_)">
                        <c:v>0</c:v>
                      </c:pt>
                      <c:pt idx="23" formatCode="_(* #,##0_);_(* \(#,##0\);_(* &quot;-&quot;??_);_(@_)">
                        <c:v>0</c:v>
                      </c:pt>
                      <c:pt idx="24" formatCode="_(* #,##0_);_(* \(#,##0\);_(* &quot;-&quot;??_);_(@_)">
                        <c:v>0</c:v>
                      </c:pt>
                      <c:pt idx="25" formatCode="_(* #,##0_);_(* \(#,##0\);_(* &quot;-&quot;??_);_(@_)">
                        <c:v>0</c:v>
                      </c:pt>
                      <c:pt idx="26" formatCode="_(* #,##0_);_(* \(#,##0\);_(* &quot;-&quot;??_);_(@_)">
                        <c:v>0</c:v>
                      </c:pt>
                      <c:pt idx="27" formatCode="_ * #,##0_ ;_ * \-#,##0_ ;_ * &quot;-&quot;??_ ;_ @_ ">
                        <c:v>26816.769999999997</c:v>
                      </c:pt>
                      <c:pt idx="28" formatCode="_ * #,##0_ ;_ * \-#,##0_ ;_ * &quot;-&quot;??_ ;_ @_ ">
                        <c:v>72242.989999999991</c:v>
                      </c:pt>
                      <c:pt idx="29" formatCode="_ * #,##0_ ;_ * \-#,##0_ ;_ * &quot;-&quot;??_ ;_ @_ ">
                        <c:v>71670.850000000006</c:v>
                      </c:pt>
                    </c:numCache>
                  </c:numRef>
                </c:val>
                <c:smooth val="0"/>
                <c:extLst>
                  <c:ext xmlns:c16="http://schemas.microsoft.com/office/drawing/2014/chart" uri="{C3380CC4-5D6E-409C-BE32-E72D297353CC}">
                    <c16:uniqueId val="{0000000C-5DA1-44DA-9C05-96A0F75C5CB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'Turnover charts'!$O$3</c15:sqref>
                        </c15:formulaRef>
                      </c:ext>
                    </c:extLst>
                    <c:strCache>
                      <c:ptCount val="1"/>
                      <c:pt idx="0">
                        <c:v>NSE option (RHS)</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'Turnover charts'!$I$4:$I$48</c15:sqref>
                        </c15:formulaRef>
                      </c:ext>
                    </c:extLst>
                    <c:numCache>
                      <c:formatCode>mmm\-yy</c:formatCode>
                      <c:ptCount val="30"/>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numCache>
                  </c:numRef>
                </c:cat>
                <c:val>
                  <c:numRef>
                    <c:extLst xmlns:c15="http://schemas.microsoft.com/office/drawing/2012/chart">
                      <c:ext xmlns:c15="http://schemas.microsoft.com/office/drawing/2012/chart" uri="{02D57815-91ED-43cb-92C2-25804820EDAC}">
                        <c15:formulaRef>
                          <c15:sqref>'Turnover charts'!$O$4:$O$48</c15:sqref>
                        </c15:formulaRef>
                      </c:ext>
                    </c:extLst>
                    <c:numCache>
                      <c:formatCode>General</c:formatCode>
                      <c:ptCount val="30"/>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 #,##0_ ;_ * \-#,##0_ ;_ * &quot;-&quot;??_ ;_ @_ ">
                        <c:v>0</c:v>
                      </c:pt>
                      <c:pt idx="14" formatCode="_ * #,##0_ ;_ * \-#,##0_ ;_ * &quot;-&quot;??_ ;_ @_ ">
                        <c:v>0</c:v>
                      </c:pt>
                      <c:pt idx="15" formatCode="_ * #,##0_ ;_ * \-#,##0_ ;_ * &quot;-&quot;??_ ;_ @_ ">
                        <c:v>0</c:v>
                      </c:pt>
                      <c:pt idx="16" formatCode="_ * #,##0_ ;_ * \-#,##0_ ;_ * &quot;-&quot;??_ ;_ @_ ">
                        <c:v>0</c:v>
                      </c:pt>
                      <c:pt idx="17" formatCode="_ * #,##0_ ;_ * \-#,##0_ ;_ * &quot;-&quot;??_ ;_ @_ ">
                        <c:v>0</c:v>
                      </c:pt>
                      <c:pt idx="18" formatCode="_ * #,##0_ ;_ * \-#,##0_ ;_ * &quot;-&quot;??_ ;_ @_ ">
                        <c:v>0</c:v>
                      </c:pt>
                      <c:pt idx="19" formatCode="_ * #,##0_ ;_ * \-#,##0_ ;_ * &quot;-&quot;??_ ;_ @_ ">
                        <c:v>0</c:v>
                      </c:pt>
                      <c:pt idx="20" formatCode="_ * #,##0_ ;_ * \-#,##0_ ;_ * &quot;-&quot;??_ ;_ @_ ">
                        <c:v>0</c:v>
                      </c:pt>
                      <c:pt idx="21" formatCode="_ * #,##0_ ;_ * \-#,##0_ ;_ * &quot;-&quot;??_ ;_ @_ ">
                        <c:v>0</c:v>
                      </c:pt>
                      <c:pt idx="22" formatCode="_ * #,##0_ ;_ * \-#,##0_ ;_ * &quot;-&quot;??_ ;_ @_ ">
                        <c:v>0</c:v>
                      </c:pt>
                      <c:pt idx="23" formatCode="_ * #,##0_ ;_ * \-#,##0_ ;_ * &quot;-&quot;??_ ;_ @_ ">
                        <c:v>0</c:v>
                      </c:pt>
                      <c:pt idx="24" formatCode="_(* #,##0_);_(* \(#,##0\);_(* &quot;-&quot;??_);_(@_)">
                        <c:v>0</c:v>
                      </c:pt>
                      <c:pt idx="25" formatCode="_(* #,##0_);_(* \(#,##0\);_(* &quot;-&quot;??_);_(@_)">
                        <c:v>0</c:v>
                      </c:pt>
                      <c:pt idx="26" formatCode="_(* #,##0_);_(* \(#,##0\);_(* &quot;-&quot;??_);_(@_)">
                        <c:v>0</c:v>
                      </c:pt>
                      <c:pt idx="27" formatCode="_ * #,##0_ ;_ * \-#,##0_ ;_ * &quot;-&quot;??_ ;_ @_ ">
                        <c:v>1751.8752035000002</c:v>
                      </c:pt>
                      <c:pt idx="28" formatCode="_ * #,##0_ ;_ * \-#,##0_ ;_ * &quot;-&quot;??_ ;_ @_ ">
                        <c:v>6235.7549739999995</c:v>
                      </c:pt>
                      <c:pt idx="29" formatCode="_ * #,##0_ ;_ * \-#,##0_ ;_ * &quot;-&quot;??_ ;_ @_ ">
                        <c:v>2381.9200970000002</c:v>
                      </c:pt>
                    </c:numCache>
                  </c:numRef>
                </c:val>
                <c:smooth val="0"/>
                <c:extLst xmlns:c15="http://schemas.microsoft.com/office/drawing/2012/chart">
                  <c:ext xmlns:c16="http://schemas.microsoft.com/office/drawing/2014/chart" uri="{C3380CC4-5D6E-409C-BE32-E72D297353CC}">
                    <c16:uniqueId val="{0000000D-5DA1-44DA-9C05-96A0F75C5CB7}"/>
                  </c:ext>
                </c:extLst>
              </c15:ser>
            </c15:filteredLineSeries>
          </c:ext>
        </c:extLst>
      </c:lineChart>
      <c:dateAx>
        <c:axId val="501338144"/>
        <c:scaling>
          <c:orientation val="minMax"/>
          <c:min val="43709"/>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01338536"/>
        <c:crosses val="autoZero"/>
        <c:auto val="1"/>
        <c:lblOffset val="100"/>
        <c:baseTimeUnit val="months"/>
      </c:dateAx>
      <c:valAx>
        <c:axId val="501338536"/>
        <c:scaling>
          <c:orientation val="minMax"/>
          <c:max val="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01338144"/>
        <c:crosses val="autoZero"/>
        <c:crossBetween val="between"/>
        <c:majorUnit val="1000"/>
      </c:valAx>
      <c:valAx>
        <c:axId val="501339320"/>
        <c:scaling>
          <c:orientation val="minMax"/>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sz="900" b="0" i="0" baseline="0">
                    <a:effectLst/>
                  </a:rPr>
                  <a:t>₹</a:t>
                </a:r>
                <a:r>
                  <a:rPr lang="en-IN" sz="900" b="0" i="0" baseline="0">
                    <a:effectLst/>
                  </a:rPr>
                  <a:t>. crore</a:t>
                </a:r>
                <a:endParaRPr lang="en-IN" sz="900">
                  <a:effectLst/>
                </a:endParaRPr>
              </a:p>
            </c:rich>
          </c:tx>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01340496"/>
        <c:crosses val="max"/>
        <c:crossBetween val="between"/>
      </c:valAx>
      <c:dateAx>
        <c:axId val="501340496"/>
        <c:scaling>
          <c:orientation val="minMax"/>
        </c:scaling>
        <c:delete val="1"/>
        <c:axPos val="b"/>
        <c:numFmt formatCode="mmm\-yy" sourceLinked="1"/>
        <c:majorTickMark val="out"/>
        <c:minorTickMark val="none"/>
        <c:tickLblPos val="nextTo"/>
        <c:crossAx val="501339320"/>
        <c:crosses val="autoZero"/>
        <c:auto val="1"/>
        <c:lblOffset val="100"/>
        <c:baseTimeUnit val="months"/>
        <c:majorUnit val="1"/>
        <c:minorUnit val="1"/>
      </c:dateAx>
      <c:spPr>
        <a:noFill/>
        <a:ln>
          <a:noFill/>
        </a:ln>
        <a:effectLst/>
      </c:spPr>
    </c:plotArea>
    <c:legend>
      <c:legendPos val="b"/>
      <c:layout>
        <c:manualLayout>
          <c:xMode val="edge"/>
          <c:yMode val="edge"/>
          <c:x val="0.10228638086905803"/>
          <c:y val="0.88298072419128193"/>
          <c:w val="0.82778999518551322"/>
          <c:h val="0.117019275808718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08658400458563"/>
          <c:y val="0.1243737544171479"/>
          <c:w val="0.77529912209249707"/>
          <c:h val="0.50249125843324272"/>
        </c:manualLayout>
      </c:layout>
      <c:barChart>
        <c:barDir val="col"/>
        <c:grouping val="clustered"/>
        <c:varyColors val="1"/>
        <c:ser>
          <c:idx val="0"/>
          <c:order val="0"/>
          <c:tx>
            <c:strRef>
              <c:f>'F2&amp;F3'!$D$3</c:f>
              <c:strCache>
                <c:ptCount val="1"/>
                <c:pt idx="0">
                  <c:v>Average Daily Turnover at NSE (LHS)</c:v>
                </c:pt>
              </c:strCache>
            </c:strRef>
          </c:tx>
          <c:spPr>
            <a:solidFill>
              <a:srgbClr val="7030A0"/>
            </a:solidFill>
          </c:spPr>
          <c:invertIfNegative val="1"/>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'F2&amp;F3'!$A$9:$A$20</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'F2&amp;F3'!$D$9:$D$20</c:f>
              <c:numCache>
                <c:formatCode>#,##0</c:formatCode>
                <c:ptCount val="12"/>
                <c:pt idx="0">
                  <c:v>37394.657610000002</c:v>
                </c:pt>
                <c:pt idx="1">
                  <c:v>37646.552369999998</c:v>
                </c:pt>
                <c:pt idx="2">
                  <c:v>41712.578909291056</c:v>
                </c:pt>
                <c:pt idx="3">
                  <c:v>32475.380315149861</c:v>
                </c:pt>
                <c:pt idx="4">
                  <c:v>35015.085542821784</c:v>
                </c:pt>
                <c:pt idx="5">
                  <c:v>39838.41244</c:v>
                </c:pt>
                <c:pt idx="6">
                  <c:v>47916.596666666665</c:v>
                </c:pt>
                <c:pt idx="7">
                  <c:v>50322.35</c:v>
                </c:pt>
                <c:pt idx="8">
                  <c:v>52655.6</c:v>
                </c:pt>
                <c:pt idx="9">
                  <c:v>61394.58</c:v>
                </c:pt>
                <c:pt idx="10">
                  <c:v>58631.34715533931</c:v>
                </c:pt>
                <c:pt idx="11" formatCode="[&gt;=10000000]#\,##\,##\,##0;[&gt;=100000]#\,##\,##0;##,##0">
                  <c:v>61074.12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E18C-4648-93D0-906CC1C9C898}"/>
            </c:ext>
          </c:extLst>
        </c:ser>
        <c:dLbls>
          <c:showLegendKey val="0"/>
          <c:showVal val="0"/>
          <c:showCatName val="0"/>
          <c:showSerName val="0"/>
          <c:showPercent val="0"/>
          <c:showBubbleSize val="0"/>
        </c:dLbls>
        <c:gapWidth val="150"/>
        <c:axId val="482365416"/>
        <c:axId val="482365808"/>
      </c:barChart>
      <c:lineChart>
        <c:grouping val="standard"/>
        <c:varyColors val="0"/>
        <c:ser>
          <c:idx val="1"/>
          <c:order val="1"/>
          <c:tx>
            <c:strRef>
              <c:f>'F2&amp;F3'!$E$3</c:f>
              <c:strCache>
                <c:ptCount val="1"/>
                <c:pt idx="0">
                  <c:v>Average Daily Value of Nifty (RHS)</c:v>
                </c:pt>
              </c:strCache>
            </c:strRef>
          </c:tx>
          <c:spPr>
            <a:ln w="19050" cmpd="sng">
              <a:solidFill>
                <a:srgbClr val="7C4B23"/>
              </a:solidFill>
              <a:prstDash val="solid"/>
            </a:ln>
          </c:spPr>
          <c:marker>
            <c:symbol val="circle"/>
            <c:size val="7"/>
            <c:spPr>
              <a:solidFill>
                <a:srgbClr val="FF0000"/>
              </a:solidFill>
              <a:ln cmpd="sng">
                <a:solidFill>
                  <a:srgbClr val="7C4B23"/>
                </a:solidFill>
              </a:ln>
            </c:spPr>
          </c:marker>
          <c:cat>
            <c:numRef>
              <c:f>'F2&amp;F3'!$A$9:$A$20</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'F2&amp;F3'!$E$9:$E$20</c:f>
              <c:numCache>
                <c:formatCode>#,##0</c:formatCode>
                <c:ptCount val="12"/>
                <c:pt idx="0">
                  <c:v>11124.289473684214</c:v>
                </c:pt>
                <c:pt idx="1">
                  <c:v>11490.205000000002</c:v>
                </c:pt>
                <c:pt idx="2">
                  <c:v>11964.1325</c:v>
                </c:pt>
                <c:pt idx="3">
                  <c:v>12096.88095238095</c:v>
                </c:pt>
                <c:pt idx="4">
                  <c:v>12183.065217391302</c:v>
                </c:pt>
                <c:pt idx="5">
                  <c:v>11934.472499999998</c:v>
                </c:pt>
                <c:pt idx="6">
                  <c:v>9426.3119047619057</c:v>
                </c:pt>
                <c:pt idx="7">
                  <c:v>9063.58</c:v>
                </c:pt>
                <c:pt idx="8">
                  <c:v>9192.01</c:v>
                </c:pt>
                <c:pt idx="9">
                  <c:v>10116.450000000001</c:v>
                </c:pt>
                <c:pt idx="10">
                  <c:v>10897.695652173914</c:v>
                </c:pt>
                <c:pt idx="11" formatCode="[&gt;=10000000]#\,##\,##\,##0;[&gt;=100000]#\,##\,##0;##,##0">
                  <c:v>11318.57</c:v>
                </c:pt>
              </c:numCache>
            </c:numRef>
          </c:val>
          <c:smooth val="0"/>
          <c:extLst>
            <c:ext xmlns:c16="http://schemas.microsoft.com/office/drawing/2014/chart" uri="{C3380CC4-5D6E-409C-BE32-E72D297353CC}">
              <c16:uniqueId val="{00000001-E18C-4648-93D0-906CC1C9C898}"/>
            </c:ext>
          </c:extLst>
        </c:ser>
        <c:dLbls>
          <c:showLegendKey val="0"/>
          <c:showVal val="0"/>
          <c:showCatName val="0"/>
          <c:showSerName val="0"/>
          <c:showPercent val="0"/>
          <c:showBubbleSize val="0"/>
        </c:dLbls>
        <c:marker val="1"/>
        <c:smooth val="0"/>
        <c:axId val="482366592"/>
        <c:axId val="482369336"/>
      </c:lineChart>
      <c:dateAx>
        <c:axId val="482365416"/>
        <c:scaling>
          <c:orientation val="minMax"/>
        </c:scaling>
        <c:delete val="0"/>
        <c:axPos val="b"/>
        <c:title>
          <c:tx>
            <c:rich>
              <a:bodyPr/>
              <a:lstStyle/>
              <a:p>
                <a:pPr>
                  <a:defRPr/>
                </a:pPr>
                <a:endParaRPr lang="en-IN"/>
              </a:p>
            </c:rich>
          </c:tx>
          <c:overlay val="0"/>
        </c:title>
        <c:numFmt formatCode="[$-409]mmm\-yy" sourceLinked="1"/>
        <c:majorTickMark val="cross"/>
        <c:minorTickMark val="cross"/>
        <c:tickLblPos val="nextTo"/>
        <c:txPr>
          <a:bodyPr rot="-5400000"/>
          <a:lstStyle/>
          <a:p>
            <a:pPr>
              <a:defRPr/>
            </a:pPr>
            <a:endParaRPr lang="en-US"/>
          </a:p>
        </c:txPr>
        <c:crossAx val="482365808"/>
        <c:crosses val="autoZero"/>
        <c:auto val="1"/>
        <c:lblOffset val="100"/>
        <c:baseTimeUnit val="months"/>
      </c:dateAx>
      <c:valAx>
        <c:axId val="482365808"/>
        <c:scaling>
          <c:orientation val="minMax"/>
          <c:min val="28000"/>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a:defRPr b="0"/>
                </a:pPr>
                <a:r>
                  <a:rPr lang="en-GB" b="0"/>
                  <a:t>₹</a:t>
                </a:r>
                <a:r>
                  <a:rPr lang="en-IN" b="0"/>
                  <a:t> crore</a:t>
                </a:r>
              </a:p>
            </c:rich>
          </c:tx>
          <c:layout>
            <c:manualLayout>
              <c:xMode val="edge"/>
              <c:yMode val="edge"/>
              <c:x val="1.3539536006275077E-2"/>
              <c:y val="0.29672811140244509"/>
            </c:manualLayout>
          </c:layout>
          <c:overlay val="0"/>
        </c:title>
        <c:numFmt formatCode="#,##0" sourceLinked="1"/>
        <c:majorTickMark val="cross"/>
        <c:minorTickMark val="cross"/>
        <c:tickLblPos val="nextTo"/>
        <c:spPr>
          <a:ln w="47625">
            <a:noFill/>
          </a:ln>
        </c:spPr>
        <c:crossAx val="482365416"/>
        <c:crosses val="autoZero"/>
        <c:crossBetween val="between"/>
      </c:valAx>
      <c:dateAx>
        <c:axId val="482366592"/>
        <c:scaling>
          <c:orientation val="minMax"/>
        </c:scaling>
        <c:delete val="1"/>
        <c:axPos val="b"/>
        <c:numFmt formatCode="[$-409]mmm\-yy" sourceLinked="1"/>
        <c:majorTickMark val="cross"/>
        <c:minorTickMark val="cross"/>
        <c:tickLblPos val="nextTo"/>
        <c:crossAx val="482369336"/>
        <c:crosses val="autoZero"/>
        <c:auto val="1"/>
        <c:lblOffset val="100"/>
        <c:baseTimeUnit val="months"/>
      </c:dateAx>
      <c:valAx>
        <c:axId val="482369336"/>
        <c:scaling>
          <c:orientation val="minMax"/>
          <c:min val="9000"/>
        </c:scaling>
        <c:delete val="0"/>
        <c:axPos val="r"/>
        <c:majorGridlines>
          <c:spPr>
            <a:ln>
              <a:solidFill>
                <a:srgbClr val="B7B7B7"/>
              </a:solidFill>
            </a:ln>
          </c:spPr>
        </c:majorGridlines>
        <c:minorGridlines>
          <c:spPr>
            <a:ln>
              <a:solidFill>
                <a:srgbClr val="CCCCCC">
                  <a:alpha val="0"/>
                </a:srgbClr>
              </a:solidFill>
            </a:ln>
          </c:spPr>
        </c:minorGridlines>
        <c:title>
          <c:tx>
            <c:rich>
              <a:bodyPr/>
              <a:lstStyle/>
              <a:p>
                <a:pPr>
                  <a:defRPr/>
                </a:pPr>
                <a:endParaRPr lang="en-IN"/>
              </a:p>
            </c:rich>
          </c:tx>
          <c:overlay val="0"/>
        </c:title>
        <c:numFmt formatCode="#,##0" sourceLinked="1"/>
        <c:majorTickMark val="cross"/>
        <c:minorTickMark val="cross"/>
        <c:tickLblPos val="nextTo"/>
        <c:spPr>
          <a:ln w="47625">
            <a:noFill/>
          </a:ln>
        </c:spPr>
        <c:crossAx val="482366592"/>
        <c:crosses val="max"/>
        <c:crossBetween val="between"/>
      </c:valAx>
      <c:spPr>
        <a:solidFill>
          <a:srgbClr val="FFFFFF"/>
        </a:solidFill>
      </c:spPr>
    </c:plotArea>
    <c:legend>
      <c:legendPos val="b"/>
      <c:overlay val="0"/>
    </c:legend>
    <c:plotVisOnly val="1"/>
    <c:dispBlanksAs val="zero"/>
    <c:showDLblsOverMax val="1"/>
  </c:chart>
  <c:txPr>
    <a:bodyPr/>
    <a:lstStyle/>
    <a:p>
      <a:pPr>
        <a:defRPr sz="900">
          <a:latin typeface="Palatino Linotype" panose="0204050205050503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08669311072959"/>
          <c:y val="0.11732041864263536"/>
          <c:w val="0.76243190653799853"/>
          <c:h val="0.5511761908103513"/>
        </c:manualLayout>
      </c:layout>
      <c:barChart>
        <c:barDir val="col"/>
        <c:grouping val="clustered"/>
        <c:varyColors val="1"/>
        <c:ser>
          <c:idx val="0"/>
          <c:order val="0"/>
          <c:tx>
            <c:strRef>
              <c:f>'F2&amp;F3'!$B$3</c:f>
              <c:strCache>
                <c:ptCount val="1"/>
                <c:pt idx="0">
                  <c:v>Average Daily Turnover at BSE (LHS)</c:v>
                </c:pt>
              </c:strCache>
            </c:strRef>
          </c:tx>
          <c:spPr>
            <a:solidFill>
              <a:srgbClr val="7030A0"/>
            </a:solidFill>
          </c:spPr>
          <c:invertIfNegative val="1"/>
          <c:dLbls>
            <c:spPr>
              <a:noFill/>
              <a:ln>
                <a:noFill/>
              </a:ln>
              <a:effectLst/>
            </c:spPr>
            <c:txPr>
              <a:bodyPr/>
              <a:lstStyle/>
              <a:p>
                <a:pPr lvl="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'F2&amp;F3'!$A$9:$A$20</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'F2&amp;F3'!$B$9:$B$20</c:f>
              <c:numCache>
                <c:formatCode>[&gt;=10000000]#\,##\,##\,##0;[&gt;=100000]#\,##\,##0;##,##0</c:formatCode>
                <c:ptCount val="12"/>
                <c:pt idx="0">
                  <c:v>2773.1821052631581</c:v>
                </c:pt>
                <c:pt idx="1">
                  <c:v>2831.1169999999997</c:v>
                </c:pt>
                <c:pt idx="2">
                  <c:v>2722.2304999999992</c:v>
                </c:pt>
                <c:pt idx="3">
                  <c:v>2074.2914285714287</c:v>
                </c:pt>
                <c:pt idx="4">
                  <c:v>2428.0769565217392</c:v>
                </c:pt>
                <c:pt idx="5">
                  <c:v>2785.4995000000004</c:v>
                </c:pt>
                <c:pt idx="6">
                  <c:v>3903.431428571429</c:v>
                </c:pt>
                <c:pt idx="7">
                  <c:v>2470.91</c:v>
                </c:pt>
                <c:pt idx="8">
                  <c:v>3422.05</c:v>
                </c:pt>
                <c:pt idx="9">
                  <c:v>5008.76</c:v>
                </c:pt>
                <c:pt idx="10">
                  <c:v>3482.2930434782606</c:v>
                </c:pt>
                <c:pt idx="11">
                  <c:v>4432.38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4E57-4290-B056-3D13E4845975}"/>
            </c:ext>
          </c:extLst>
        </c:ser>
        <c:dLbls>
          <c:showLegendKey val="0"/>
          <c:showVal val="0"/>
          <c:showCatName val="0"/>
          <c:showSerName val="0"/>
          <c:showPercent val="0"/>
          <c:showBubbleSize val="0"/>
        </c:dLbls>
        <c:gapWidth val="150"/>
        <c:axId val="482372080"/>
        <c:axId val="482372864"/>
      </c:barChart>
      <c:lineChart>
        <c:grouping val="standard"/>
        <c:varyColors val="0"/>
        <c:ser>
          <c:idx val="1"/>
          <c:order val="1"/>
          <c:tx>
            <c:strRef>
              <c:f>'F2&amp;F3'!$C$3</c:f>
              <c:strCache>
                <c:ptCount val="1"/>
                <c:pt idx="0">
                  <c:v>Average Daily Value of Sensex (RHS)</c:v>
                </c:pt>
              </c:strCache>
            </c:strRef>
          </c:tx>
          <c:spPr>
            <a:ln w="19050" cmpd="sng">
              <a:solidFill>
                <a:schemeClr val="accent6">
                  <a:lumMod val="50000"/>
                </a:schemeClr>
              </a:solidFill>
              <a:prstDash val="solid"/>
            </a:ln>
          </c:spPr>
          <c:marker>
            <c:symbol val="circle"/>
            <c:size val="7"/>
            <c:spPr>
              <a:solidFill>
                <a:srgbClr val="FF0000"/>
              </a:solidFill>
              <a:ln cmpd="sng">
                <a:solidFill>
                  <a:schemeClr val="accent6">
                    <a:lumMod val="50000"/>
                  </a:schemeClr>
                </a:solidFill>
              </a:ln>
            </c:spPr>
          </c:marker>
          <c:cat>
            <c:numRef>
              <c:f>'F2&amp;F3'!$A$9:$A$20</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'F2&amp;F3'!$C$9:$C$20</c:f>
              <c:numCache>
                <c:formatCode>#,##0</c:formatCode>
                <c:ptCount val="12"/>
                <c:pt idx="0">
                  <c:v>37545.056842105259</c:v>
                </c:pt>
                <c:pt idx="1">
                  <c:v>38741.85349999999</c:v>
                </c:pt>
                <c:pt idx="2">
                  <c:v>40513.094500000007</c:v>
                </c:pt>
                <c:pt idx="3">
                  <c:v>41054.449047619055</c:v>
                </c:pt>
                <c:pt idx="4">
                  <c:v>41360.947826086951</c:v>
                </c:pt>
                <c:pt idx="5">
                  <c:v>40674.324000000001</c:v>
                </c:pt>
                <c:pt idx="6" formatCode="[&gt;=10000000]#\,##\,##\,##0;[&gt;=100000]#\,##\,##0;##,##0">
                  <c:v>32254.451428571429</c:v>
                </c:pt>
                <c:pt idx="7" formatCode="[&gt;=10000000]#\,##\,##\,##0;[&gt;=100000]#\,##\,##0;##,##0">
                  <c:v>30966</c:v>
                </c:pt>
                <c:pt idx="8" formatCode="[&gt;=10000000]#\,##\,##\,##0;[&gt;=100000]#\,##\,##0;##,##0">
                  <c:v>31294</c:v>
                </c:pt>
                <c:pt idx="9" formatCode="[&gt;=10000000]#\,##\,##\,##0;[&gt;=100000]#\,##\,##0;##,##0">
                  <c:v>34263</c:v>
                </c:pt>
                <c:pt idx="10" formatCode="0">
                  <c:v>37030.641739130428</c:v>
                </c:pt>
                <c:pt idx="11" formatCode="[&gt;=10000000]#\,##\,##\,##0;[&gt;=100000]#\,##\,##0;##,##0">
                  <c:v>38347</c:v>
                </c:pt>
              </c:numCache>
            </c:numRef>
          </c:val>
          <c:smooth val="0"/>
          <c:extLst>
            <c:ext xmlns:c16="http://schemas.microsoft.com/office/drawing/2014/chart" uri="{C3380CC4-5D6E-409C-BE32-E72D297353CC}">
              <c16:uniqueId val="{00000001-4E57-4290-B056-3D13E4845975}"/>
            </c:ext>
          </c:extLst>
        </c:ser>
        <c:dLbls>
          <c:showLegendKey val="0"/>
          <c:showVal val="0"/>
          <c:showCatName val="0"/>
          <c:showSerName val="0"/>
          <c:showPercent val="0"/>
          <c:showBubbleSize val="0"/>
        </c:dLbls>
        <c:marker val="1"/>
        <c:smooth val="0"/>
        <c:axId val="482372472"/>
        <c:axId val="482368160"/>
      </c:lineChart>
      <c:dateAx>
        <c:axId val="482372080"/>
        <c:scaling>
          <c:orientation val="minMax"/>
        </c:scaling>
        <c:delete val="0"/>
        <c:axPos val="b"/>
        <c:title>
          <c:tx>
            <c:rich>
              <a:bodyPr/>
              <a:lstStyle/>
              <a:p>
                <a:pPr lvl="0">
                  <a:defRPr b="0">
                    <a:solidFill>
                      <a:srgbClr val="000000"/>
                    </a:solidFill>
                    <a:latin typeface="Roboto"/>
                  </a:defRPr>
                </a:pPr>
                <a:endParaRPr lang="en-IN"/>
              </a:p>
            </c:rich>
          </c:tx>
          <c:overlay val="0"/>
        </c:title>
        <c:numFmt formatCode="[$-409]mmm\-yy" sourceLinked="1"/>
        <c:majorTickMark val="cross"/>
        <c:minorTickMark val="cross"/>
        <c:tickLblPos val="nextTo"/>
        <c:txPr>
          <a:bodyPr rot="-5400000"/>
          <a:lstStyle/>
          <a:p>
            <a:pPr lvl="0">
              <a:defRPr sz="900" b="0" i="0">
                <a:solidFill>
                  <a:srgbClr val="000000"/>
                </a:solidFill>
                <a:latin typeface="Palatino Linotype" panose="02040502050505030304" pitchFamily="18" charset="0"/>
              </a:defRPr>
            </a:pPr>
            <a:endParaRPr lang="en-US"/>
          </a:p>
        </c:txPr>
        <c:crossAx val="482372864"/>
        <c:crosses val="autoZero"/>
        <c:auto val="1"/>
        <c:lblOffset val="100"/>
        <c:baseTimeUnit val="months"/>
      </c:dateAx>
      <c:valAx>
        <c:axId val="482372864"/>
        <c:scaling>
          <c:orientation val="minMax"/>
          <c:max val="4000"/>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lvl="0">
                  <a:defRPr sz="900" b="0" i="0">
                    <a:solidFill>
                      <a:srgbClr val="000000"/>
                    </a:solidFill>
                    <a:latin typeface="Palatino Linotype" panose="02040502050505030304" pitchFamily="18" charset="0"/>
                  </a:defRPr>
                </a:pPr>
                <a:r>
                  <a:rPr lang="en-IN" sz="900" b="0" baseline="0">
                    <a:latin typeface="Palatino Linotype" panose="02040502050505030304" pitchFamily="18" charset="0"/>
                  </a:rPr>
                  <a:t> </a:t>
                </a:r>
                <a:r>
                  <a:rPr lang="en-GB" sz="900" b="0" i="0" u="none" strike="noStrike" baseline="0">
                    <a:effectLst/>
                    <a:latin typeface="Palatino Linotype" panose="02040502050505030304" pitchFamily="18" charset="0"/>
                  </a:rPr>
                  <a:t>₹ </a:t>
                </a:r>
                <a:r>
                  <a:rPr lang="en-IN" sz="900" b="0">
                    <a:latin typeface="Palatino Linotype" panose="02040502050505030304" pitchFamily="18" charset="0"/>
                  </a:rPr>
                  <a:t>crore</a:t>
                </a:r>
              </a:p>
            </c:rich>
          </c:tx>
          <c:layout>
            <c:manualLayout>
              <c:xMode val="edge"/>
              <c:yMode val="edge"/>
              <c:x val="1.2416395319006178E-2"/>
              <c:y val="0.31596108100191905"/>
            </c:manualLayout>
          </c:layout>
          <c:overlay val="0"/>
        </c:title>
        <c:numFmt formatCode="[&gt;=10000000]#\,##\,##\,##0;[&gt;=100000]#\,##\,##0;##,##0" sourceLinked="1"/>
        <c:majorTickMark val="cross"/>
        <c:minorTickMark val="cross"/>
        <c:tickLblPos val="nextTo"/>
        <c:spPr>
          <a:ln w="47625">
            <a:noFill/>
          </a:ln>
        </c:spPr>
        <c:txPr>
          <a:bodyPr/>
          <a:lstStyle/>
          <a:p>
            <a:pPr lvl="0">
              <a:defRPr sz="900" b="0" i="0">
                <a:solidFill>
                  <a:srgbClr val="000000"/>
                </a:solidFill>
                <a:latin typeface="Palatino Linotype" panose="02040502050505030304" pitchFamily="18" charset="0"/>
              </a:defRPr>
            </a:pPr>
            <a:endParaRPr lang="en-US"/>
          </a:p>
        </c:txPr>
        <c:crossAx val="482372080"/>
        <c:crosses val="autoZero"/>
        <c:crossBetween val="between"/>
      </c:valAx>
      <c:dateAx>
        <c:axId val="482372472"/>
        <c:scaling>
          <c:orientation val="minMax"/>
        </c:scaling>
        <c:delete val="1"/>
        <c:axPos val="b"/>
        <c:numFmt formatCode="[$-409]mmm\-yy" sourceLinked="1"/>
        <c:majorTickMark val="cross"/>
        <c:minorTickMark val="cross"/>
        <c:tickLblPos val="nextTo"/>
        <c:crossAx val="482368160"/>
        <c:crosses val="autoZero"/>
        <c:auto val="1"/>
        <c:lblOffset val="100"/>
        <c:baseTimeUnit val="months"/>
      </c:dateAx>
      <c:valAx>
        <c:axId val="482368160"/>
        <c:scaling>
          <c:orientation val="minMax"/>
          <c:max val="43000"/>
        </c:scaling>
        <c:delete val="0"/>
        <c:axPos val="r"/>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Roboto"/>
                  </a:defRPr>
                </a:pPr>
                <a:endParaRPr lang="en-IN"/>
              </a:p>
            </c:rich>
          </c:tx>
          <c:overlay val="0"/>
        </c:title>
        <c:numFmt formatCode="#,##0" sourceLinked="1"/>
        <c:majorTickMark val="cross"/>
        <c:minorTickMark val="cross"/>
        <c:tickLblPos val="nextTo"/>
        <c:spPr>
          <a:ln w="47625">
            <a:noFill/>
          </a:ln>
        </c:spPr>
        <c:txPr>
          <a:bodyPr/>
          <a:lstStyle/>
          <a:p>
            <a:pPr lvl="0">
              <a:defRPr sz="900" b="0" i="0">
                <a:solidFill>
                  <a:srgbClr val="000000"/>
                </a:solidFill>
                <a:latin typeface="Palatino Linotype" panose="02040502050505030304" pitchFamily="18" charset="0"/>
              </a:defRPr>
            </a:pPr>
            <a:endParaRPr lang="en-US"/>
          </a:p>
        </c:txPr>
        <c:crossAx val="482372472"/>
        <c:crosses val="max"/>
        <c:crossBetween val="between"/>
      </c:valAx>
      <c:spPr>
        <a:solidFill>
          <a:srgbClr val="FFFFFF"/>
        </a:solidFill>
      </c:spPr>
    </c:plotArea>
    <c:legend>
      <c:legendPos val="b"/>
      <c:overlay val="0"/>
      <c:txPr>
        <a:bodyPr/>
        <a:lstStyle/>
        <a:p>
          <a:pPr lvl="0">
            <a:defRPr sz="900" b="0" i="0">
              <a:solidFill>
                <a:srgbClr val="000000"/>
              </a:solidFill>
              <a:latin typeface="Palatino Linotype" panose="02040502050505030304" pitchFamily="18" charset="0"/>
            </a:defRPr>
          </a:pPr>
          <a:endParaRPr lang="en-US"/>
        </a:p>
      </c:txPr>
    </c:legend>
    <c:plotVisOnly val="1"/>
    <c:dispBlanksAs val="zero"/>
    <c:showDLblsOverMax val="1"/>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3191808635016"/>
          <c:y val="9.8998664796300345E-2"/>
          <c:w val="0.79106182229652411"/>
          <c:h val="0.46409004996824377"/>
        </c:manualLayout>
      </c:layout>
      <c:barChart>
        <c:barDir val="col"/>
        <c:grouping val="clustered"/>
        <c:varyColors val="0"/>
        <c:ser>
          <c:idx val="0"/>
          <c:order val="0"/>
          <c:tx>
            <c:strRef>
              <c:f>'F4&amp;5 '!$B$4</c:f>
              <c:strCache>
                <c:ptCount val="1"/>
                <c:pt idx="0">
                  <c:v>Return</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'F4&amp;5 '!$A$5:$A$19</c:f>
              <c:strCache>
                <c:ptCount val="15"/>
                <c:pt idx="0">
                  <c:v>S&amp;P BSE Sensex</c:v>
                </c:pt>
                <c:pt idx="1">
                  <c:v>S&amp;P BSE 100</c:v>
                </c:pt>
                <c:pt idx="2">
                  <c:v>S&amp;P BSE 200</c:v>
                </c:pt>
                <c:pt idx="3">
                  <c:v>S&amp;P BSE 500</c:v>
                </c:pt>
                <c:pt idx="4">
                  <c:v>S&amp;P BSE Large Cap</c:v>
                </c:pt>
                <c:pt idx="5">
                  <c:v>S&amp;P BSE Small Cap</c:v>
                </c:pt>
                <c:pt idx="6">
                  <c:v>S&amp;P BSE Consumer Durables</c:v>
                </c:pt>
                <c:pt idx="7">
                  <c:v>S&amp;P BSE Capital Goods</c:v>
                </c:pt>
                <c:pt idx="8">
                  <c:v>S&amp;P BSE Bankex</c:v>
                </c:pt>
                <c:pt idx="9">
                  <c:v>S&amp;P BSE Teck</c:v>
                </c:pt>
                <c:pt idx="10">
                  <c:v>S&amp;P BSE FMCG</c:v>
                </c:pt>
                <c:pt idx="11">
                  <c:v>S&amp;P BSE Metal </c:v>
                </c:pt>
                <c:pt idx="12">
                  <c:v>S&amp;P BSE PSU</c:v>
                </c:pt>
                <c:pt idx="13">
                  <c:v>S&amp;P BSE Power</c:v>
                </c:pt>
                <c:pt idx="14">
                  <c:v>S&amp;P BSE Healthcare</c:v>
                </c:pt>
              </c:strCache>
            </c:strRef>
          </c:cat>
          <c:val>
            <c:numRef>
              <c:f>'F4&amp;5 '!$B$5:$B$19</c:f>
              <c:numCache>
                <c:formatCode>0.0</c:formatCode>
                <c:ptCount val="15"/>
                <c:pt idx="0">
                  <c:v>2.7159916706752445</c:v>
                </c:pt>
                <c:pt idx="1">
                  <c:v>2.8852151096518042</c:v>
                </c:pt>
                <c:pt idx="2">
                  <c:v>3.2782868834138537</c:v>
                </c:pt>
                <c:pt idx="3">
                  <c:v>3.7911137320178554</c:v>
                </c:pt>
                <c:pt idx="4">
                  <c:v>2.6750320162607393</c:v>
                </c:pt>
                <c:pt idx="5">
                  <c:v>10.094027228270219</c:v>
                </c:pt>
                <c:pt idx="6">
                  <c:v>5.9557042055491625</c:v>
                </c:pt>
                <c:pt idx="7">
                  <c:v>7.9053397734241928</c:v>
                </c:pt>
                <c:pt idx="8">
                  <c:v>9.648293378559222</c:v>
                </c:pt>
                <c:pt idx="9">
                  <c:v>-1.5488302327317656</c:v>
                </c:pt>
                <c:pt idx="10">
                  <c:v>-0.84732360894505132</c:v>
                </c:pt>
                <c:pt idx="11">
                  <c:v>12.881452961855016</c:v>
                </c:pt>
                <c:pt idx="12">
                  <c:v>4.5756816153434805</c:v>
                </c:pt>
                <c:pt idx="13">
                  <c:v>8.5085091589610844</c:v>
                </c:pt>
                <c:pt idx="14">
                  <c:v>0.56254498281629395</c:v>
                </c:pt>
              </c:numCache>
            </c:numRef>
          </c:val>
          <c:extLst>
            <c:ext xmlns:c16="http://schemas.microsoft.com/office/drawing/2014/chart" uri="{C3380CC4-5D6E-409C-BE32-E72D297353CC}">
              <c16:uniqueId val="{00000000-69FB-48ED-8DCD-8220D541F0A4}"/>
            </c:ext>
          </c:extLst>
        </c:ser>
        <c:dLbls>
          <c:showLegendKey val="0"/>
          <c:showVal val="0"/>
          <c:showCatName val="0"/>
          <c:showSerName val="0"/>
          <c:showPercent val="0"/>
          <c:showBubbleSize val="0"/>
        </c:dLbls>
        <c:gapWidth val="219"/>
        <c:axId val="482366984"/>
        <c:axId val="482367376"/>
      </c:barChart>
      <c:lineChart>
        <c:grouping val="standard"/>
        <c:varyColors val="0"/>
        <c:ser>
          <c:idx val="1"/>
          <c:order val="1"/>
          <c:tx>
            <c:strRef>
              <c:f>'F4&amp;5 '!$C$4</c:f>
              <c:strCache>
                <c:ptCount val="1"/>
                <c:pt idx="0">
                  <c:v>Volatility</c:v>
                </c:pt>
              </c:strCache>
            </c:strRef>
          </c:tx>
          <c:spPr>
            <a:ln w="28575" cap="rnd">
              <a:solidFill>
                <a:srgbClr val="FF0000"/>
              </a:solidFill>
              <a:round/>
            </a:ln>
            <a:effectLst/>
          </c:spPr>
          <c:marker>
            <c:symbol val="none"/>
          </c:marker>
          <c:cat>
            <c:strRef>
              <c:f>'F4&amp;5 '!$A$5:$A$19</c:f>
              <c:strCache>
                <c:ptCount val="15"/>
                <c:pt idx="0">
                  <c:v>S&amp;P BSE Sensex</c:v>
                </c:pt>
                <c:pt idx="1">
                  <c:v>S&amp;P BSE 100</c:v>
                </c:pt>
                <c:pt idx="2">
                  <c:v>S&amp;P BSE 200</c:v>
                </c:pt>
                <c:pt idx="3">
                  <c:v>S&amp;P BSE 500</c:v>
                </c:pt>
                <c:pt idx="4">
                  <c:v>S&amp;P BSE Large Cap</c:v>
                </c:pt>
                <c:pt idx="5">
                  <c:v>S&amp;P BSE Small Cap</c:v>
                </c:pt>
                <c:pt idx="6">
                  <c:v>S&amp;P BSE Consumer Durables</c:v>
                </c:pt>
                <c:pt idx="7">
                  <c:v>S&amp;P BSE Capital Goods</c:v>
                </c:pt>
                <c:pt idx="8">
                  <c:v>S&amp;P BSE Bankex</c:v>
                </c:pt>
                <c:pt idx="9">
                  <c:v>S&amp;P BSE Teck</c:v>
                </c:pt>
                <c:pt idx="10">
                  <c:v>S&amp;P BSE FMCG</c:v>
                </c:pt>
                <c:pt idx="11">
                  <c:v>S&amp;P BSE Metal </c:v>
                </c:pt>
                <c:pt idx="12">
                  <c:v>S&amp;P BSE PSU</c:v>
                </c:pt>
                <c:pt idx="13">
                  <c:v>S&amp;P BSE Power</c:v>
                </c:pt>
                <c:pt idx="14">
                  <c:v>S&amp;P BSE Healthcare</c:v>
                </c:pt>
              </c:strCache>
            </c:strRef>
          </c:cat>
          <c:val>
            <c:numRef>
              <c:f>'F4&amp;5 '!$C$5:$C$19</c:f>
              <c:numCache>
                <c:formatCode>0.0</c:formatCode>
                <c:ptCount val="15"/>
                <c:pt idx="0">
                  <c:v>0.98711218327724937</c:v>
                </c:pt>
                <c:pt idx="1">
                  <c:v>0.94160132996739743</c:v>
                </c:pt>
                <c:pt idx="2">
                  <c:v>0.9282464181576201</c:v>
                </c:pt>
                <c:pt idx="3">
                  <c:v>0.93366583968867811</c:v>
                </c:pt>
                <c:pt idx="4">
                  <c:v>0.93706094220018143</c:v>
                </c:pt>
                <c:pt idx="5">
                  <c:v>1.2793863217878652</c:v>
                </c:pt>
                <c:pt idx="6">
                  <c:v>1.2321146891893318</c:v>
                </c:pt>
                <c:pt idx="7">
                  <c:v>1.4550642757865577</c:v>
                </c:pt>
                <c:pt idx="8">
                  <c:v>1.739351574828931</c:v>
                </c:pt>
                <c:pt idx="9">
                  <c:v>0.62898837912069638</c:v>
                </c:pt>
                <c:pt idx="10">
                  <c:v>0.77723044227060434</c:v>
                </c:pt>
                <c:pt idx="11">
                  <c:v>1.4413375475456227</c:v>
                </c:pt>
                <c:pt idx="12">
                  <c:v>1.1368374907518413</c:v>
                </c:pt>
                <c:pt idx="13">
                  <c:v>1.574354696404159</c:v>
                </c:pt>
                <c:pt idx="14">
                  <c:v>1.6337823751935932</c:v>
                </c:pt>
              </c:numCache>
            </c:numRef>
          </c:val>
          <c:smooth val="0"/>
          <c:extLst>
            <c:ext xmlns:c16="http://schemas.microsoft.com/office/drawing/2014/chart" uri="{C3380CC4-5D6E-409C-BE32-E72D297353CC}">
              <c16:uniqueId val="{00000001-69FB-48ED-8DCD-8220D541F0A4}"/>
            </c:ext>
          </c:extLst>
        </c:ser>
        <c:dLbls>
          <c:showLegendKey val="0"/>
          <c:showVal val="0"/>
          <c:showCatName val="0"/>
          <c:showSerName val="0"/>
          <c:showPercent val="0"/>
          <c:showBubbleSize val="0"/>
        </c:dLbls>
        <c:marker val="1"/>
        <c:smooth val="0"/>
        <c:axId val="482370120"/>
        <c:axId val="482367768"/>
      </c:lineChart>
      <c:catAx>
        <c:axId val="482366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crossAx val="482367376"/>
        <c:crosses val="autoZero"/>
        <c:auto val="1"/>
        <c:lblAlgn val="ctr"/>
        <c:lblOffset val="100"/>
        <c:noMultiLvlLbl val="0"/>
      </c:catAx>
      <c:valAx>
        <c:axId val="48236737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r>
                  <a:rPr lang="en-US"/>
                  <a:t>Return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crossAx val="482366984"/>
        <c:crosses val="autoZero"/>
        <c:crossBetween val="between"/>
      </c:valAx>
      <c:valAx>
        <c:axId val="482367768"/>
        <c:scaling>
          <c:orientation val="minMax"/>
          <c:min val="0.30000000000000004"/>
        </c:scaling>
        <c:delete val="0"/>
        <c:axPos val="r"/>
        <c:title>
          <c:tx>
            <c:rich>
              <a:bodyPr rot="5400000" spcFirstLastPara="1" vertOverflow="ellipsis"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r>
                  <a:rPr lang="en-US"/>
                  <a:t>Volatility </a:t>
                </a:r>
              </a:p>
            </c:rich>
          </c:tx>
          <c:layout>
            <c:manualLayout>
              <c:xMode val="edge"/>
              <c:yMode val="edge"/>
              <c:x val="0.95368321659483191"/>
              <c:y val="0.25829603412067109"/>
            </c:manualLayout>
          </c:layout>
          <c:overlay val="0"/>
          <c:spPr>
            <a:noFill/>
            <a:ln>
              <a:noFill/>
            </a:ln>
            <a:effectLst/>
          </c:spPr>
          <c:txPr>
            <a:bodyPr rot="5400000" spcFirstLastPara="1" vertOverflow="ellipsis"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crossAx val="482370120"/>
        <c:crosses val="max"/>
        <c:crossBetween val="between"/>
      </c:valAx>
      <c:catAx>
        <c:axId val="482370120"/>
        <c:scaling>
          <c:orientation val="minMax"/>
        </c:scaling>
        <c:delete val="1"/>
        <c:axPos val="b"/>
        <c:numFmt formatCode="General" sourceLinked="1"/>
        <c:majorTickMark val="out"/>
        <c:minorTickMark val="none"/>
        <c:tickLblPos val="nextTo"/>
        <c:crossAx val="482367768"/>
        <c:crosses val="autoZero"/>
        <c:auto val="1"/>
        <c:lblAlgn val="ctr"/>
        <c:lblOffset val="100"/>
        <c:noMultiLvlLbl val="0"/>
      </c:catAx>
      <c:spPr>
        <a:noFill/>
        <a:ln>
          <a:noFill/>
        </a:ln>
        <a:effectLst/>
      </c:spPr>
    </c:plotArea>
    <c:legend>
      <c:legendPos val="b"/>
      <c:layout>
        <c:manualLayout>
          <c:xMode val="edge"/>
          <c:yMode val="edge"/>
          <c:x val="0.35777354934809497"/>
          <c:y val="0.92661523798651602"/>
          <c:w val="0.44351205543007188"/>
          <c:h val="5.60612509905767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lt1"/>
    </a:solidFill>
    <a:ln w="9525" cap="flat" cmpd="sng" algn="ctr">
      <a:solidFill>
        <a:schemeClr val="tx1">
          <a:lumMod val="50000"/>
          <a:lumOff val="50000"/>
        </a:schemeClr>
      </a:solidFill>
      <a:prstDash val="solid"/>
      <a:round/>
    </a:ln>
    <a:effectLst/>
  </c:spPr>
  <c:txPr>
    <a:bodyPr/>
    <a:lstStyle/>
    <a:p>
      <a:pPr>
        <a:defRPr sz="900">
          <a:solidFill>
            <a:schemeClr val="dk1"/>
          </a:solidFill>
          <a:latin typeface="Palatino Linotype" panose="02040502050505030304" pitchFamily="18" charset="0"/>
          <a:ea typeface="+mn-ea"/>
          <a:cs typeface="+mn-cs"/>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67967591007646"/>
          <c:y val="0.10059439185408688"/>
          <c:w val="0.78229225648745326"/>
          <c:h val="0.51596793569973398"/>
        </c:manualLayout>
      </c:layout>
      <c:barChart>
        <c:barDir val="col"/>
        <c:grouping val="clustered"/>
        <c:varyColors val="0"/>
        <c:ser>
          <c:idx val="0"/>
          <c:order val="0"/>
          <c:tx>
            <c:strRef>
              <c:f>'F4&amp;5 '!$E$4</c:f>
              <c:strCache>
                <c:ptCount val="1"/>
                <c:pt idx="0">
                  <c:v>Return</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'F4&amp;5 '!$D$5:$D$19</c:f>
              <c:strCache>
                <c:ptCount val="15"/>
                <c:pt idx="0">
                  <c:v>Nifty 50</c:v>
                </c:pt>
                <c:pt idx="1">
                  <c:v>Nifty Next 50</c:v>
                </c:pt>
                <c:pt idx="2">
                  <c:v>Nifty 100</c:v>
                </c:pt>
                <c:pt idx="3">
                  <c:v>Nifty 200</c:v>
                </c:pt>
                <c:pt idx="4">
                  <c:v>Nifty 500</c:v>
                </c:pt>
                <c:pt idx="5">
                  <c:v>Nifty Midcap 50</c:v>
                </c:pt>
                <c:pt idx="6">
                  <c:v>Nifty Midcap 100</c:v>
                </c:pt>
                <c:pt idx="7">
                  <c:v>Nifty Small 100</c:v>
                </c:pt>
                <c:pt idx="8">
                  <c:v>Nifty Bank</c:v>
                </c:pt>
                <c:pt idx="9">
                  <c:v> Nifty IT</c:v>
                </c:pt>
                <c:pt idx="10">
                  <c:v>Nifty FMCG</c:v>
                </c:pt>
                <c:pt idx="11">
                  <c:v>Nifty Pharma</c:v>
                </c:pt>
                <c:pt idx="12">
                  <c:v>Nifty PSU Bank</c:v>
                </c:pt>
                <c:pt idx="13">
                  <c:v>Nifty Media</c:v>
                </c:pt>
                <c:pt idx="14">
                  <c:v>Nifty MNC</c:v>
                </c:pt>
              </c:strCache>
            </c:strRef>
          </c:cat>
          <c:val>
            <c:numRef>
              <c:f>'F4&amp;5 '!$E$5:$E$19</c:f>
              <c:numCache>
                <c:formatCode>0.0</c:formatCode>
                <c:ptCount val="15"/>
                <c:pt idx="0">
                  <c:v>2.8360628349791552</c:v>
                </c:pt>
                <c:pt idx="1">
                  <c:v>-0.13848894415208876</c:v>
                </c:pt>
                <c:pt idx="2">
                  <c:v>2.4334065464071259</c:v>
                </c:pt>
                <c:pt idx="3">
                  <c:v>3.0075319517465302</c:v>
                </c:pt>
                <c:pt idx="4">
                  <c:v>3.7218825222034617</c:v>
                </c:pt>
                <c:pt idx="5">
                  <c:v>9.129099445758456</c:v>
                </c:pt>
                <c:pt idx="6">
                  <c:v>7.8296587875614998</c:v>
                </c:pt>
                <c:pt idx="7">
                  <c:v>11.535544645351854</c:v>
                </c:pt>
                <c:pt idx="8">
                  <c:v>9.770310142536637</c:v>
                </c:pt>
                <c:pt idx="9">
                  <c:v>-0.79128589491391321</c:v>
                </c:pt>
                <c:pt idx="10">
                  <c:v>-0.89821183611925615</c:v>
                </c:pt>
                <c:pt idx="11">
                  <c:v>-0.61979208711173628</c:v>
                </c:pt>
                <c:pt idx="12">
                  <c:v>8.0582317937092665</c:v>
                </c:pt>
                <c:pt idx="13">
                  <c:v>22.364018364329631</c:v>
                </c:pt>
                <c:pt idx="14">
                  <c:v>1.9797416638089573</c:v>
                </c:pt>
              </c:numCache>
            </c:numRef>
          </c:val>
          <c:extLst>
            <c:ext xmlns:c16="http://schemas.microsoft.com/office/drawing/2014/chart" uri="{C3380CC4-5D6E-409C-BE32-E72D297353CC}">
              <c16:uniqueId val="{00000000-0A61-45C1-93C8-F4D0C5F4FC2B}"/>
            </c:ext>
          </c:extLst>
        </c:ser>
        <c:dLbls>
          <c:showLegendKey val="0"/>
          <c:showVal val="0"/>
          <c:showCatName val="0"/>
          <c:showSerName val="0"/>
          <c:showPercent val="0"/>
          <c:showBubbleSize val="0"/>
        </c:dLbls>
        <c:gapWidth val="219"/>
        <c:axId val="483919688"/>
        <c:axId val="483917336"/>
      </c:barChart>
      <c:lineChart>
        <c:grouping val="standard"/>
        <c:varyColors val="0"/>
        <c:ser>
          <c:idx val="1"/>
          <c:order val="1"/>
          <c:tx>
            <c:strRef>
              <c:f>'F4&amp;5 '!$F$4</c:f>
              <c:strCache>
                <c:ptCount val="1"/>
                <c:pt idx="0">
                  <c:v>Volatility</c:v>
                </c:pt>
              </c:strCache>
            </c:strRef>
          </c:tx>
          <c:spPr>
            <a:ln w="28575" cap="rnd">
              <a:solidFill>
                <a:srgbClr val="FF0000"/>
              </a:solidFill>
              <a:round/>
            </a:ln>
            <a:effectLst/>
          </c:spPr>
          <c:marker>
            <c:symbol val="none"/>
          </c:marker>
          <c:cat>
            <c:strRef>
              <c:f>'F4&amp;5 '!$D$5:$D$19</c:f>
              <c:strCache>
                <c:ptCount val="15"/>
                <c:pt idx="0">
                  <c:v>Nifty 50</c:v>
                </c:pt>
                <c:pt idx="1">
                  <c:v>Nifty Next 50</c:v>
                </c:pt>
                <c:pt idx="2">
                  <c:v>Nifty 100</c:v>
                </c:pt>
                <c:pt idx="3">
                  <c:v>Nifty 200</c:v>
                </c:pt>
                <c:pt idx="4">
                  <c:v>Nifty 500</c:v>
                </c:pt>
                <c:pt idx="5">
                  <c:v>Nifty Midcap 50</c:v>
                </c:pt>
                <c:pt idx="6">
                  <c:v>Nifty Midcap 100</c:v>
                </c:pt>
                <c:pt idx="7">
                  <c:v>Nifty Small 100</c:v>
                </c:pt>
                <c:pt idx="8">
                  <c:v>Nifty Bank</c:v>
                </c:pt>
                <c:pt idx="9">
                  <c:v> Nifty IT</c:v>
                </c:pt>
                <c:pt idx="10">
                  <c:v>Nifty FMCG</c:v>
                </c:pt>
                <c:pt idx="11">
                  <c:v>Nifty Pharma</c:v>
                </c:pt>
                <c:pt idx="12">
                  <c:v>Nifty PSU Bank</c:v>
                </c:pt>
                <c:pt idx="13">
                  <c:v>Nifty Media</c:v>
                </c:pt>
                <c:pt idx="14">
                  <c:v>Nifty MNC</c:v>
                </c:pt>
              </c:strCache>
            </c:strRef>
          </c:cat>
          <c:val>
            <c:numRef>
              <c:f>'F4&amp;5 '!$F$5:$F$19</c:f>
              <c:numCache>
                <c:formatCode>0.0</c:formatCode>
                <c:ptCount val="15"/>
                <c:pt idx="0">
                  <c:v>0.94855455781885645</c:v>
                </c:pt>
                <c:pt idx="1">
                  <c:v>1.1289070459212458</c:v>
                </c:pt>
                <c:pt idx="2">
                  <c:v>0.94004437485548997</c:v>
                </c:pt>
                <c:pt idx="3">
                  <c:v>0.93905377880826058</c:v>
                </c:pt>
                <c:pt idx="4">
                  <c:v>0.94229612947120678</c:v>
                </c:pt>
                <c:pt idx="5">
                  <c:v>1.283388109249489</c:v>
                </c:pt>
                <c:pt idx="6">
                  <c:v>1.1634254767454888</c:v>
                </c:pt>
                <c:pt idx="7">
                  <c:v>1.394477213017715</c:v>
                </c:pt>
                <c:pt idx="8">
                  <c:v>1.7094593623244694</c:v>
                </c:pt>
                <c:pt idx="9">
                  <c:v>0.72431630783713397</c:v>
                </c:pt>
                <c:pt idx="10">
                  <c:v>0.77586200589752019</c:v>
                </c:pt>
                <c:pt idx="11">
                  <c:v>1.7994278041834226</c:v>
                </c:pt>
                <c:pt idx="12">
                  <c:v>1.9208113386529193</c:v>
                </c:pt>
                <c:pt idx="13">
                  <c:v>2.3241688770243822</c:v>
                </c:pt>
                <c:pt idx="14">
                  <c:v>0.89844644647000627</c:v>
                </c:pt>
              </c:numCache>
            </c:numRef>
          </c:val>
          <c:smooth val="0"/>
          <c:extLst>
            <c:ext xmlns:c16="http://schemas.microsoft.com/office/drawing/2014/chart" uri="{C3380CC4-5D6E-409C-BE32-E72D297353CC}">
              <c16:uniqueId val="{00000001-0A61-45C1-93C8-F4D0C5F4FC2B}"/>
            </c:ext>
          </c:extLst>
        </c:ser>
        <c:dLbls>
          <c:showLegendKey val="0"/>
          <c:showVal val="0"/>
          <c:showCatName val="0"/>
          <c:showSerName val="0"/>
          <c:showPercent val="0"/>
          <c:showBubbleSize val="0"/>
        </c:dLbls>
        <c:marker val="1"/>
        <c:smooth val="0"/>
        <c:axId val="483914592"/>
        <c:axId val="483918512"/>
      </c:lineChart>
      <c:catAx>
        <c:axId val="483919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crossAx val="483917336"/>
        <c:crosses val="autoZero"/>
        <c:auto val="1"/>
        <c:lblAlgn val="ctr"/>
        <c:lblOffset val="100"/>
        <c:noMultiLvlLbl val="0"/>
      </c:catAx>
      <c:valAx>
        <c:axId val="48391733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r>
                  <a:rPr lang="en-US" sz="900">
                    <a:latin typeface="Palatino Linotype" panose="02040502050505030304" pitchFamily="18" charset="0"/>
                  </a:rPr>
                  <a:t>Return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83919688"/>
        <c:crosses val="autoZero"/>
        <c:crossBetween val="between"/>
      </c:valAx>
      <c:valAx>
        <c:axId val="483918512"/>
        <c:scaling>
          <c:orientation val="minMax"/>
          <c:min val="0.30000000000000004"/>
        </c:scaling>
        <c:delete val="0"/>
        <c:axPos val="r"/>
        <c:title>
          <c:tx>
            <c:rich>
              <a:bodyPr rot="5400000" spcFirstLastPara="1" vertOverflow="ellipsis" wrap="square" anchor="ctr" anchorCtr="1"/>
              <a:lstStyle/>
              <a:p>
                <a:pPr>
                  <a:defRPr sz="1000" b="0" i="0" u="none" strike="noStrike" kern="1200" baseline="0">
                    <a:solidFill>
                      <a:schemeClr val="dk1"/>
                    </a:solidFill>
                    <a:latin typeface="+mn-lt"/>
                    <a:ea typeface="+mn-ea"/>
                    <a:cs typeface="+mn-cs"/>
                  </a:defRPr>
                </a:pPr>
                <a:r>
                  <a:rPr lang="en-US"/>
                  <a:t>Volatility</a:t>
                </a:r>
              </a:p>
            </c:rich>
          </c:tx>
          <c:layout>
            <c:manualLayout>
              <c:xMode val="edge"/>
              <c:yMode val="edge"/>
              <c:x val="0.95336865014342542"/>
              <c:y val="0.27286682374915566"/>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dk1"/>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83914592"/>
        <c:crosses val="max"/>
        <c:crossBetween val="between"/>
      </c:valAx>
      <c:catAx>
        <c:axId val="483914592"/>
        <c:scaling>
          <c:orientation val="minMax"/>
        </c:scaling>
        <c:delete val="1"/>
        <c:axPos val="b"/>
        <c:numFmt formatCode="General" sourceLinked="1"/>
        <c:majorTickMark val="out"/>
        <c:minorTickMark val="none"/>
        <c:tickLblPos val="nextTo"/>
        <c:crossAx val="483918512"/>
        <c:crosses val="autoZero"/>
        <c:auto val="1"/>
        <c:lblAlgn val="ctr"/>
        <c:lblOffset val="100"/>
        <c:noMultiLvlLbl val="0"/>
      </c:catAx>
      <c:spPr>
        <a:noFill/>
        <a:ln w="25400">
          <a:noFill/>
        </a:ln>
        <a:effectLst/>
      </c:spPr>
    </c:plotArea>
    <c:legend>
      <c:legendPos val="b"/>
      <c:layout>
        <c:manualLayout>
          <c:xMode val="edge"/>
          <c:yMode val="edge"/>
          <c:x val="0.33200880828044604"/>
          <c:y val="0.90591875400747135"/>
          <c:w val="0.32390682414698163"/>
          <c:h val="9.0368476667689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bg1">
          <a:lumMod val="50000"/>
        </a:schemeClr>
      </a:solidFill>
      <a:prstDash val="solid"/>
      <a:round/>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9694970561113"/>
          <c:y val="5.0925925925925923E-2"/>
          <c:w val="0.83577782506916365"/>
          <c:h val="0.82032315727975869"/>
        </c:manualLayout>
      </c:layout>
      <c:barChart>
        <c:barDir val="bar"/>
        <c:grouping val="clustered"/>
        <c:varyColors val="1"/>
        <c:ser>
          <c:idx val="0"/>
          <c:order val="0"/>
          <c:tx>
            <c:strRef>
              <c:f>'Index Option'!$E$24</c:f>
              <c:strCache>
                <c:ptCount val="1"/>
                <c:pt idx="0">
                  <c:v>Mar-20</c:v>
                </c:pt>
              </c:strCache>
            </c:strRef>
          </c:tx>
          <c:spPr>
            <a:solidFill>
              <a:srgbClr val="FF0000"/>
            </a:solidFill>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'Index Option'!$F$22:$H$22</c:f>
              <c:strCache>
                <c:ptCount val="3"/>
                <c:pt idx="0">
                  <c:v>Weekly</c:v>
                </c:pt>
                <c:pt idx="1">
                  <c:v>1 Month</c:v>
                </c:pt>
                <c:pt idx="2">
                  <c:v>&gt; 1 Month</c:v>
                </c:pt>
              </c:strCache>
            </c:strRef>
          </c:cat>
          <c:val>
            <c:numRef>
              <c:f>'Index Option'!$F$24:$H$24</c:f>
              <c:numCache>
                <c:formatCode>0.0%</c:formatCode>
                <c:ptCount val="3"/>
                <c:pt idx="0">
                  <c:v>0.78007670535585072</c:v>
                </c:pt>
                <c:pt idx="1">
                  <c:v>0.20852676983110141</c:v>
                </c:pt>
                <c:pt idx="2">
                  <c:v>1.1396524813047851E-2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3C52-41D5-B767-BE113C55F91A}"/>
            </c:ext>
          </c:extLst>
        </c:ser>
        <c:ser>
          <c:idx val="1"/>
          <c:order val="1"/>
          <c:tx>
            <c:strRef>
              <c:f>'Index Option'!$E$25</c:f>
              <c:strCache>
                <c:ptCount val="1"/>
                <c:pt idx="0">
                  <c:v>Apr-20</c:v>
                </c:pt>
              </c:strCache>
            </c:strRef>
          </c:tx>
          <c:spPr>
            <a:solidFill>
              <a:srgbClr val="00B050"/>
            </a:solidFill>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'Index Option'!$F$22:$H$22</c:f>
              <c:strCache>
                <c:ptCount val="3"/>
                <c:pt idx="0">
                  <c:v>Weekly</c:v>
                </c:pt>
                <c:pt idx="1">
                  <c:v>1 Month</c:v>
                </c:pt>
                <c:pt idx="2">
                  <c:v>&gt; 1 Month</c:v>
                </c:pt>
              </c:strCache>
            </c:strRef>
          </c:cat>
          <c:val>
            <c:numRef>
              <c:f>'Index Option'!$F$25:$H$25</c:f>
              <c:numCache>
                <c:formatCode>0.0%</c:formatCode>
                <c:ptCount val="3"/>
                <c:pt idx="0">
                  <c:v>0.68170752864042783</c:v>
                </c:pt>
                <c:pt idx="1">
                  <c:v>0.31003178784880847</c:v>
                </c:pt>
                <c:pt idx="2">
                  <c:v>8.2606835107637503E-3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3C52-41D5-B767-BE113C55F91A}"/>
            </c:ext>
          </c:extLst>
        </c:ser>
        <c:ser>
          <c:idx val="2"/>
          <c:order val="2"/>
          <c:tx>
            <c:strRef>
              <c:f>'Index Option'!$E$26</c:f>
              <c:strCache>
                <c:ptCount val="1"/>
                <c:pt idx="0">
                  <c:v>May-20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'Index Option'!$F$22:$H$22</c:f>
              <c:strCache>
                <c:ptCount val="3"/>
                <c:pt idx="0">
                  <c:v>Weekly</c:v>
                </c:pt>
                <c:pt idx="1">
                  <c:v>1 Month</c:v>
                </c:pt>
                <c:pt idx="2">
                  <c:v>&gt; 1 Month</c:v>
                </c:pt>
              </c:strCache>
            </c:strRef>
          </c:cat>
          <c:val>
            <c:numRef>
              <c:f>'Index Option'!$F$26:$H$26</c:f>
              <c:numCache>
                <c:formatCode>0.0%</c:formatCode>
                <c:ptCount val="3"/>
                <c:pt idx="0">
                  <c:v>0.70791143061273132</c:v>
                </c:pt>
                <c:pt idx="1">
                  <c:v>0.28420299789746084</c:v>
                </c:pt>
                <c:pt idx="2">
                  <c:v>7.8855714898076641E-3</c:v>
                </c:pt>
              </c:numCache>
            </c:numRef>
          </c:val>
          <c:extLst>
            <c:ext xmlns:c16="http://schemas.microsoft.com/office/drawing/2014/chart" uri="{C3380CC4-5D6E-409C-BE32-E72D297353CC}">
              <c16:uniqueId val="{00000002-3C52-41D5-B767-BE113C55F91A}"/>
            </c:ext>
          </c:extLst>
        </c:ser>
        <c:ser>
          <c:idx val="3"/>
          <c:order val="3"/>
          <c:tx>
            <c:strRef>
              <c:f>'Index Option'!$E$27</c:f>
              <c:strCache>
                <c:ptCount val="1"/>
                <c:pt idx="0">
                  <c:v>Jun-20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'Index Option'!$F$22:$H$22</c:f>
              <c:strCache>
                <c:ptCount val="3"/>
                <c:pt idx="0">
                  <c:v>Weekly</c:v>
                </c:pt>
                <c:pt idx="1">
                  <c:v>1 Month</c:v>
                </c:pt>
                <c:pt idx="2">
                  <c:v>&gt; 1 Month</c:v>
                </c:pt>
              </c:strCache>
            </c:strRef>
          </c:cat>
          <c:val>
            <c:numRef>
              <c:f>'Index Option'!$F$27:$H$27</c:f>
              <c:numCache>
                <c:formatCode>0.0%</c:formatCode>
                <c:ptCount val="3"/>
                <c:pt idx="0">
                  <c:v>0.68514872675169414</c:v>
                </c:pt>
                <c:pt idx="1">
                  <c:v>0.30706093786169325</c:v>
                </c:pt>
                <c:pt idx="2">
                  <c:v>7.7903353866125066E-3</c:v>
                </c:pt>
              </c:numCache>
            </c:numRef>
          </c:val>
          <c:extLst>
            <c:ext xmlns:c16="http://schemas.microsoft.com/office/drawing/2014/chart" uri="{C3380CC4-5D6E-409C-BE32-E72D297353CC}">
              <c16:uniqueId val="{00000003-3C52-41D5-B767-BE113C55F91A}"/>
            </c:ext>
          </c:extLst>
        </c:ser>
        <c:ser>
          <c:idx val="4"/>
          <c:order val="4"/>
          <c:tx>
            <c:strRef>
              <c:f>'Index Option'!$E$28</c:f>
              <c:strCache>
                <c:ptCount val="1"/>
                <c:pt idx="0">
                  <c:v>Jul-20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'Index Option'!$F$22:$H$22</c:f>
              <c:strCache>
                <c:ptCount val="3"/>
                <c:pt idx="0">
                  <c:v>Weekly</c:v>
                </c:pt>
                <c:pt idx="1">
                  <c:v>1 Month</c:v>
                </c:pt>
                <c:pt idx="2">
                  <c:v>&gt; 1 Month</c:v>
                </c:pt>
              </c:strCache>
            </c:strRef>
          </c:cat>
          <c:val>
            <c:numRef>
              <c:f>'Index Option'!$F$28:$H$28</c:f>
              <c:numCache>
                <c:formatCode>0.0%</c:formatCode>
                <c:ptCount val="3"/>
                <c:pt idx="0">
                  <c:v>0.72947482128821917</c:v>
                </c:pt>
                <c:pt idx="1">
                  <c:v>0.26307076232624588</c:v>
                </c:pt>
                <c:pt idx="2">
                  <c:v>7.4544163855349774E-3</c:v>
                </c:pt>
              </c:numCache>
            </c:numRef>
          </c:val>
          <c:extLst>
            <c:ext xmlns:c16="http://schemas.microsoft.com/office/drawing/2014/chart" uri="{C3380CC4-5D6E-409C-BE32-E72D297353CC}">
              <c16:uniqueId val="{00000004-3C52-41D5-B767-BE113C55F91A}"/>
            </c:ext>
          </c:extLst>
        </c:ser>
        <c:ser>
          <c:idx val="5"/>
          <c:order val="5"/>
          <c:tx>
            <c:strRef>
              <c:f>'Index Option'!$E$29</c:f>
              <c:strCache>
                <c:ptCount val="1"/>
                <c:pt idx="0">
                  <c:v>Aug-20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'Index Option'!$F$22:$H$22</c:f>
              <c:strCache>
                <c:ptCount val="3"/>
                <c:pt idx="0">
                  <c:v>Weekly</c:v>
                </c:pt>
                <c:pt idx="1">
                  <c:v>1 Month</c:v>
                </c:pt>
                <c:pt idx="2">
                  <c:v>&gt; 1 Month</c:v>
                </c:pt>
              </c:strCache>
            </c:strRef>
          </c:cat>
          <c:val>
            <c:numRef>
              <c:f>'Index Option'!$F$29:$H$29</c:f>
              <c:numCache>
                <c:formatCode>0.0%</c:formatCode>
                <c:ptCount val="3"/>
                <c:pt idx="0">
                  <c:v>0.73442156433141415</c:v>
                </c:pt>
                <c:pt idx="1">
                  <c:v>0.25810189065830375</c:v>
                </c:pt>
                <c:pt idx="2">
                  <c:v>7.4765450102821582E-3</c:v>
                </c:pt>
              </c:numCache>
            </c:numRef>
          </c:val>
          <c:extLst>
            <c:ext xmlns:c16="http://schemas.microsoft.com/office/drawing/2014/chart" uri="{C3380CC4-5D6E-409C-BE32-E72D297353CC}">
              <c16:uniqueId val="{00000005-3C52-41D5-B767-BE113C55F91A}"/>
            </c:ext>
          </c:extLst>
        </c:ser>
        <c:dLbls>
          <c:dLblPos val="outEnd"/>
          <c:showLegendKey val="0"/>
          <c:showVal val="1"/>
          <c:showCatName val="0"/>
          <c:showSerName val="0"/>
          <c:showPercent val="0"/>
          <c:showBubbleSize val="0"/>
        </c:dLbls>
        <c:gapWidth val="128"/>
        <c:overlap val="-50"/>
        <c:axId val="571449400"/>
        <c:axId val="571443128"/>
      </c:barChart>
      <c:catAx>
        <c:axId val="571449400"/>
        <c:scaling>
          <c:orientation val="maxMin"/>
        </c:scaling>
        <c:delete val="0"/>
        <c:axPos val="l"/>
        <c:title>
          <c:tx>
            <c:rich>
              <a:bodyPr/>
              <a:lstStyle/>
              <a:p>
                <a:pPr>
                  <a:defRPr/>
                </a:pPr>
                <a:endParaRPr lang="en-US"/>
              </a:p>
            </c:rich>
          </c:tx>
          <c:overlay val="0"/>
        </c:title>
        <c:numFmt formatCode="General" sourceLinked="1"/>
        <c:majorTickMark val="cross"/>
        <c:minorTickMark val="cross"/>
        <c:tickLblPos val="nextTo"/>
        <c:crossAx val="571443128"/>
        <c:crosses val="autoZero"/>
        <c:auto val="1"/>
        <c:lblAlgn val="ctr"/>
        <c:lblOffset val="100"/>
        <c:noMultiLvlLbl val="1"/>
      </c:catAx>
      <c:valAx>
        <c:axId val="571443128"/>
        <c:scaling>
          <c:orientation val="minMax"/>
        </c:scaling>
        <c:delete val="1"/>
        <c:axPos val="b"/>
        <c:minorGridlines>
          <c:spPr>
            <a:ln>
              <a:solidFill>
                <a:srgbClr val="CCCCCC">
                  <a:alpha val="0"/>
                </a:srgbClr>
              </a:solidFill>
            </a:ln>
          </c:spPr>
        </c:minorGridlines>
        <c:title>
          <c:tx>
            <c:rich>
              <a:bodyPr/>
              <a:lstStyle/>
              <a:p>
                <a:pPr>
                  <a:defRPr/>
                </a:pPr>
                <a:endParaRPr lang="en-US"/>
              </a:p>
            </c:rich>
          </c:tx>
          <c:overlay val="0"/>
        </c:title>
        <c:numFmt formatCode="0.0%" sourceLinked="1"/>
        <c:majorTickMark val="cross"/>
        <c:minorTickMark val="cross"/>
        <c:tickLblPos val="nextTo"/>
        <c:crossAx val="571449400"/>
        <c:crosses val="max"/>
        <c:crossBetween val="between"/>
      </c:valAx>
    </c:plotArea>
    <c:legend>
      <c:legendPos val="b"/>
      <c:overlay val="0"/>
    </c:legend>
    <c:plotVisOnly val="1"/>
    <c:dispBlanksAs val="zero"/>
    <c:showDLblsOverMax val="1"/>
  </c:chart>
  <c:spPr>
    <a:solidFill>
      <a:schemeClr val="lt1"/>
    </a:solidFill>
    <a:ln w="9525" cap="flat" cmpd="sng" algn="ctr">
      <a:solidFill>
        <a:schemeClr val="bg1">
          <a:lumMod val="50000"/>
        </a:schemeClr>
      </a:solidFill>
      <a:prstDash val="solid"/>
    </a:ln>
    <a:effectLst/>
  </c:spPr>
  <c:txPr>
    <a:bodyPr/>
    <a:lstStyle/>
    <a:p>
      <a:pPr>
        <a:defRPr sz="900">
          <a:solidFill>
            <a:schemeClr val="dk1"/>
          </a:solidFill>
          <a:latin typeface="Palatino Linotype" panose="02040502050505030304" pitchFamily="18" charset="0"/>
          <a:ea typeface="+mn-ea"/>
          <a:cs typeface="+mn-cs"/>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062000991134848E-2"/>
          <c:y val="8.7008923884514436E-2"/>
          <c:w val="0.79960317897325772"/>
          <c:h val="0.51982408865558472"/>
        </c:manualLayout>
      </c:layout>
      <c:barChart>
        <c:barDir val="col"/>
        <c:grouping val="clustered"/>
        <c:varyColors val="1"/>
        <c:ser>
          <c:idx val="0"/>
          <c:order val="0"/>
          <c:tx>
            <c:strRef>
              <c:f>'F4 '!$D$2</c:f>
              <c:strCache>
                <c:ptCount val="1"/>
                <c:pt idx="0">
                  <c:v>Average Daily Turnover (LHS)</c:v>
                </c:pt>
              </c:strCache>
            </c:strRef>
          </c:tx>
          <c:spPr>
            <a:solidFill>
              <a:srgbClr val="FF0000"/>
            </a:solidFill>
          </c:spPr>
          <c:invertIfNegative val="1"/>
          <c:cat>
            <c:numRef>
              <c:f>'F4 '!$A$8:$A$19</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'F4 '!$D$8:$D$19</c:f>
              <c:numCache>
                <c:formatCode>[&gt;=10000000]#.##\,##\,##0;[&gt;=100000]#.##\,##0;##,##0</c:formatCode>
                <c:ptCount val="12"/>
                <c:pt idx="0">
                  <c:v>15.220692642105263</c:v>
                </c:pt>
                <c:pt idx="1">
                  <c:v>14.717048144999998</c:v>
                </c:pt>
                <c:pt idx="2">
                  <c:v>13.565441298855855</c:v>
                </c:pt>
                <c:pt idx="3">
                  <c:v>13.742043780750786</c:v>
                </c:pt>
                <c:pt idx="4">
                  <c:v>16.752434265217392</c:v>
                </c:pt>
                <c:pt idx="5">
                  <c:v>17.414393000650001</c:v>
                </c:pt>
                <c:pt idx="6">
                  <c:v>11.7840466028698</c:v>
                </c:pt>
                <c:pt idx="7">
                  <c:v>11.4907658</c:v>
                </c:pt>
                <c:pt idx="8">
                  <c:v>13.0694374</c:v>
                </c:pt>
                <c:pt idx="9">
                  <c:v>16.686263799999999</c:v>
                </c:pt>
                <c:pt idx="10">
                  <c:v>19.102481950051249</c:v>
                </c:pt>
                <c:pt idx="11">
                  <c:v>18.775890234865429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8E4D-4FF2-B72D-6CDD31154EA3}"/>
            </c:ext>
          </c:extLst>
        </c:ser>
        <c:dLbls>
          <c:showLegendKey val="0"/>
          <c:showVal val="0"/>
          <c:showCatName val="0"/>
          <c:showSerName val="0"/>
          <c:showPercent val="0"/>
          <c:showBubbleSize val="0"/>
        </c:dLbls>
        <c:gapWidth val="150"/>
        <c:axId val="483918904"/>
        <c:axId val="483916944"/>
      </c:barChart>
      <c:lineChart>
        <c:grouping val="standard"/>
        <c:varyColors val="0"/>
        <c:ser>
          <c:idx val="1"/>
          <c:order val="1"/>
          <c:tx>
            <c:strRef>
              <c:f>'F4 '!$E$2</c:f>
              <c:strCache>
                <c:ptCount val="1"/>
                <c:pt idx="0">
                  <c:v>Monthly Turnover (RHS)</c:v>
                </c:pt>
              </c:strCache>
            </c:strRef>
          </c:tx>
          <c:spPr>
            <a:ln w="19050" cmpd="sng">
              <a:solidFill>
                <a:srgbClr val="00B050"/>
              </a:solidFill>
              <a:prstDash val="solid"/>
            </a:ln>
          </c:spPr>
          <c:marker>
            <c:symbol val="circle"/>
            <c:size val="5"/>
            <c:spPr>
              <a:solidFill>
                <a:srgbClr val="00B050"/>
              </a:solidFill>
              <a:ln cmpd="sng">
                <a:solidFill>
                  <a:srgbClr val="00B050"/>
                </a:solidFill>
              </a:ln>
            </c:spPr>
          </c:marker>
          <c:cat>
            <c:numRef>
              <c:f>'F4 '!$A$8:$A$19</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'F4 '!$E$8:$E$19</c:f>
              <c:numCache>
                <c:formatCode>[&gt;=10000000]#\,##\,##\,##0;[&gt;=100000]#\,##\,##0;##,##0</c:formatCode>
                <c:ptCount val="12"/>
                <c:pt idx="0">
                  <c:v>289.19316020000002</c:v>
                </c:pt>
                <c:pt idx="1">
                  <c:v>294.34096289999997</c:v>
                </c:pt>
                <c:pt idx="2">
                  <c:v>271.30882597711707</c:v>
                </c:pt>
                <c:pt idx="3">
                  <c:v>288.58291939576651</c:v>
                </c:pt>
                <c:pt idx="4">
                  <c:v>385.30598810000004</c:v>
                </c:pt>
                <c:pt idx="5">
                  <c:v>348.287860013</c:v>
                </c:pt>
                <c:pt idx="6">
                  <c:v>247.46497866026593</c:v>
                </c:pt>
                <c:pt idx="7">
                  <c:v>206.83378434861089</c:v>
                </c:pt>
                <c:pt idx="8">
                  <c:v>248.31931028491897</c:v>
                </c:pt>
                <c:pt idx="9" formatCode="[&gt;=10000000]#.##\,##\,##0;[&gt;=100000]#.##\,##0;##,##0">
                  <c:v>367.09780340361169</c:v>
                </c:pt>
                <c:pt idx="10" formatCode="[&gt;=10000000]#.##\,##\,##0;[&gt;=100000]#.##\,##0;##,##0">
                  <c:v>439.35708485117874</c:v>
                </c:pt>
                <c:pt idx="11" formatCode="[&gt;=10000000]#.##\,##\,##0;[&gt;=100000]#.##\,##0;##,##0">
                  <c:v>394.29369493217399</c:v>
                </c:pt>
              </c:numCache>
            </c:numRef>
          </c:val>
          <c:smooth val="0"/>
          <c:extLst>
            <c:ext xmlns:c16="http://schemas.microsoft.com/office/drawing/2014/chart" uri="{C3380CC4-5D6E-409C-BE32-E72D297353CC}">
              <c16:uniqueId val="{00000001-8E4D-4FF2-B72D-6CDD31154EA3}"/>
            </c:ext>
          </c:extLst>
        </c:ser>
        <c:dLbls>
          <c:showLegendKey val="0"/>
          <c:showVal val="0"/>
          <c:showCatName val="0"/>
          <c:showSerName val="0"/>
          <c:showPercent val="0"/>
          <c:showBubbleSize val="0"/>
        </c:dLbls>
        <c:marker val="1"/>
        <c:smooth val="0"/>
        <c:axId val="483920472"/>
        <c:axId val="483915376"/>
      </c:lineChart>
      <c:dateAx>
        <c:axId val="483918904"/>
        <c:scaling>
          <c:orientation val="minMax"/>
        </c:scaling>
        <c:delete val="0"/>
        <c:axPos val="b"/>
        <c:title>
          <c:tx>
            <c:rich>
              <a:bodyPr/>
              <a:lstStyle/>
              <a:p>
                <a:pPr>
                  <a:defRPr/>
                </a:pPr>
                <a:endParaRPr lang="en-IN"/>
              </a:p>
            </c:rich>
          </c:tx>
          <c:overlay val="0"/>
        </c:title>
        <c:numFmt formatCode="[$-409]mmm\-yy" sourceLinked="1"/>
        <c:majorTickMark val="cross"/>
        <c:minorTickMark val="cross"/>
        <c:tickLblPos val="nextTo"/>
        <c:txPr>
          <a:bodyPr rot="-5400000"/>
          <a:lstStyle/>
          <a:p>
            <a:pPr>
              <a:defRPr/>
            </a:pPr>
            <a:endParaRPr lang="en-US"/>
          </a:p>
        </c:txPr>
        <c:crossAx val="483916944"/>
        <c:crosses val="autoZero"/>
        <c:auto val="1"/>
        <c:lblOffset val="100"/>
        <c:baseTimeUnit val="months"/>
      </c:dateAx>
      <c:valAx>
        <c:axId val="483916944"/>
        <c:scaling>
          <c:orientation val="minMax"/>
          <c:min val="10"/>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a:defRPr/>
                </a:pPr>
                <a:endParaRPr lang="en-IN"/>
              </a:p>
            </c:rich>
          </c:tx>
          <c:overlay val="0"/>
        </c:title>
        <c:numFmt formatCode="[&gt;=10000000]#.##\,##\,##0;[&gt;=100000]#.##\,##0;##,##0" sourceLinked="1"/>
        <c:majorTickMark val="cross"/>
        <c:minorTickMark val="cross"/>
        <c:tickLblPos val="nextTo"/>
        <c:spPr>
          <a:ln w="47625">
            <a:noFill/>
          </a:ln>
        </c:spPr>
        <c:crossAx val="483918904"/>
        <c:crosses val="autoZero"/>
        <c:crossBetween val="between"/>
      </c:valAx>
      <c:dateAx>
        <c:axId val="483920472"/>
        <c:scaling>
          <c:orientation val="minMax"/>
        </c:scaling>
        <c:delete val="1"/>
        <c:axPos val="b"/>
        <c:numFmt formatCode="[$-409]mmm\-yy" sourceLinked="1"/>
        <c:majorTickMark val="cross"/>
        <c:minorTickMark val="cross"/>
        <c:tickLblPos val="nextTo"/>
        <c:crossAx val="483915376"/>
        <c:crosses val="autoZero"/>
        <c:auto val="1"/>
        <c:lblOffset val="100"/>
        <c:baseTimeUnit val="months"/>
      </c:dateAx>
      <c:valAx>
        <c:axId val="483915376"/>
        <c:scaling>
          <c:orientation val="minMax"/>
          <c:min val="160"/>
        </c:scaling>
        <c:delete val="0"/>
        <c:axPos val="r"/>
        <c:majorGridlines>
          <c:spPr>
            <a:ln>
              <a:solidFill>
                <a:srgbClr val="B7B7B7"/>
              </a:solidFill>
            </a:ln>
          </c:spPr>
        </c:majorGridlines>
        <c:minorGridlines>
          <c:spPr>
            <a:ln>
              <a:solidFill>
                <a:srgbClr val="CCCCCC">
                  <a:alpha val="0"/>
                </a:srgbClr>
              </a:solidFill>
            </a:ln>
          </c:spPr>
        </c:minorGridlines>
        <c:title>
          <c:tx>
            <c:rich>
              <a:bodyPr/>
              <a:lstStyle/>
              <a:p>
                <a:pPr>
                  <a:defRPr/>
                </a:pPr>
                <a:endParaRPr lang="en-IN"/>
              </a:p>
            </c:rich>
          </c:tx>
          <c:overlay val="0"/>
        </c:title>
        <c:numFmt formatCode="[&gt;=10000000]#\,##\,##\,##0;[&gt;=100000]#\,##\,##0;##,##0" sourceLinked="1"/>
        <c:majorTickMark val="cross"/>
        <c:minorTickMark val="cross"/>
        <c:tickLblPos val="nextTo"/>
        <c:spPr>
          <a:ln w="47625">
            <a:noFill/>
          </a:ln>
        </c:spPr>
        <c:crossAx val="483920472"/>
        <c:crosses val="max"/>
        <c:crossBetween val="between"/>
      </c:valAx>
      <c:spPr>
        <a:solidFill>
          <a:srgbClr val="FFFFFF"/>
        </a:solidFill>
      </c:spPr>
    </c:plotArea>
    <c:legend>
      <c:legendPos val="b"/>
      <c:overlay val="0"/>
    </c:legend>
    <c:plotVisOnly val="1"/>
    <c:dispBlanksAs val="zero"/>
    <c:showDLblsOverMax val="1"/>
  </c:chart>
  <c:txPr>
    <a:bodyPr/>
    <a:lstStyle/>
    <a:p>
      <a:pPr>
        <a:defRPr sz="900">
          <a:latin typeface="Palatino Linotype" panose="0204050205050503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6127355939804"/>
          <c:y val="7.0317346695299446E-2"/>
          <c:w val="0.72023002149856896"/>
          <c:h val="0.63930838190680706"/>
        </c:manualLayout>
      </c:layout>
      <c:lineChart>
        <c:grouping val="standard"/>
        <c:varyColors val="1"/>
        <c:ser>
          <c:idx val="0"/>
          <c:order val="0"/>
          <c:tx>
            <c:strRef>
              <c:f>'F6'!$B$2</c:f>
              <c:strCache>
                <c:ptCount val="1"/>
                <c:pt idx="0">
                  <c:v>NSE (LHS)</c:v>
                </c:pt>
              </c:strCache>
            </c:strRef>
          </c:tx>
          <c:spPr>
            <a:ln w="19050" cmpd="sng">
              <a:solidFill>
                <a:srgbClr val="FF0000"/>
              </a:solidFill>
              <a:prstDash val="solid"/>
            </a:ln>
          </c:spPr>
          <c:marker>
            <c:symbol val="circle"/>
            <c:size val="5"/>
            <c:spPr>
              <a:solidFill>
                <a:srgbClr val="FF0000"/>
              </a:solidFill>
              <a:ln cmpd="sng">
                <a:solidFill>
                  <a:srgbClr val="FF0000"/>
                </a:solidFill>
              </a:ln>
            </c:spPr>
          </c:marker>
          <c:cat>
            <c:numRef>
              <c:f>'F6'!$A$8:$A$19</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'F6'!$B$8:$B$19</c:f>
              <c:numCache>
                <c:formatCode>0\,00\,000;\-0\,00\,000;0</c:formatCode>
                <c:ptCount val="12"/>
                <c:pt idx="0">
                  <c:v>879828.06579999998</c:v>
                </c:pt>
                <c:pt idx="1">
                  <c:v>698832.50789999997</c:v>
                </c:pt>
                <c:pt idx="2">
                  <c:v>763426.91760000004</c:v>
                </c:pt>
                <c:pt idx="3">
                  <c:v>797945.38289999997</c:v>
                </c:pt>
                <c:pt idx="4">
                  <c:v>845443.09140000003</c:v>
                </c:pt>
                <c:pt idx="5">
                  <c:v>788012.82889999996</c:v>
                </c:pt>
                <c:pt idx="6">
                  <c:v>1231222.4816374592</c:v>
                </c:pt>
                <c:pt idx="7">
                  <c:v>696282.45724269352</c:v>
                </c:pt>
                <c:pt idx="8" formatCode="[&gt;=10000000]#\,##\,##\,##0;[&gt;=100000]#\,##\,##0;##,##0">
                  <c:v>729527.23581414134</c:v>
                </c:pt>
                <c:pt idx="9" formatCode="[&gt;=10000000]#\,##\,##\,##0;[&gt;=100000]#\,##\,##0;##,##0">
                  <c:v>949170.06959089276</c:v>
                </c:pt>
                <c:pt idx="10" formatCode="[&gt;=10000000]#\,##\,##\,##0;[&gt;=100000]#\,##\,##0;##,##0">
                  <c:v>943395.67188321159</c:v>
                </c:pt>
                <c:pt idx="11" formatCode="[&gt;=10000000]#\,##\,##\,##0;[&gt;=100000]#\,##\,##0;##,##0">
                  <c:v>976864.32951144269</c:v>
                </c:pt>
              </c:numCache>
            </c:numRef>
          </c:val>
          <c:smooth val="0"/>
          <c:extLst>
            <c:ext xmlns:c16="http://schemas.microsoft.com/office/drawing/2014/chart" uri="{C3380CC4-5D6E-409C-BE32-E72D297353CC}">
              <c16:uniqueId val="{00000000-680D-426A-AA1E-6E3E8AF6F82C}"/>
            </c:ext>
          </c:extLst>
        </c:ser>
        <c:ser>
          <c:idx val="1"/>
          <c:order val="1"/>
          <c:tx>
            <c:strRef>
              <c:f>'F6'!$D$2</c:f>
              <c:strCache>
                <c:ptCount val="1"/>
                <c:pt idx="0">
                  <c:v>BSE  (LHS)</c:v>
                </c:pt>
              </c:strCache>
            </c:strRef>
          </c:tx>
          <c:spPr>
            <a:ln w="19050" cmpd="sng">
              <a:solidFill>
                <a:srgbClr val="7030A0"/>
              </a:solidFill>
              <a:prstDash val="solid"/>
            </a:ln>
          </c:spPr>
          <c:marker>
            <c:symbol val="circle"/>
            <c:size val="5"/>
            <c:spPr>
              <a:solidFill>
                <a:srgbClr val="7030A0"/>
              </a:solidFill>
              <a:ln cmpd="sng">
                <a:solidFill>
                  <a:srgbClr val="7030A0"/>
                </a:solidFill>
              </a:ln>
            </c:spPr>
          </c:marker>
          <c:cat>
            <c:numRef>
              <c:f>'F6'!$A$8:$A$19</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'F6'!$D$8:$D$19</c:f>
              <c:numCache>
                <c:formatCode>0\,00\,000;\-0\,00\,000;0</c:formatCode>
                <c:ptCount val="12"/>
                <c:pt idx="0">
                  <c:v>584638.41029999999</c:v>
                </c:pt>
                <c:pt idx="1">
                  <c:v>526607.6581</c:v>
                </c:pt>
                <c:pt idx="2">
                  <c:v>543325.23179999995</c:v>
                </c:pt>
                <c:pt idx="3">
                  <c:v>564691.59349999996</c:v>
                </c:pt>
                <c:pt idx="4">
                  <c:v>482786.31690000009</c:v>
                </c:pt>
                <c:pt idx="5">
                  <c:v>439995.65480000008</c:v>
                </c:pt>
                <c:pt idx="6">
                  <c:v>471806.4</c:v>
                </c:pt>
                <c:pt idx="7" formatCode="[&gt;=10000000]#\,##\,##\,##0;[&gt;=100000]#\,##\,##0;##,##0">
                  <c:v>271144.38</c:v>
                </c:pt>
                <c:pt idx="8" formatCode="[&gt;=10000000]#\,##\,##\,##0;[&gt;=100000]#\,##\,##0;##,##0">
                  <c:v>306144.90000000002</c:v>
                </c:pt>
                <c:pt idx="9" formatCode="[&gt;=10000000]#\,##\,##\,##0;[&gt;=100000]#\,##\,##0;##,##0">
                  <c:v>467245.2</c:v>
                </c:pt>
                <c:pt idx="10" formatCode="[&gt;=10000000]#\,##\,##\,##0;[&gt;=100000]#\,##\,##0;##,##0">
                  <c:v>437166.34</c:v>
                </c:pt>
                <c:pt idx="11" formatCode="[&gt;=10000000]#\,##\,##\,##0;[&gt;=100000]#\,##\,##0;##,##0">
                  <c:v>451790.26</c:v>
                </c:pt>
              </c:numCache>
            </c:numRef>
          </c:val>
          <c:smooth val="0"/>
          <c:extLst>
            <c:ext xmlns:c16="http://schemas.microsoft.com/office/drawing/2014/chart" uri="{C3380CC4-5D6E-409C-BE32-E72D297353CC}">
              <c16:uniqueId val="{00000001-680D-426A-AA1E-6E3E8AF6F82C}"/>
            </c:ext>
          </c:extLst>
        </c:ser>
        <c:dLbls>
          <c:showLegendKey val="0"/>
          <c:showVal val="0"/>
          <c:showCatName val="0"/>
          <c:showSerName val="0"/>
          <c:showPercent val="0"/>
          <c:showBubbleSize val="0"/>
        </c:dLbls>
        <c:marker val="1"/>
        <c:smooth val="0"/>
        <c:axId val="483915768"/>
        <c:axId val="483921256"/>
      </c:lineChart>
      <c:lineChart>
        <c:grouping val="standard"/>
        <c:varyColors val="0"/>
        <c:ser>
          <c:idx val="2"/>
          <c:order val="2"/>
          <c:tx>
            <c:strRef>
              <c:f>'F6'!$C$2</c:f>
              <c:strCache>
                <c:ptCount val="1"/>
                <c:pt idx="0">
                  <c:v>MSEI (RHS)</c:v>
                </c:pt>
              </c:strCache>
            </c:strRef>
          </c:tx>
          <c:spPr>
            <a:ln w="19050" cmpd="sng">
              <a:solidFill>
                <a:srgbClr val="00B050"/>
              </a:solidFill>
              <a:prstDash val="solid"/>
            </a:ln>
          </c:spPr>
          <c:marker>
            <c:symbol val="circle"/>
            <c:size val="5"/>
            <c:spPr>
              <a:solidFill>
                <a:srgbClr val="00B050"/>
              </a:solidFill>
              <a:ln cmpd="sng">
                <a:solidFill>
                  <a:srgbClr val="00B050"/>
                </a:solidFill>
              </a:ln>
            </c:spPr>
          </c:marker>
          <c:cat>
            <c:numRef>
              <c:f>'F6'!$A$8:$A$19</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'F6'!$C$8:$C$19</c:f>
              <c:numCache>
                <c:formatCode>#,##0;\-#,##0;0</c:formatCode>
                <c:ptCount val="12"/>
                <c:pt idx="0">
                  <c:v>3328.8211272499998</c:v>
                </c:pt>
                <c:pt idx="1">
                  <c:v>3482.5552212500002</c:v>
                </c:pt>
                <c:pt idx="2">
                  <c:v>3370.3709895000002</c:v>
                </c:pt>
                <c:pt idx="3">
                  <c:v>6258.9968397499997</c:v>
                </c:pt>
                <c:pt idx="4">
                  <c:v>5956.6478307500001</c:v>
                </c:pt>
                <c:pt idx="5">
                  <c:v>5313.5327112499999</c:v>
                </c:pt>
                <c:pt idx="6">
                  <c:v>6404.1278092499997</c:v>
                </c:pt>
                <c:pt idx="7" formatCode="[&gt;=10000000]#\,##\,##\,##0;[&gt;=100000]#\,##\,##0;##,##0">
                  <c:v>1785.2814207500001</c:v>
                </c:pt>
                <c:pt idx="8" formatCode="[&gt;=10000000]#\,##\,##\,##0;[&gt;=100000]#\,##\,##0;##,##0">
                  <c:v>1702.4234337499997</c:v>
                </c:pt>
                <c:pt idx="9" formatCode="[&gt;=10000000]#\,##\,##\,##0;[&gt;=100000]#\,##\,##0;##,##0">
                  <c:v>2854.2512265</c:v>
                </c:pt>
                <c:pt idx="10" formatCode="[&gt;=10000000]#\,##\,##\,##0;[&gt;=100000]#\,##\,##0;##,##0">
                  <c:v>4064.4222235000007</c:v>
                </c:pt>
                <c:pt idx="11">
                  <c:v>5291.3987129999996</c:v>
                </c:pt>
              </c:numCache>
            </c:numRef>
          </c:val>
          <c:smooth val="0"/>
          <c:extLst>
            <c:ext xmlns:c16="http://schemas.microsoft.com/office/drawing/2014/chart" uri="{C3380CC4-5D6E-409C-BE32-E72D297353CC}">
              <c16:uniqueId val="{00000002-680D-426A-AA1E-6E3E8AF6F82C}"/>
            </c:ext>
          </c:extLst>
        </c:ser>
        <c:dLbls>
          <c:showLegendKey val="0"/>
          <c:showVal val="0"/>
          <c:showCatName val="0"/>
          <c:showSerName val="0"/>
          <c:showPercent val="0"/>
          <c:showBubbleSize val="0"/>
        </c:dLbls>
        <c:marker val="1"/>
        <c:smooth val="0"/>
        <c:axId val="483916160"/>
        <c:axId val="483921648"/>
      </c:lineChart>
      <c:dateAx>
        <c:axId val="483915768"/>
        <c:scaling>
          <c:orientation val="minMax"/>
        </c:scaling>
        <c:delete val="0"/>
        <c:axPos val="b"/>
        <c:numFmt formatCode="[$-409]mmm\-yy" sourceLinked="1"/>
        <c:majorTickMark val="cross"/>
        <c:minorTickMark val="cross"/>
        <c:tickLblPos val="nextTo"/>
        <c:txPr>
          <a:bodyPr rot="-5400000"/>
          <a:lstStyle/>
          <a:p>
            <a:pPr>
              <a:defRPr/>
            </a:pPr>
            <a:endParaRPr lang="en-US"/>
          </a:p>
        </c:txPr>
        <c:crossAx val="483921256"/>
        <c:crosses val="autoZero"/>
        <c:auto val="1"/>
        <c:lblOffset val="100"/>
        <c:baseTimeUnit val="months"/>
      </c:dateAx>
      <c:valAx>
        <c:axId val="483921256"/>
        <c:scaling>
          <c:orientation val="minMax"/>
          <c:max val="1300000"/>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a:defRPr b="0"/>
                </a:pPr>
                <a:r>
                  <a:rPr lang="en-GB" sz="900" b="0" i="0" u="none" strike="noStrike" baseline="0">
                    <a:effectLst/>
                  </a:rPr>
                  <a:t>₹</a:t>
                </a:r>
                <a:r>
                  <a:rPr lang="en-US" b="0"/>
                  <a:t> crore</a:t>
                </a:r>
              </a:p>
            </c:rich>
          </c:tx>
          <c:layout>
            <c:manualLayout>
              <c:xMode val="edge"/>
              <c:yMode val="edge"/>
              <c:x val="1.7205010177747882E-2"/>
              <c:y val="0.35430037154446609"/>
            </c:manualLayout>
          </c:layout>
          <c:overlay val="0"/>
        </c:title>
        <c:numFmt formatCode="0\,00\,000;\-0\,00\,000;0" sourceLinked="1"/>
        <c:majorTickMark val="cross"/>
        <c:minorTickMark val="cross"/>
        <c:tickLblPos val="nextTo"/>
        <c:spPr>
          <a:ln w="47625">
            <a:noFill/>
          </a:ln>
        </c:spPr>
        <c:crossAx val="483915768"/>
        <c:crosses val="autoZero"/>
        <c:crossBetween val="between"/>
      </c:valAx>
      <c:dateAx>
        <c:axId val="483916160"/>
        <c:scaling>
          <c:orientation val="minMax"/>
        </c:scaling>
        <c:delete val="1"/>
        <c:axPos val="b"/>
        <c:numFmt formatCode="[$-409]mmm\-yy" sourceLinked="1"/>
        <c:majorTickMark val="cross"/>
        <c:minorTickMark val="cross"/>
        <c:tickLblPos val="nextTo"/>
        <c:crossAx val="483921648"/>
        <c:crosses val="autoZero"/>
        <c:auto val="1"/>
        <c:lblOffset val="100"/>
        <c:baseTimeUnit val="months"/>
      </c:dateAx>
      <c:valAx>
        <c:axId val="483921648"/>
        <c:scaling>
          <c:orientation val="minMax"/>
          <c:max val="9000"/>
        </c:scaling>
        <c:delete val="0"/>
        <c:axPos val="r"/>
        <c:majorGridlines>
          <c:spPr>
            <a:ln>
              <a:solidFill>
                <a:srgbClr val="B7B7B7"/>
              </a:solidFill>
            </a:ln>
          </c:spPr>
        </c:majorGridlines>
        <c:minorGridlines>
          <c:spPr>
            <a:ln>
              <a:solidFill>
                <a:srgbClr val="CCCCCC">
                  <a:alpha val="0"/>
                </a:srgbClr>
              </a:solidFill>
            </a:ln>
          </c:spPr>
        </c:minorGridlines>
        <c:title>
          <c:tx>
            <c:rich>
              <a:bodyPr rot="5400000" vert="horz"/>
              <a:lstStyle/>
              <a:p>
                <a:pPr>
                  <a:defRPr b="0"/>
                </a:pPr>
                <a:r>
                  <a:rPr lang="en-GB" sz="900" b="0" i="0" u="none" strike="noStrike" baseline="0">
                    <a:effectLst/>
                  </a:rPr>
                  <a:t>₹</a:t>
                </a:r>
                <a:r>
                  <a:rPr lang="en-US" b="0"/>
                  <a:t> crore</a:t>
                </a:r>
              </a:p>
            </c:rich>
          </c:tx>
          <c:layout>
            <c:manualLayout>
              <c:xMode val="edge"/>
              <c:yMode val="edge"/>
              <c:x val="0.95595000373697003"/>
              <c:y val="0.34304496028905479"/>
            </c:manualLayout>
          </c:layout>
          <c:overlay val="0"/>
        </c:title>
        <c:numFmt formatCode="#,##0;\-#,##0;0" sourceLinked="1"/>
        <c:majorTickMark val="cross"/>
        <c:minorTickMark val="cross"/>
        <c:tickLblPos val="nextTo"/>
        <c:spPr>
          <a:ln w="47625">
            <a:noFill/>
          </a:ln>
        </c:spPr>
        <c:crossAx val="483916160"/>
        <c:crosses val="max"/>
        <c:crossBetween val="between"/>
      </c:valAx>
      <c:spPr>
        <a:solidFill>
          <a:srgbClr val="FFFFFF"/>
        </a:solidFill>
      </c:spPr>
    </c:plotArea>
    <c:legend>
      <c:legendPos val="b"/>
      <c:overlay val="0"/>
    </c:legend>
    <c:plotVisOnly val="1"/>
    <c:dispBlanksAs val="zero"/>
    <c:showDLblsOverMax val="1"/>
  </c:chart>
  <c:txPr>
    <a:bodyPr/>
    <a:lstStyle/>
    <a:p>
      <a:pPr>
        <a:defRPr sz="900">
          <a:latin typeface="Palatino Linotype" panose="0204050205050503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01392060822673E-2"/>
          <c:y val="0.11632392478974667"/>
          <c:w val="0.88552125401406145"/>
          <c:h val="0.53750989177249364"/>
        </c:manualLayout>
      </c:layout>
      <c:lineChart>
        <c:grouping val="standard"/>
        <c:varyColors val="0"/>
        <c:ser>
          <c:idx val="0"/>
          <c:order val="0"/>
          <c:tx>
            <c:strRef>
              <c:f>'F7'!$B$2</c:f>
              <c:strCache>
                <c:ptCount val="1"/>
                <c:pt idx="0">
                  <c:v>BSE</c:v>
                </c:pt>
              </c:strCache>
            </c:strRef>
          </c:tx>
          <c:spPr>
            <a:ln w="28575" cap="rnd">
              <a:solidFill>
                <a:srgbClr val="C00000"/>
              </a:solidFill>
              <a:round/>
            </a:ln>
            <a:effectLst/>
          </c:spPr>
          <c:marker>
            <c:symbol val="none"/>
          </c:marker>
          <c:cat>
            <c:numRef>
              <c:f>'F7'!$A$8:$A$19</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'F7'!$B$8:$B$19</c:f>
              <c:numCache>
                <c:formatCode>#,##0;\-#,##0;0</c:formatCode>
                <c:ptCount val="12"/>
                <c:pt idx="0">
                  <c:v>11212.552300000001</c:v>
                </c:pt>
                <c:pt idx="1">
                  <c:v>5933.1111999999994</c:v>
                </c:pt>
                <c:pt idx="2">
                  <c:v>5252.2558999999992</c:v>
                </c:pt>
                <c:pt idx="3">
                  <c:v>4813.7728999999999</c:v>
                </c:pt>
                <c:pt idx="4">
                  <c:v>6208.3990000000003</c:v>
                </c:pt>
                <c:pt idx="5">
                  <c:v>5829.3091999999997</c:v>
                </c:pt>
                <c:pt idx="6">
                  <c:v>11042.703600000001</c:v>
                </c:pt>
                <c:pt idx="7">
                  <c:v>2394.6293999999998</c:v>
                </c:pt>
                <c:pt idx="8">
                  <c:v>1898.7684999999999</c:v>
                </c:pt>
                <c:pt idx="9">
                  <c:v>4307.7403000000004</c:v>
                </c:pt>
                <c:pt idx="10">
                  <c:v>4082.3089</c:v>
                </c:pt>
                <c:pt idx="11">
                  <c:v>1339.4258</c:v>
                </c:pt>
              </c:numCache>
            </c:numRef>
          </c:val>
          <c:smooth val="0"/>
          <c:extLst>
            <c:ext xmlns:c16="http://schemas.microsoft.com/office/drawing/2014/chart" uri="{C3380CC4-5D6E-409C-BE32-E72D297353CC}">
              <c16:uniqueId val="{00000000-6E4E-4A79-AA40-4C85E059EBF6}"/>
            </c:ext>
          </c:extLst>
        </c:ser>
        <c:ser>
          <c:idx val="1"/>
          <c:order val="1"/>
          <c:tx>
            <c:strRef>
              <c:f>'F7'!$C$2</c:f>
              <c:strCache>
                <c:ptCount val="1"/>
                <c:pt idx="0">
                  <c:v>NSE</c:v>
                </c:pt>
              </c:strCache>
            </c:strRef>
          </c:tx>
          <c:spPr>
            <a:ln w="28575" cap="rnd">
              <a:solidFill>
                <a:srgbClr val="00B050"/>
              </a:solidFill>
              <a:round/>
            </a:ln>
            <a:effectLst/>
          </c:spPr>
          <c:marker>
            <c:symbol val="none"/>
          </c:marker>
          <c:cat>
            <c:numRef>
              <c:f>'F7'!$A$8:$A$19</c:f>
              <c:numCache>
                <c:formatCode>[$-409]mmm\-yy</c:formatCode>
                <c:ptCount val="12"/>
                <c:pt idx="0">
                  <c:v>43718</c:v>
                </c:pt>
                <c:pt idx="1">
                  <c:v>43748</c:v>
                </c:pt>
                <c:pt idx="2">
                  <c:v>43779</c:v>
                </c:pt>
                <c:pt idx="3">
                  <c:v>43809</c:v>
                </c:pt>
                <c:pt idx="4">
                  <c:v>43840</c:v>
                </c:pt>
                <c:pt idx="5">
                  <c:v>43871</c:v>
                </c:pt>
                <c:pt idx="6">
                  <c:v>43900</c:v>
                </c:pt>
                <c:pt idx="7">
                  <c:v>43931</c:v>
                </c:pt>
                <c:pt idx="8">
                  <c:v>43961</c:v>
                </c:pt>
                <c:pt idx="9">
                  <c:v>43992</c:v>
                </c:pt>
                <c:pt idx="10">
                  <c:v>44022</c:v>
                </c:pt>
                <c:pt idx="11">
                  <c:v>44053</c:v>
                </c:pt>
              </c:numCache>
            </c:numRef>
          </c:cat>
          <c:val>
            <c:numRef>
              <c:f>'F7'!$C$8:$C$19</c:f>
              <c:numCache>
                <c:formatCode>#,##0;\-#,##0;0</c:formatCode>
                <c:ptCount val="12"/>
                <c:pt idx="0">
                  <c:v>28897.58613</c:v>
                </c:pt>
                <c:pt idx="1">
                  <c:v>25267.643789999998</c:v>
                </c:pt>
                <c:pt idx="2">
                  <c:v>22410.455900000001</c:v>
                </c:pt>
                <c:pt idx="3">
                  <c:v>31363.76467</c:v>
                </c:pt>
                <c:pt idx="4">
                  <c:v>26807.170719999998</c:v>
                </c:pt>
                <c:pt idx="5">
                  <c:v>30879.879639999999</c:v>
                </c:pt>
                <c:pt idx="6">
                  <c:v>33798.002293999991</c:v>
                </c:pt>
                <c:pt idx="7">
                  <c:v>9733.7467485000016</c:v>
                </c:pt>
                <c:pt idx="8">
                  <c:v>12197.847997499997</c:v>
                </c:pt>
                <c:pt idx="9">
                  <c:v>16790.040404000003</c:v>
                </c:pt>
                <c:pt idx="10">
                  <c:v>11477.779758999999</c:v>
                </c:pt>
                <c:pt idx="11">
                  <c:v>8836</c:v>
                </c:pt>
              </c:numCache>
            </c:numRef>
          </c:val>
          <c:smooth val="0"/>
          <c:extLst>
            <c:ext xmlns:c16="http://schemas.microsoft.com/office/drawing/2014/chart" uri="{C3380CC4-5D6E-409C-BE32-E72D297353CC}">
              <c16:uniqueId val="{00000001-6E4E-4A79-AA40-4C85E059EBF6}"/>
            </c:ext>
          </c:extLst>
        </c:ser>
        <c:dLbls>
          <c:showLegendKey val="0"/>
          <c:showVal val="0"/>
          <c:showCatName val="0"/>
          <c:showSerName val="0"/>
          <c:showPercent val="0"/>
          <c:showBubbleSize val="0"/>
        </c:dLbls>
        <c:smooth val="0"/>
        <c:axId val="483920864"/>
        <c:axId val="483914984"/>
      </c:lineChart>
      <c:dateAx>
        <c:axId val="483920864"/>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83914984"/>
        <c:crosses val="autoZero"/>
        <c:auto val="1"/>
        <c:lblOffset val="100"/>
        <c:baseTimeUnit val="months"/>
      </c:dateAx>
      <c:valAx>
        <c:axId val="483914984"/>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83920864"/>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Klassify>
  <SNO>2</SNO>
  <KDate>2019-10-17 16:00:03</KDate>
  <Classification>SEBI-PUBLIC</Classification>
  <HostName>MUM0111515A</HostName>
  <Domain_User>SEBINT/1515</Domain_User>
  <IPAdd>10.21.53.15</IPAdd>
  <FilePath>E:\C Drive Data 19.12.2017\DEPA 2019\10. October 2019\SEBI Bulletin October 2019 Issue.docx</FilePath>
  <KID>7427EA48EFCA637066619672483538</KID>
  <UniqueName/>
  <Suggested/>
  <Justification/>
</Klassify>
</file>

<file path=customXml/item2.xml><?xml version="1.0" encoding="utf-8"?>
<Klassify>
  <SNO>1</SNO>
  <KDate>2019-10-14 14:59:27</KDate>
  <Classification>SEBI-CONFIDENTIAL</Classification>
  <HostName>MUM0111832</HostName>
  <Domain_User>SEBINT/1832</Domain_User>
  <IPAdd>10.21.77.31</IPAdd>
  <FilePath>C:\Users\1832\Documents\Work_HO_DEPA\2019-20\Bulletin\October 2019\SEBI Bulletin October 2019 Issue.docx</FilePath>
  <KID>7427EA48EFCA637066619672483538</KID>
  <UniqueName/>
  <Suggested/>
  <Justification/>
</Klassif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F008C-5608-4977-B1FB-BF780A09BDC2}">
  <ds:schemaRefs/>
</ds:datastoreItem>
</file>

<file path=customXml/itemProps2.xml><?xml version="1.0" encoding="utf-8"?>
<ds:datastoreItem xmlns:ds="http://schemas.openxmlformats.org/officeDocument/2006/customXml" ds:itemID="{AC874CF5-52D4-4685-80EC-6F1B86646A89}">
  <ds:schemaRefs/>
</ds:datastoreItem>
</file>

<file path=customXml/itemProps3.xml><?xml version="1.0" encoding="utf-8"?>
<ds:datastoreItem xmlns:ds="http://schemas.openxmlformats.org/officeDocument/2006/customXml" ds:itemID="{AE64B8C6-B784-464F-B036-20B64855E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12681</Words>
  <Characters>72284</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Tathagata Biswas</dc:creator>
  <cp:keywords/>
  <dc:description/>
  <cp:lastModifiedBy>A V SUBBA RAO</cp:lastModifiedBy>
  <cp:revision>3</cp:revision>
  <cp:lastPrinted>2019-03-19T09:59:00Z</cp:lastPrinted>
  <dcterms:created xsi:type="dcterms:W3CDTF">2020-10-06T09:38:00Z</dcterms:created>
  <dcterms:modified xsi:type="dcterms:W3CDTF">2020-10-06T09:38:00Z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SEBI-PUBLIC</vt:lpwstr>
  </property>
  <property fmtid="{D5CDD505-2E9C-101B-9397-08002B2CF9AE}" pid="3" name="Rules">
    <vt:lpwstr/>
  </property>
  <property fmtid="{D5CDD505-2E9C-101B-9397-08002B2CF9AE}" pid="4" name="KID">
    <vt:lpwstr>7427EA48EFCA637066619672483538</vt:lpwstr>
  </property>
</Properties>
</file>